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78541" w14:textId="77777777" w:rsidR="000C5DB7" w:rsidRPr="00766FA2" w:rsidRDefault="00743E0D" w:rsidP="00743E0D">
      <w:pPr>
        <w:pStyle w:val="Cuadrculamedia21"/>
      </w:pPr>
      <w:r>
        <w:rPr>
          <w:caps w:val="0"/>
        </w:rPr>
        <w:t>Magistrado ponente</w:t>
      </w:r>
      <w:r w:rsidR="001D4C64" w:rsidRPr="00766FA2">
        <w:t xml:space="preserve">: </w:t>
      </w:r>
      <w:r w:rsidR="000C5DB7" w:rsidRPr="00766FA2">
        <w:t>JAIME ENRIQUE RODRÍGUEZ NAVAS</w:t>
      </w:r>
    </w:p>
    <w:p w14:paraId="3CBFC83C" w14:textId="77777777" w:rsidR="00F91B32" w:rsidRPr="00766FA2" w:rsidRDefault="00F91B32" w:rsidP="00331291">
      <w:pPr>
        <w:contextualSpacing/>
        <w:rPr>
          <w:b/>
          <w:bCs/>
          <w:sz w:val="24"/>
          <w:szCs w:val="24"/>
        </w:rPr>
      </w:pPr>
    </w:p>
    <w:p w14:paraId="2471736D" w14:textId="4E48026D" w:rsidR="000C5DB7" w:rsidRPr="00C357E2" w:rsidRDefault="000C5DB7" w:rsidP="00331291">
      <w:pPr>
        <w:contextualSpacing/>
        <w:rPr>
          <w:b/>
          <w:sz w:val="24"/>
          <w:szCs w:val="24"/>
        </w:rPr>
      </w:pPr>
      <w:r w:rsidRPr="00C357E2">
        <w:rPr>
          <w:b/>
          <w:sz w:val="24"/>
          <w:szCs w:val="24"/>
        </w:rPr>
        <w:t xml:space="preserve">Bogotá D.C., </w:t>
      </w:r>
      <w:r w:rsidR="00647CF6">
        <w:rPr>
          <w:b/>
          <w:sz w:val="24"/>
          <w:szCs w:val="24"/>
        </w:rPr>
        <w:t>cuatro</w:t>
      </w:r>
      <w:r w:rsidR="00702E30">
        <w:rPr>
          <w:b/>
          <w:sz w:val="24"/>
          <w:szCs w:val="24"/>
        </w:rPr>
        <w:t xml:space="preserve"> </w:t>
      </w:r>
      <w:r w:rsidR="0047256F" w:rsidRPr="00C357E2">
        <w:rPr>
          <w:b/>
          <w:sz w:val="24"/>
          <w:szCs w:val="24"/>
        </w:rPr>
        <w:t>(</w:t>
      </w:r>
      <w:r w:rsidR="00647CF6">
        <w:rPr>
          <w:b/>
          <w:sz w:val="24"/>
          <w:szCs w:val="24"/>
        </w:rPr>
        <w:t>4</w:t>
      </w:r>
      <w:r w:rsidR="0047256F" w:rsidRPr="00C357E2">
        <w:rPr>
          <w:b/>
          <w:sz w:val="24"/>
          <w:szCs w:val="24"/>
        </w:rPr>
        <w:t xml:space="preserve">) </w:t>
      </w:r>
      <w:r w:rsidRPr="00C357E2">
        <w:rPr>
          <w:b/>
          <w:sz w:val="24"/>
          <w:szCs w:val="24"/>
        </w:rPr>
        <w:t>de</w:t>
      </w:r>
      <w:r w:rsidR="0047256F" w:rsidRPr="00C357E2">
        <w:rPr>
          <w:b/>
          <w:sz w:val="24"/>
          <w:szCs w:val="24"/>
        </w:rPr>
        <w:t xml:space="preserve"> </w:t>
      </w:r>
      <w:r w:rsidR="00647CF6">
        <w:rPr>
          <w:b/>
          <w:sz w:val="24"/>
          <w:szCs w:val="24"/>
        </w:rPr>
        <w:t>noviembre</w:t>
      </w:r>
      <w:r w:rsidR="00C357E2" w:rsidRPr="00C357E2">
        <w:rPr>
          <w:b/>
          <w:sz w:val="24"/>
          <w:szCs w:val="24"/>
        </w:rPr>
        <w:t xml:space="preserve"> </w:t>
      </w:r>
      <w:r w:rsidR="000572B4" w:rsidRPr="00C357E2">
        <w:rPr>
          <w:b/>
          <w:sz w:val="24"/>
          <w:szCs w:val="24"/>
        </w:rPr>
        <w:t xml:space="preserve">de </w:t>
      </w:r>
      <w:r w:rsidRPr="00C357E2">
        <w:rPr>
          <w:b/>
          <w:sz w:val="24"/>
          <w:szCs w:val="24"/>
        </w:rPr>
        <w:t xml:space="preserve">dos mil </w:t>
      </w:r>
      <w:r w:rsidR="00C87516" w:rsidRPr="00C357E2">
        <w:rPr>
          <w:b/>
          <w:sz w:val="24"/>
          <w:szCs w:val="24"/>
        </w:rPr>
        <w:t>veint</w:t>
      </w:r>
      <w:r w:rsidR="004A40D6" w:rsidRPr="00C357E2">
        <w:rPr>
          <w:b/>
          <w:sz w:val="24"/>
          <w:szCs w:val="24"/>
        </w:rPr>
        <w:t>i</w:t>
      </w:r>
      <w:r w:rsidR="00227D3B" w:rsidRPr="00C357E2">
        <w:rPr>
          <w:b/>
          <w:sz w:val="24"/>
          <w:szCs w:val="24"/>
        </w:rPr>
        <w:t>dós</w:t>
      </w:r>
      <w:r w:rsidRPr="00C357E2">
        <w:rPr>
          <w:b/>
          <w:sz w:val="24"/>
          <w:szCs w:val="24"/>
        </w:rPr>
        <w:t xml:space="preserve"> (</w:t>
      </w:r>
      <w:r w:rsidR="00C87516" w:rsidRPr="00C357E2">
        <w:rPr>
          <w:b/>
          <w:sz w:val="24"/>
          <w:szCs w:val="24"/>
        </w:rPr>
        <w:t>202</w:t>
      </w:r>
      <w:r w:rsidR="00227D3B" w:rsidRPr="00C357E2">
        <w:rPr>
          <w:b/>
          <w:sz w:val="24"/>
          <w:szCs w:val="24"/>
        </w:rPr>
        <w:t>2</w:t>
      </w:r>
      <w:r w:rsidRPr="00C357E2">
        <w:rPr>
          <w:b/>
          <w:sz w:val="24"/>
          <w:szCs w:val="24"/>
        </w:rPr>
        <w:t>).</w:t>
      </w:r>
    </w:p>
    <w:p w14:paraId="2F65D6F8" w14:textId="77777777" w:rsidR="00F91B32" w:rsidRPr="00766FA2" w:rsidRDefault="00F91B32" w:rsidP="00331291">
      <w:pPr>
        <w:contextualSpacing/>
        <w:rPr>
          <w:b/>
          <w:sz w:val="24"/>
          <w:szCs w:val="24"/>
        </w:rPr>
      </w:pPr>
    </w:p>
    <w:p w14:paraId="70F4AEAC" w14:textId="77777777" w:rsidR="000C5DB7" w:rsidRPr="00C90D32" w:rsidRDefault="00C357E2" w:rsidP="00331291">
      <w:pPr>
        <w:tabs>
          <w:tab w:val="left" w:pos="1985"/>
        </w:tabs>
        <w:contextualSpacing/>
        <w:rPr>
          <w:bCs/>
          <w:sz w:val="24"/>
          <w:szCs w:val="24"/>
        </w:rPr>
      </w:pPr>
      <w:r>
        <w:rPr>
          <w:b/>
          <w:sz w:val="24"/>
          <w:szCs w:val="24"/>
        </w:rPr>
        <w:t>Radicado número</w:t>
      </w:r>
      <w:r w:rsidR="000C5DB7" w:rsidRPr="00766FA2">
        <w:rPr>
          <w:b/>
          <w:sz w:val="24"/>
          <w:szCs w:val="24"/>
        </w:rPr>
        <w:t>:</w:t>
      </w:r>
      <w:r w:rsidR="000C5DB7" w:rsidRPr="00766FA2">
        <w:rPr>
          <w:b/>
          <w:sz w:val="24"/>
          <w:szCs w:val="24"/>
        </w:rPr>
        <w:tab/>
      </w:r>
      <w:r>
        <w:rPr>
          <w:b/>
          <w:sz w:val="24"/>
          <w:szCs w:val="24"/>
        </w:rPr>
        <w:tab/>
      </w:r>
      <w:r w:rsidR="00C90D32" w:rsidRPr="00C90D32">
        <w:rPr>
          <w:bCs/>
          <w:sz w:val="24"/>
          <w:szCs w:val="24"/>
        </w:rPr>
        <w:t>11001-03-15-000-202</w:t>
      </w:r>
      <w:r>
        <w:rPr>
          <w:bCs/>
          <w:sz w:val="24"/>
          <w:szCs w:val="24"/>
        </w:rPr>
        <w:t>2</w:t>
      </w:r>
      <w:r w:rsidR="00C90D32" w:rsidRPr="00C90D32">
        <w:rPr>
          <w:bCs/>
          <w:sz w:val="24"/>
          <w:szCs w:val="24"/>
        </w:rPr>
        <w:t>-</w:t>
      </w:r>
      <w:r>
        <w:rPr>
          <w:bCs/>
          <w:sz w:val="24"/>
          <w:szCs w:val="24"/>
        </w:rPr>
        <w:t>0</w:t>
      </w:r>
      <w:r w:rsidR="00647CF6">
        <w:rPr>
          <w:bCs/>
          <w:sz w:val="24"/>
          <w:szCs w:val="24"/>
        </w:rPr>
        <w:t>5349</w:t>
      </w:r>
      <w:r w:rsidR="00C90D32" w:rsidRPr="00C90D32">
        <w:rPr>
          <w:bCs/>
          <w:sz w:val="24"/>
          <w:szCs w:val="24"/>
        </w:rPr>
        <w:t>-</w:t>
      </w:r>
      <w:r>
        <w:rPr>
          <w:bCs/>
          <w:sz w:val="24"/>
          <w:szCs w:val="24"/>
        </w:rPr>
        <w:t>00</w:t>
      </w:r>
    </w:p>
    <w:p w14:paraId="75DE00BB" w14:textId="77777777" w:rsidR="000C5DB7" w:rsidRPr="00766FA2" w:rsidRDefault="000C5DB7" w:rsidP="00331291">
      <w:pPr>
        <w:tabs>
          <w:tab w:val="left" w:pos="1985"/>
        </w:tabs>
        <w:ind w:left="1980" w:hanging="1980"/>
        <w:contextualSpacing/>
        <w:rPr>
          <w:sz w:val="24"/>
          <w:szCs w:val="24"/>
        </w:rPr>
      </w:pPr>
      <w:r w:rsidRPr="00766FA2">
        <w:rPr>
          <w:b/>
          <w:sz w:val="24"/>
          <w:szCs w:val="24"/>
        </w:rPr>
        <w:t>Accionante:</w:t>
      </w:r>
      <w:r w:rsidRPr="00766FA2">
        <w:rPr>
          <w:b/>
          <w:sz w:val="24"/>
          <w:szCs w:val="24"/>
        </w:rPr>
        <w:tab/>
      </w:r>
      <w:r w:rsidR="00C357E2">
        <w:rPr>
          <w:b/>
          <w:sz w:val="24"/>
          <w:szCs w:val="24"/>
        </w:rPr>
        <w:tab/>
      </w:r>
      <w:r w:rsidR="00C357E2">
        <w:rPr>
          <w:b/>
          <w:sz w:val="24"/>
          <w:szCs w:val="24"/>
        </w:rPr>
        <w:tab/>
      </w:r>
      <w:r w:rsidR="00C357E2">
        <w:rPr>
          <w:b/>
          <w:sz w:val="24"/>
          <w:szCs w:val="24"/>
        </w:rPr>
        <w:tab/>
      </w:r>
      <w:r w:rsidR="00647CF6">
        <w:rPr>
          <w:sz w:val="24"/>
          <w:szCs w:val="24"/>
        </w:rPr>
        <w:t>Reyes Miguel Alvarado Solano</w:t>
      </w:r>
    </w:p>
    <w:p w14:paraId="60CEF6B3" w14:textId="77777777" w:rsidR="000C5DB7" w:rsidRPr="00766FA2" w:rsidRDefault="000C5DB7" w:rsidP="00331291">
      <w:pPr>
        <w:tabs>
          <w:tab w:val="left" w:pos="1985"/>
        </w:tabs>
        <w:ind w:left="2832" w:right="51" w:hanging="2832"/>
        <w:contextualSpacing/>
        <w:rPr>
          <w:bCs/>
          <w:sz w:val="24"/>
          <w:szCs w:val="24"/>
        </w:rPr>
      </w:pPr>
      <w:r w:rsidRPr="00766FA2">
        <w:rPr>
          <w:b/>
          <w:sz w:val="24"/>
          <w:szCs w:val="24"/>
        </w:rPr>
        <w:t>Accionado:</w:t>
      </w:r>
      <w:r w:rsidRPr="00766FA2">
        <w:rPr>
          <w:b/>
          <w:sz w:val="24"/>
          <w:szCs w:val="24"/>
        </w:rPr>
        <w:tab/>
      </w:r>
      <w:r w:rsidR="00C357E2">
        <w:rPr>
          <w:b/>
          <w:sz w:val="24"/>
          <w:szCs w:val="24"/>
        </w:rPr>
        <w:tab/>
      </w:r>
      <w:r w:rsidR="00273C24">
        <w:rPr>
          <w:bCs/>
          <w:sz w:val="24"/>
          <w:szCs w:val="24"/>
        </w:rPr>
        <w:t xml:space="preserve">Tribunal Administrativo de Cundinamarca, Sección Segunda, Subsección </w:t>
      </w:r>
      <w:r w:rsidR="00647CF6">
        <w:rPr>
          <w:bCs/>
          <w:sz w:val="24"/>
          <w:szCs w:val="24"/>
        </w:rPr>
        <w:t>F</w:t>
      </w:r>
      <w:r w:rsidR="00273C24">
        <w:rPr>
          <w:bCs/>
          <w:sz w:val="24"/>
          <w:szCs w:val="24"/>
        </w:rPr>
        <w:t xml:space="preserve"> </w:t>
      </w:r>
    </w:p>
    <w:p w14:paraId="7EDB1919" w14:textId="77777777" w:rsidR="004608E4" w:rsidRPr="00766FA2" w:rsidRDefault="004608E4" w:rsidP="00331291">
      <w:pPr>
        <w:ind w:left="1985" w:hanging="1985"/>
        <w:contextualSpacing/>
        <w:rPr>
          <w:b/>
          <w:sz w:val="24"/>
          <w:szCs w:val="24"/>
        </w:rPr>
      </w:pPr>
      <w:r w:rsidRPr="00766FA2">
        <w:rPr>
          <w:b/>
          <w:sz w:val="24"/>
          <w:szCs w:val="24"/>
        </w:rPr>
        <w:t xml:space="preserve">Referencia: </w:t>
      </w:r>
      <w:r w:rsidRPr="00766FA2">
        <w:rPr>
          <w:b/>
          <w:sz w:val="24"/>
          <w:szCs w:val="24"/>
        </w:rPr>
        <w:tab/>
      </w:r>
      <w:r>
        <w:rPr>
          <w:b/>
          <w:sz w:val="24"/>
          <w:szCs w:val="24"/>
        </w:rPr>
        <w:tab/>
      </w:r>
      <w:r>
        <w:rPr>
          <w:b/>
          <w:sz w:val="24"/>
          <w:szCs w:val="24"/>
        </w:rPr>
        <w:tab/>
      </w:r>
      <w:r w:rsidRPr="00766FA2">
        <w:rPr>
          <w:sz w:val="24"/>
          <w:szCs w:val="24"/>
        </w:rPr>
        <w:t>Acción de tutela</w:t>
      </w:r>
    </w:p>
    <w:p w14:paraId="365EDFC0" w14:textId="77777777" w:rsidR="000C5DB7" w:rsidRDefault="000C5DB7" w:rsidP="00331291">
      <w:pPr>
        <w:tabs>
          <w:tab w:val="left" w:pos="8222"/>
        </w:tabs>
        <w:ind w:right="51"/>
        <w:contextualSpacing/>
        <w:rPr>
          <w:b/>
          <w:sz w:val="24"/>
          <w:szCs w:val="24"/>
        </w:rPr>
      </w:pPr>
    </w:p>
    <w:p w14:paraId="70BA9267" w14:textId="67A3738F" w:rsidR="004608E4" w:rsidRPr="000A0FFC" w:rsidRDefault="00273C24" w:rsidP="00331291">
      <w:pPr>
        <w:tabs>
          <w:tab w:val="left" w:pos="8222"/>
        </w:tabs>
        <w:ind w:right="51"/>
        <w:contextualSpacing/>
        <w:rPr>
          <w:bCs/>
          <w:sz w:val="20"/>
          <w:szCs w:val="20"/>
        </w:rPr>
      </w:pPr>
      <w:r w:rsidRPr="000A0FFC">
        <w:rPr>
          <w:b/>
          <w:sz w:val="20"/>
          <w:szCs w:val="20"/>
        </w:rPr>
        <w:t>Tema</w:t>
      </w:r>
      <w:r w:rsidR="00877FFD">
        <w:rPr>
          <w:b/>
          <w:sz w:val="20"/>
          <w:szCs w:val="20"/>
        </w:rPr>
        <w:t>:</w:t>
      </w:r>
      <w:r w:rsidRPr="000A0FFC">
        <w:rPr>
          <w:b/>
          <w:sz w:val="20"/>
          <w:szCs w:val="20"/>
        </w:rPr>
        <w:t xml:space="preserve"> </w:t>
      </w:r>
      <w:r w:rsidR="00877FFD">
        <w:rPr>
          <w:bCs/>
          <w:sz w:val="20"/>
          <w:szCs w:val="20"/>
        </w:rPr>
        <w:t>a</w:t>
      </w:r>
      <w:r w:rsidRPr="000A0FFC">
        <w:rPr>
          <w:bCs/>
          <w:sz w:val="20"/>
          <w:szCs w:val="20"/>
        </w:rPr>
        <w:t xml:space="preserve">cción de tutela contra providencias judiciales. </w:t>
      </w:r>
    </w:p>
    <w:p w14:paraId="408F6876" w14:textId="2F1F36D6" w:rsidR="004608E4" w:rsidRPr="000A0FFC" w:rsidRDefault="00273C24" w:rsidP="00331291">
      <w:pPr>
        <w:tabs>
          <w:tab w:val="left" w:pos="8222"/>
        </w:tabs>
        <w:ind w:right="51"/>
        <w:contextualSpacing/>
        <w:rPr>
          <w:bCs/>
          <w:sz w:val="20"/>
          <w:szCs w:val="20"/>
        </w:rPr>
      </w:pPr>
      <w:r w:rsidRPr="000A0FFC">
        <w:rPr>
          <w:b/>
          <w:sz w:val="20"/>
          <w:szCs w:val="20"/>
        </w:rPr>
        <w:t>Subtema 1</w:t>
      </w:r>
      <w:r w:rsidR="00877FFD">
        <w:rPr>
          <w:b/>
          <w:sz w:val="20"/>
          <w:szCs w:val="20"/>
        </w:rPr>
        <w:t>:</w:t>
      </w:r>
      <w:r w:rsidRPr="000A0FFC">
        <w:rPr>
          <w:b/>
          <w:sz w:val="20"/>
          <w:szCs w:val="20"/>
        </w:rPr>
        <w:t xml:space="preserve"> </w:t>
      </w:r>
      <w:r w:rsidR="00877FFD">
        <w:rPr>
          <w:bCs/>
          <w:sz w:val="20"/>
          <w:szCs w:val="20"/>
        </w:rPr>
        <w:t>r</w:t>
      </w:r>
      <w:r w:rsidRPr="000A0FFC">
        <w:rPr>
          <w:bCs/>
          <w:sz w:val="20"/>
          <w:szCs w:val="20"/>
        </w:rPr>
        <w:t xml:space="preserve">equisitos de procedibilidad. </w:t>
      </w:r>
    </w:p>
    <w:p w14:paraId="58A75833" w14:textId="62723B4A" w:rsidR="00273C24" w:rsidRPr="004608E4" w:rsidRDefault="00273C24" w:rsidP="00331291">
      <w:pPr>
        <w:tabs>
          <w:tab w:val="left" w:pos="8222"/>
        </w:tabs>
        <w:ind w:right="51"/>
        <w:contextualSpacing/>
        <w:rPr>
          <w:bCs/>
          <w:sz w:val="20"/>
          <w:szCs w:val="20"/>
        </w:rPr>
      </w:pPr>
      <w:r w:rsidRPr="000A0FFC">
        <w:rPr>
          <w:b/>
          <w:sz w:val="20"/>
          <w:szCs w:val="20"/>
        </w:rPr>
        <w:t>Subtema 2</w:t>
      </w:r>
      <w:r w:rsidR="00877FFD">
        <w:rPr>
          <w:b/>
          <w:sz w:val="20"/>
          <w:szCs w:val="20"/>
        </w:rPr>
        <w:t>:</w:t>
      </w:r>
      <w:r w:rsidRPr="000A0FFC">
        <w:rPr>
          <w:b/>
          <w:sz w:val="20"/>
          <w:szCs w:val="20"/>
        </w:rPr>
        <w:t xml:space="preserve"> </w:t>
      </w:r>
      <w:r w:rsidR="00877FFD">
        <w:rPr>
          <w:bCs/>
          <w:sz w:val="20"/>
          <w:szCs w:val="20"/>
        </w:rPr>
        <w:t>i</w:t>
      </w:r>
      <w:r w:rsidR="00BB1D0F" w:rsidRPr="000A0FFC">
        <w:rPr>
          <w:bCs/>
          <w:sz w:val="20"/>
          <w:szCs w:val="20"/>
        </w:rPr>
        <w:t>mprocedencia de la acción</w:t>
      </w:r>
      <w:r w:rsidR="00A15ABD" w:rsidRPr="000A0FFC">
        <w:rPr>
          <w:bCs/>
          <w:sz w:val="20"/>
          <w:szCs w:val="20"/>
        </w:rPr>
        <w:t>.</w:t>
      </w:r>
      <w:r w:rsidR="000A0FFC">
        <w:rPr>
          <w:bCs/>
          <w:sz w:val="20"/>
          <w:szCs w:val="20"/>
        </w:rPr>
        <w:t xml:space="preserve"> Requisito de subsidiariedad.</w:t>
      </w:r>
    </w:p>
    <w:p w14:paraId="26EF747F" w14:textId="77777777" w:rsidR="00273C24" w:rsidRPr="00766FA2" w:rsidRDefault="00273C24" w:rsidP="00331291">
      <w:pPr>
        <w:tabs>
          <w:tab w:val="left" w:pos="8222"/>
        </w:tabs>
        <w:ind w:right="51"/>
        <w:contextualSpacing/>
        <w:rPr>
          <w:b/>
          <w:sz w:val="24"/>
          <w:szCs w:val="24"/>
        </w:rPr>
      </w:pPr>
    </w:p>
    <w:p w14:paraId="4B54E90E" w14:textId="77777777" w:rsidR="000C5DB7" w:rsidRPr="00766FA2" w:rsidRDefault="000C5DB7" w:rsidP="00331291">
      <w:pPr>
        <w:pBdr>
          <w:bottom w:val="single" w:sz="12" w:space="0" w:color="auto"/>
        </w:pBdr>
        <w:ind w:left="2832" w:hanging="2832"/>
        <w:contextualSpacing/>
        <w:rPr>
          <w:b/>
          <w:sz w:val="24"/>
          <w:szCs w:val="24"/>
        </w:rPr>
      </w:pPr>
      <w:r w:rsidRPr="00766FA2">
        <w:rPr>
          <w:b/>
          <w:sz w:val="24"/>
          <w:szCs w:val="24"/>
        </w:rPr>
        <w:t xml:space="preserve">SENTENCIA DE </w:t>
      </w:r>
      <w:r w:rsidR="004608E4">
        <w:rPr>
          <w:b/>
          <w:sz w:val="24"/>
          <w:szCs w:val="24"/>
        </w:rPr>
        <w:t>PRIMERA</w:t>
      </w:r>
      <w:r w:rsidRPr="00766FA2">
        <w:rPr>
          <w:b/>
          <w:sz w:val="24"/>
          <w:szCs w:val="24"/>
        </w:rPr>
        <w:t xml:space="preserve"> INSTANCIA</w:t>
      </w:r>
    </w:p>
    <w:p w14:paraId="137D8B6A" w14:textId="77777777" w:rsidR="00E81297" w:rsidRDefault="00E81297" w:rsidP="008B02EB">
      <w:pPr>
        <w:tabs>
          <w:tab w:val="left" w:pos="0"/>
        </w:tabs>
        <w:contextualSpacing/>
        <w:rPr>
          <w:sz w:val="24"/>
          <w:szCs w:val="24"/>
        </w:rPr>
      </w:pPr>
    </w:p>
    <w:p w14:paraId="525A265E" w14:textId="77777777" w:rsidR="004644C8" w:rsidRPr="004644C8" w:rsidRDefault="004644C8" w:rsidP="008B02EB">
      <w:pPr>
        <w:tabs>
          <w:tab w:val="left" w:pos="0"/>
        </w:tabs>
        <w:contextualSpacing/>
        <w:rPr>
          <w:color w:val="000000"/>
          <w:sz w:val="24"/>
          <w:szCs w:val="24"/>
        </w:rPr>
      </w:pPr>
      <w:r w:rsidRPr="004644C8">
        <w:rPr>
          <w:color w:val="000000"/>
          <w:sz w:val="24"/>
          <w:szCs w:val="24"/>
        </w:rPr>
        <w:t xml:space="preserve">La Sala decide </w:t>
      </w:r>
      <w:r w:rsidR="004608E4">
        <w:rPr>
          <w:color w:val="000000"/>
          <w:sz w:val="24"/>
          <w:szCs w:val="24"/>
        </w:rPr>
        <w:t xml:space="preserve">en primera instancia, la acción de tutela incoada por </w:t>
      </w:r>
      <w:r w:rsidR="00647CF6">
        <w:rPr>
          <w:color w:val="000000"/>
          <w:sz w:val="24"/>
          <w:szCs w:val="24"/>
        </w:rPr>
        <w:t>Reyes Miguel Alvarado Solano por medio de apoderado</w:t>
      </w:r>
      <w:r w:rsidR="00743E0D">
        <w:rPr>
          <w:rStyle w:val="Refdenotaalpie"/>
          <w:bCs/>
          <w:color w:val="000000"/>
          <w:sz w:val="24"/>
          <w:szCs w:val="24"/>
        </w:rPr>
        <w:footnoteReference w:id="1"/>
      </w:r>
      <w:r w:rsidR="00647CF6">
        <w:rPr>
          <w:color w:val="000000"/>
          <w:sz w:val="24"/>
          <w:szCs w:val="24"/>
        </w:rPr>
        <w:t>,</w:t>
      </w:r>
      <w:r>
        <w:rPr>
          <w:bCs/>
          <w:color w:val="000000"/>
          <w:sz w:val="24"/>
          <w:szCs w:val="24"/>
        </w:rPr>
        <w:t xml:space="preserve"> </w:t>
      </w:r>
      <w:r w:rsidRPr="004644C8">
        <w:rPr>
          <w:color w:val="000000"/>
          <w:sz w:val="24"/>
          <w:szCs w:val="24"/>
        </w:rPr>
        <w:t>en contra de</w:t>
      </w:r>
      <w:r w:rsidR="004608E4">
        <w:rPr>
          <w:color w:val="000000"/>
          <w:sz w:val="24"/>
          <w:szCs w:val="24"/>
        </w:rPr>
        <w:t xml:space="preserve">l Tribunal Administrativo de Cundinamarca, Sección Segunda, Subsección </w:t>
      </w:r>
      <w:r w:rsidR="00647CF6">
        <w:rPr>
          <w:color w:val="000000"/>
          <w:sz w:val="24"/>
          <w:szCs w:val="24"/>
        </w:rPr>
        <w:t>F</w:t>
      </w:r>
      <w:r w:rsidR="004608E4">
        <w:rPr>
          <w:color w:val="000000"/>
          <w:sz w:val="24"/>
          <w:szCs w:val="24"/>
        </w:rPr>
        <w:t>.</w:t>
      </w:r>
    </w:p>
    <w:p w14:paraId="677EBB37" w14:textId="77777777" w:rsidR="004644C8" w:rsidRDefault="004644C8" w:rsidP="008B02EB">
      <w:pPr>
        <w:pStyle w:val="Textoindependiente21"/>
        <w:spacing w:after="0"/>
        <w:ind w:left="0"/>
        <w:jc w:val="both"/>
        <w:rPr>
          <w:rFonts w:cs="Arial"/>
          <w:sz w:val="24"/>
          <w:szCs w:val="24"/>
        </w:rPr>
      </w:pPr>
    </w:p>
    <w:p w14:paraId="03E1095F" w14:textId="77777777" w:rsidR="000C5DB7" w:rsidRPr="00766FA2" w:rsidRDefault="000C5DB7" w:rsidP="00331291">
      <w:pPr>
        <w:pStyle w:val="Ttulo1"/>
        <w:spacing w:before="0" w:after="0" w:line="240" w:lineRule="auto"/>
        <w:rPr>
          <w:rFonts w:cs="Arial"/>
          <w:szCs w:val="24"/>
        </w:rPr>
      </w:pPr>
      <w:r w:rsidRPr="00766FA2">
        <w:rPr>
          <w:rFonts w:cs="Arial"/>
          <w:szCs w:val="24"/>
        </w:rPr>
        <w:t>ANTECEDENTES</w:t>
      </w:r>
    </w:p>
    <w:p w14:paraId="6B313390" w14:textId="77777777" w:rsidR="008B02EB" w:rsidRDefault="008B02EB" w:rsidP="00331291">
      <w:pPr>
        <w:pStyle w:val="Ttulo2"/>
        <w:numPr>
          <w:ilvl w:val="0"/>
          <w:numId w:val="0"/>
        </w:numPr>
        <w:spacing w:before="0" w:after="0"/>
        <w:ind w:left="360" w:hanging="360"/>
        <w:rPr>
          <w:rFonts w:cs="Arial"/>
          <w:color w:val="000000"/>
          <w:szCs w:val="24"/>
          <w:lang w:eastAsia="es-ES"/>
        </w:rPr>
      </w:pPr>
    </w:p>
    <w:p w14:paraId="5994020A" w14:textId="77777777" w:rsidR="003E02F0" w:rsidRPr="003E02F0" w:rsidRDefault="003E02F0" w:rsidP="00331291">
      <w:pPr>
        <w:pStyle w:val="Ttulo2"/>
        <w:numPr>
          <w:ilvl w:val="0"/>
          <w:numId w:val="0"/>
        </w:numPr>
        <w:spacing w:before="0" w:after="0"/>
        <w:ind w:left="360" w:hanging="360"/>
        <w:rPr>
          <w:rFonts w:cs="Arial"/>
          <w:color w:val="000000"/>
          <w:szCs w:val="24"/>
          <w:lang w:eastAsia="es-ES"/>
        </w:rPr>
      </w:pPr>
      <w:r w:rsidRPr="003E02F0">
        <w:rPr>
          <w:rFonts w:cs="Arial"/>
          <w:color w:val="000000"/>
          <w:szCs w:val="24"/>
          <w:lang w:eastAsia="es-ES"/>
        </w:rPr>
        <w:t>1.1. Solicitud de tutela</w:t>
      </w:r>
    </w:p>
    <w:p w14:paraId="1E1F14AC" w14:textId="77777777" w:rsidR="007E321C" w:rsidRDefault="007E321C" w:rsidP="00331291">
      <w:pPr>
        <w:rPr>
          <w:bCs/>
          <w:color w:val="000000"/>
          <w:sz w:val="24"/>
          <w:szCs w:val="24"/>
        </w:rPr>
      </w:pPr>
    </w:p>
    <w:p w14:paraId="2968D890" w14:textId="77777777" w:rsidR="00A12F13" w:rsidRPr="00A12F13" w:rsidRDefault="00647CF6" w:rsidP="00A12F13">
      <w:pPr>
        <w:tabs>
          <w:tab w:val="left" w:pos="1985"/>
        </w:tabs>
        <w:rPr>
          <w:rFonts w:eastAsia="Times New Roman"/>
          <w:sz w:val="24"/>
          <w:szCs w:val="24"/>
        </w:rPr>
      </w:pPr>
      <w:r>
        <w:rPr>
          <w:bCs/>
          <w:color w:val="000000"/>
          <w:sz w:val="24"/>
          <w:szCs w:val="24"/>
        </w:rPr>
        <w:t>Reyes Miguel Alvarado Solano</w:t>
      </w:r>
      <w:r w:rsidR="00A12F13">
        <w:rPr>
          <w:bCs/>
          <w:color w:val="000000"/>
          <w:sz w:val="24"/>
          <w:szCs w:val="24"/>
        </w:rPr>
        <w:t xml:space="preserve"> </w:t>
      </w:r>
      <w:r w:rsidR="007E321C">
        <w:rPr>
          <w:bCs/>
          <w:color w:val="000000"/>
          <w:sz w:val="24"/>
          <w:szCs w:val="24"/>
        </w:rPr>
        <w:t xml:space="preserve">presentó </w:t>
      </w:r>
      <w:r w:rsidR="00322E59" w:rsidRPr="0035132E">
        <w:rPr>
          <w:sz w:val="24"/>
          <w:szCs w:val="24"/>
        </w:rPr>
        <w:t>solicitud de amparo de su derecho fundamental</w:t>
      </w:r>
      <w:r w:rsidR="00C71581">
        <w:rPr>
          <w:sz w:val="24"/>
          <w:szCs w:val="24"/>
        </w:rPr>
        <w:t xml:space="preserve"> </w:t>
      </w:r>
      <w:r w:rsidR="00A12F13" w:rsidRPr="00A12F13">
        <w:rPr>
          <w:rFonts w:eastAsia="Times New Roman"/>
          <w:sz w:val="24"/>
          <w:szCs w:val="24"/>
        </w:rPr>
        <w:t xml:space="preserve">al debido proceso, que consideró vulnerado por el Tribunal Administrativo de Cundinamarca, Sección Segunda, Subsección </w:t>
      </w:r>
      <w:r>
        <w:rPr>
          <w:rFonts w:eastAsia="Times New Roman"/>
          <w:sz w:val="24"/>
          <w:szCs w:val="24"/>
        </w:rPr>
        <w:t>F</w:t>
      </w:r>
      <w:r w:rsidR="00A12F13" w:rsidRPr="00A12F13">
        <w:rPr>
          <w:rFonts w:eastAsia="Times New Roman"/>
          <w:sz w:val="24"/>
          <w:szCs w:val="24"/>
        </w:rPr>
        <w:t xml:space="preserve"> con ocasión del fallo </w:t>
      </w:r>
      <w:r>
        <w:rPr>
          <w:rFonts w:eastAsia="Times New Roman"/>
          <w:sz w:val="24"/>
          <w:szCs w:val="24"/>
        </w:rPr>
        <w:t>del</w:t>
      </w:r>
      <w:r w:rsidR="00A12F13" w:rsidRPr="00A12F13">
        <w:rPr>
          <w:rFonts w:eastAsia="Times New Roman"/>
          <w:sz w:val="24"/>
          <w:szCs w:val="24"/>
        </w:rPr>
        <w:t xml:space="preserve"> </w:t>
      </w:r>
      <w:r>
        <w:rPr>
          <w:rFonts w:eastAsia="Times New Roman"/>
          <w:sz w:val="24"/>
          <w:szCs w:val="24"/>
        </w:rPr>
        <w:t>23 de agosto</w:t>
      </w:r>
      <w:r w:rsidR="00A12F13" w:rsidRPr="00A12F13">
        <w:rPr>
          <w:rFonts w:eastAsia="Times New Roman"/>
          <w:sz w:val="24"/>
          <w:szCs w:val="24"/>
        </w:rPr>
        <w:t xml:space="preserve"> de 2022 </w:t>
      </w:r>
      <w:r>
        <w:rPr>
          <w:rFonts w:eastAsia="Times New Roman"/>
          <w:sz w:val="24"/>
          <w:szCs w:val="24"/>
        </w:rPr>
        <w:t xml:space="preserve">proferido por la mencionada autoridad </w:t>
      </w:r>
      <w:r w:rsidR="00743E0D">
        <w:rPr>
          <w:rFonts w:eastAsia="Times New Roman"/>
          <w:sz w:val="24"/>
          <w:szCs w:val="24"/>
        </w:rPr>
        <w:t xml:space="preserve">en el </w:t>
      </w:r>
      <w:r w:rsidR="00A12F13" w:rsidRPr="00A12F13">
        <w:rPr>
          <w:rFonts w:eastAsia="Times New Roman"/>
          <w:sz w:val="24"/>
          <w:szCs w:val="24"/>
        </w:rPr>
        <w:t>que</w:t>
      </w:r>
      <w:r>
        <w:rPr>
          <w:rFonts w:eastAsia="Times New Roman"/>
          <w:sz w:val="24"/>
          <w:szCs w:val="24"/>
        </w:rPr>
        <w:t>,</w:t>
      </w:r>
      <w:r w:rsidR="00A12F13" w:rsidRPr="00A12F13">
        <w:rPr>
          <w:rFonts w:eastAsia="Times New Roman"/>
          <w:sz w:val="24"/>
          <w:szCs w:val="24"/>
        </w:rPr>
        <w:t xml:space="preserve"> revocó el </w:t>
      </w:r>
      <w:r>
        <w:rPr>
          <w:rFonts w:eastAsia="Times New Roman"/>
          <w:sz w:val="24"/>
          <w:szCs w:val="24"/>
        </w:rPr>
        <w:t>dictado</w:t>
      </w:r>
      <w:r w:rsidR="00A12F13" w:rsidRPr="00A12F13">
        <w:rPr>
          <w:rFonts w:eastAsia="Times New Roman"/>
          <w:sz w:val="24"/>
          <w:szCs w:val="24"/>
        </w:rPr>
        <w:t xml:space="preserve"> por el Juzgado </w:t>
      </w:r>
      <w:r>
        <w:rPr>
          <w:rFonts w:eastAsia="Times New Roman"/>
          <w:sz w:val="24"/>
          <w:szCs w:val="24"/>
        </w:rPr>
        <w:t>Veinte Administrativo de Oralidad del Circuito de Bogotá, Sección Segunda</w:t>
      </w:r>
      <w:r w:rsidR="00A12F13" w:rsidRPr="00A12F13">
        <w:rPr>
          <w:rFonts w:eastAsia="Times New Roman"/>
          <w:sz w:val="24"/>
          <w:szCs w:val="24"/>
        </w:rPr>
        <w:t xml:space="preserve"> </w:t>
      </w:r>
      <w:r w:rsidR="00743E0D">
        <w:rPr>
          <w:rFonts w:eastAsia="Times New Roman"/>
          <w:sz w:val="24"/>
          <w:szCs w:val="24"/>
        </w:rPr>
        <w:t>d</w:t>
      </w:r>
      <w:r w:rsidR="00226ADA">
        <w:rPr>
          <w:rFonts w:eastAsia="Times New Roman"/>
          <w:sz w:val="24"/>
          <w:szCs w:val="24"/>
        </w:rPr>
        <w:t xml:space="preserve">el 9 de septiembre de 2019 </w:t>
      </w:r>
      <w:r w:rsidR="00A12F13" w:rsidRPr="00A12F13">
        <w:rPr>
          <w:rFonts w:eastAsia="Times New Roman"/>
          <w:sz w:val="24"/>
          <w:szCs w:val="24"/>
        </w:rPr>
        <w:t>y en su lugar, negó  las pretensiones de la demanda que promovió</w:t>
      </w:r>
      <w:r w:rsidR="00743E0D">
        <w:rPr>
          <w:rFonts w:eastAsia="Times New Roman"/>
          <w:sz w:val="24"/>
          <w:szCs w:val="24"/>
        </w:rPr>
        <w:t>,</w:t>
      </w:r>
      <w:r w:rsidR="00A12F13" w:rsidRPr="00A12F13">
        <w:rPr>
          <w:rFonts w:eastAsia="Times New Roman"/>
          <w:sz w:val="24"/>
          <w:szCs w:val="24"/>
        </w:rPr>
        <w:t xml:space="preserve"> en ejercicio del medio de control de nulidad y restablecimiento del derecho</w:t>
      </w:r>
      <w:r w:rsidR="008B02EB">
        <w:rPr>
          <w:rFonts w:eastAsia="Times New Roman"/>
          <w:sz w:val="24"/>
          <w:szCs w:val="24"/>
        </w:rPr>
        <w:t>,</w:t>
      </w:r>
      <w:r w:rsidR="00A12F13" w:rsidRPr="00A12F13">
        <w:rPr>
          <w:rFonts w:eastAsia="Times New Roman"/>
          <w:sz w:val="24"/>
          <w:szCs w:val="24"/>
        </w:rPr>
        <w:t xml:space="preserve"> identificado con el radicado número</w:t>
      </w:r>
      <w:r>
        <w:rPr>
          <w:rFonts w:eastAsia="Times New Roman"/>
          <w:sz w:val="24"/>
          <w:szCs w:val="24"/>
        </w:rPr>
        <w:t xml:space="preserve"> </w:t>
      </w:r>
      <w:r w:rsidRPr="00014326">
        <w:rPr>
          <w:sz w:val="24"/>
          <w:szCs w:val="24"/>
        </w:rPr>
        <w:t>11001-3335-020- 2018-00403-00</w:t>
      </w:r>
      <w:r>
        <w:rPr>
          <w:sz w:val="24"/>
          <w:szCs w:val="24"/>
        </w:rPr>
        <w:t>/01</w:t>
      </w:r>
      <w:r w:rsidR="00A12F13" w:rsidRPr="00A12F13">
        <w:rPr>
          <w:rFonts w:eastAsia="Times New Roman"/>
          <w:sz w:val="24"/>
          <w:szCs w:val="24"/>
        </w:rPr>
        <w:t>.</w:t>
      </w:r>
    </w:p>
    <w:p w14:paraId="3648CA21" w14:textId="77777777" w:rsidR="003E02F0" w:rsidRPr="003E02F0" w:rsidRDefault="003E02F0" w:rsidP="00A12F13">
      <w:pPr>
        <w:tabs>
          <w:tab w:val="left" w:pos="1985"/>
        </w:tabs>
        <w:rPr>
          <w:rFonts w:eastAsia="Verdana"/>
          <w:color w:val="000000"/>
          <w:sz w:val="24"/>
          <w:szCs w:val="24"/>
        </w:rPr>
      </w:pPr>
    </w:p>
    <w:p w14:paraId="217F2836" w14:textId="77777777" w:rsidR="003E02F0" w:rsidRPr="003E02F0" w:rsidRDefault="003E02F0" w:rsidP="00331291">
      <w:pPr>
        <w:contextualSpacing/>
        <w:rPr>
          <w:rFonts w:eastAsia="Verdana"/>
          <w:b/>
          <w:color w:val="000000"/>
          <w:sz w:val="24"/>
          <w:szCs w:val="24"/>
        </w:rPr>
      </w:pPr>
      <w:r w:rsidRPr="003E02F0">
        <w:rPr>
          <w:rFonts w:eastAsia="Verdana"/>
          <w:b/>
          <w:bCs/>
          <w:color w:val="000000"/>
          <w:sz w:val="24"/>
          <w:szCs w:val="24"/>
        </w:rPr>
        <w:t>1.2.</w:t>
      </w:r>
      <w:r w:rsidRPr="003E02F0">
        <w:rPr>
          <w:rFonts w:eastAsia="Verdana"/>
          <w:color w:val="000000"/>
          <w:sz w:val="24"/>
          <w:szCs w:val="24"/>
        </w:rPr>
        <w:t xml:space="preserve"> </w:t>
      </w:r>
      <w:r w:rsidRPr="003E02F0">
        <w:rPr>
          <w:rFonts w:eastAsia="Verdana"/>
          <w:b/>
          <w:color w:val="000000"/>
          <w:sz w:val="24"/>
          <w:szCs w:val="24"/>
        </w:rPr>
        <w:t>Hechos</w:t>
      </w:r>
      <w:r w:rsidR="00D275C4">
        <w:rPr>
          <w:rFonts w:eastAsia="Verdana"/>
          <w:b/>
          <w:color w:val="000000"/>
          <w:sz w:val="24"/>
          <w:szCs w:val="24"/>
        </w:rPr>
        <w:t xml:space="preserve"> probados</w:t>
      </w:r>
    </w:p>
    <w:p w14:paraId="26365964" w14:textId="77777777" w:rsidR="003E02F0" w:rsidRDefault="003E02F0" w:rsidP="00331291">
      <w:pPr>
        <w:rPr>
          <w:rFonts w:eastAsia="Verdana"/>
          <w:b/>
          <w:color w:val="000000"/>
          <w:sz w:val="24"/>
          <w:szCs w:val="24"/>
        </w:rPr>
      </w:pPr>
    </w:p>
    <w:p w14:paraId="0E100688" w14:textId="77777777" w:rsidR="00DE23B2" w:rsidRPr="004A5A17" w:rsidRDefault="00DE23B2" w:rsidP="00331291">
      <w:pPr>
        <w:rPr>
          <w:rFonts w:eastAsia="Verdana"/>
          <w:bCs/>
          <w:color w:val="000000"/>
          <w:sz w:val="24"/>
          <w:szCs w:val="24"/>
        </w:rPr>
      </w:pPr>
      <w:r w:rsidRPr="004A5A17">
        <w:rPr>
          <w:rFonts w:eastAsia="Verdana"/>
          <w:bCs/>
          <w:color w:val="000000"/>
          <w:sz w:val="24"/>
          <w:szCs w:val="24"/>
        </w:rPr>
        <w:t xml:space="preserve">Conforme a las pruebas allegadas al expediente y </w:t>
      </w:r>
      <w:r w:rsidR="004F5109">
        <w:rPr>
          <w:rFonts w:eastAsia="Verdana"/>
          <w:bCs/>
          <w:color w:val="000000"/>
          <w:sz w:val="24"/>
          <w:szCs w:val="24"/>
        </w:rPr>
        <w:t>lo</w:t>
      </w:r>
      <w:r w:rsidRPr="004A5A17">
        <w:rPr>
          <w:rFonts w:eastAsia="Verdana"/>
          <w:bCs/>
          <w:color w:val="000000"/>
          <w:sz w:val="24"/>
          <w:szCs w:val="24"/>
        </w:rPr>
        <w:t xml:space="preserve"> narrado</w:t>
      </w:r>
      <w:r w:rsidR="004F5109">
        <w:rPr>
          <w:rFonts w:eastAsia="Verdana"/>
          <w:bCs/>
          <w:color w:val="000000"/>
          <w:sz w:val="24"/>
          <w:szCs w:val="24"/>
        </w:rPr>
        <w:t xml:space="preserve"> por </w:t>
      </w:r>
      <w:r w:rsidR="000A0FFC">
        <w:rPr>
          <w:rFonts w:eastAsia="Verdana"/>
          <w:bCs/>
          <w:color w:val="000000"/>
          <w:sz w:val="24"/>
          <w:szCs w:val="24"/>
        </w:rPr>
        <w:t>el</w:t>
      </w:r>
      <w:r w:rsidR="004F5109">
        <w:rPr>
          <w:rFonts w:eastAsia="Verdana"/>
          <w:bCs/>
          <w:color w:val="000000"/>
          <w:sz w:val="24"/>
          <w:szCs w:val="24"/>
        </w:rPr>
        <w:t xml:space="preserve"> accionante</w:t>
      </w:r>
      <w:r w:rsidRPr="004A5A17">
        <w:rPr>
          <w:rFonts w:eastAsia="Verdana"/>
          <w:bCs/>
          <w:color w:val="000000"/>
          <w:sz w:val="24"/>
          <w:szCs w:val="24"/>
        </w:rPr>
        <w:t xml:space="preserve"> en </w:t>
      </w:r>
      <w:r w:rsidR="004A5A17" w:rsidRPr="004A5A17">
        <w:rPr>
          <w:rFonts w:eastAsia="Verdana"/>
          <w:bCs/>
          <w:color w:val="000000"/>
          <w:sz w:val="24"/>
          <w:szCs w:val="24"/>
        </w:rPr>
        <w:t xml:space="preserve">el escrito de tutela, la Sala </w:t>
      </w:r>
      <w:r w:rsidR="00743E0D">
        <w:rPr>
          <w:rFonts w:eastAsia="Verdana"/>
          <w:bCs/>
          <w:color w:val="000000"/>
          <w:sz w:val="24"/>
          <w:szCs w:val="24"/>
        </w:rPr>
        <w:t>resume</w:t>
      </w:r>
      <w:r w:rsidR="004A5A17" w:rsidRPr="004A5A17">
        <w:rPr>
          <w:rFonts w:eastAsia="Verdana"/>
          <w:bCs/>
          <w:color w:val="000000"/>
          <w:sz w:val="24"/>
          <w:szCs w:val="24"/>
        </w:rPr>
        <w:t xml:space="preserve"> los siguientes</w:t>
      </w:r>
      <w:r w:rsidR="004C5699">
        <w:rPr>
          <w:rStyle w:val="Refdenotaalpie"/>
          <w:rFonts w:eastAsia="Verdana"/>
          <w:bCs/>
          <w:color w:val="000000"/>
          <w:sz w:val="24"/>
          <w:szCs w:val="24"/>
        </w:rPr>
        <w:footnoteReference w:id="2"/>
      </w:r>
      <w:r w:rsidR="004A5A17" w:rsidRPr="004A5A17">
        <w:rPr>
          <w:rFonts w:eastAsia="Verdana"/>
          <w:bCs/>
          <w:color w:val="000000"/>
          <w:sz w:val="24"/>
          <w:szCs w:val="24"/>
        </w:rPr>
        <w:t xml:space="preserve">: </w:t>
      </w:r>
    </w:p>
    <w:p w14:paraId="17D74189" w14:textId="77777777" w:rsidR="00DE23B2" w:rsidRPr="003E02F0" w:rsidRDefault="00DE23B2" w:rsidP="00331291">
      <w:pPr>
        <w:rPr>
          <w:rFonts w:eastAsia="Verdana"/>
          <w:b/>
          <w:color w:val="000000"/>
          <w:sz w:val="24"/>
          <w:szCs w:val="24"/>
        </w:rPr>
      </w:pPr>
    </w:p>
    <w:p w14:paraId="37F9EC1A" w14:textId="77777777" w:rsidR="00A174D1" w:rsidRDefault="00F2327C" w:rsidP="00331291">
      <w:pPr>
        <w:rPr>
          <w:bCs/>
          <w:color w:val="000000"/>
          <w:sz w:val="24"/>
          <w:szCs w:val="24"/>
        </w:rPr>
      </w:pPr>
      <w:r w:rsidRPr="007E1A7A">
        <w:rPr>
          <w:bCs/>
          <w:color w:val="000000"/>
          <w:sz w:val="24"/>
          <w:szCs w:val="24"/>
        </w:rPr>
        <w:t>1.2.</w:t>
      </w:r>
      <w:r w:rsidR="007E1A7A">
        <w:rPr>
          <w:bCs/>
          <w:color w:val="000000"/>
          <w:sz w:val="24"/>
          <w:szCs w:val="24"/>
        </w:rPr>
        <w:t>1</w:t>
      </w:r>
      <w:r w:rsidR="0044471A">
        <w:rPr>
          <w:bCs/>
          <w:color w:val="000000"/>
          <w:sz w:val="24"/>
          <w:szCs w:val="24"/>
        </w:rPr>
        <w:t xml:space="preserve">. </w:t>
      </w:r>
      <w:r w:rsidR="00A174D1">
        <w:rPr>
          <w:bCs/>
          <w:color w:val="000000"/>
          <w:sz w:val="24"/>
          <w:szCs w:val="24"/>
        </w:rPr>
        <w:t xml:space="preserve">La </w:t>
      </w:r>
      <w:r w:rsidR="00B84199">
        <w:rPr>
          <w:bCs/>
          <w:color w:val="000000"/>
          <w:sz w:val="24"/>
          <w:szCs w:val="24"/>
        </w:rPr>
        <w:t xml:space="preserve">Caja de Sueldos de Retiro de la Policía Nacional </w:t>
      </w:r>
      <w:r w:rsidR="004C5699">
        <w:rPr>
          <w:bCs/>
          <w:color w:val="000000"/>
          <w:sz w:val="24"/>
          <w:szCs w:val="24"/>
        </w:rPr>
        <w:t xml:space="preserve">mediante Resolución número 008701 del 19 de diciembre de 2011, </w:t>
      </w:r>
      <w:r w:rsidR="00B84199">
        <w:rPr>
          <w:bCs/>
          <w:color w:val="000000"/>
          <w:sz w:val="24"/>
          <w:szCs w:val="24"/>
        </w:rPr>
        <w:t xml:space="preserve">le reconoció al señor Reyes Miguel </w:t>
      </w:r>
      <w:r w:rsidR="00B84199">
        <w:rPr>
          <w:bCs/>
          <w:color w:val="000000"/>
          <w:sz w:val="24"/>
          <w:szCs w:val="24"/>
        </w:rPr>
        <w:lastRenderedPageBreak/>
        <w:t>Alvarado Solano una asignación de retiro efectiva a partir del 25 de enero del año 2012</w:t>
      </w:r>
      <w:r w:rsidR="004C5699">
        <w:rPr>
          <w:rStyle w:val="Refdenotaalpie"/>
          <w:bCs/>
          <w:color w:val="000000"/>
          <w:sz w:val="24"/>
          <w:szCs w:val="24"/>
        </w:rPr>
        <w:footnoteReference w:id="3"/>
      </w:r>
      <w:r w:rsidR="00A174D1">
        <w:rPr>
          <w:bCs/>
          <w:color w:val="000000"/>
          <w:sz w:val="24"/>
          <w:szCs w:val="24"/>
        </w:rPr>
        <w:t xml:space="preserve">. </w:t>
      </w:r>
    </w:p>
    <w:p w14:paraId="09E3784A" w14:textId="77777777" w:rsidR="00A174D1" w:rsidRDefault="00A174D1" w:rsidP="00331291">
      <w:pPr>
        <w:rPr>
          <w:bCs/>
          <w:color w:val="000000"/>
          <w:sz w:val="24"/>
          <w:szCs w:val="24"/>
        </w:rPr>
      </w:pPr>
    </w:p>
    <w:p w14:paraId="768A765D" w14:textId="77777777" w:rsidR="002A1AD0" w:rsidRDefault="00B84199" w:rsidP="00331291">
      <w:pPr>
        <w:rPr>
          <w:bCs/>
          <w:color w:val="000000"/>
          <w:sz w:val="24"/>
          <w:szCs w:val="24"/>
        </w:rPr>
      </w:pPr>
      <w:r>
        <w:rPr>
          <w:bCs/>
          <w:color w:val="000000"/>
          <w:sz w:val="24"/>
          <w:szCs w:val="24"/>
        </w:rPr>
        <w:t xml:space="preserve">El señor Alvarado Solano </w:t>
      </w:r>
      <w:r w:rsidR="00743E0D">
        <w:rPr>
          <w:bCs/>
          <w:color w:val="000000"/>
          <w:sz w:val="24"/>
          <w:szCs w:val="24"/>
        </w:rPr>
        <w:t>consideró</w:t>
      </w:r>
      <w:r>
        <w:rPr>
          <w:bCs/>
          <w:color w:val="000000"/>
          <w:sz w:val="24"/>
          <w:szCs w:val="24"/>
        </w:rPr>
        <w:t xml:space="preserve"> que la Caja de Sueldos </w:t>
      </w:r>
      <w:r w:rsidR="00A8216A">
        <w:rPr>
          <w:bCs/>
          <w:color w:val="000000"/>
          <w:sz w:val="24"/>
          <w:szCs w:val="24"/>
        </w:rPr>
        <w:t>d</w:t>
      </w:r>
      <w:r>
        <w:rPr>
          <w:bCs/>
          <w:color w:val="000000"/>
          <w:sz w:val="24"/>
          <w:szCs w:val="24"/>
        </w:rPr>
        <w:t xml:space="preserve">e </w:t>
      </w:r>
      <w:r w:rsidR="002A1AD0">
        <w:rPr>
          <w:bCs/>
          <w:color w:val="000000"/>
          <w:sz w:val="24"/>
          <w:szCs w:val="24"/>
        </w:rPr>
        <w:t>Retiro de</w:t>
      </w:r>
      <w:r>
        <w:rPr>
          <w:bCs/>
          <w:color w:val="000000"/>
          <w:sz w:val="24"/>
          <w:szCs w:val="24"/>
        </w:rPr>
        <w:t xml:space="preserve"> la Policía Nacional al reconocer y liquidar su asignación de retiro, no incluyó como factor salarial la prima académica superior de la Policía, que se debe computar en un equivalente al 20% del salario básico según lo dispuesto en los artículos 78 y 140 del Decreto 1212 del 8 de junio de 1990</w:t>
      </w:r>
      <w:r w:rsidR="002A1AD0">
        <w:rPr>
          <w:bCs/>
          <w:color w:val="000000"/>
          <w:sz w:val="24"/>
          <w:szCs w:val="24"/>
        </w:rPr>
        <w:t xml:space="preserve">. </w:t>
      </w:r>
    </w:p>
    <w:p w14:paraId="38EBB291" w14:textId="77777777" w:rsidR="002A1AD0" w:rsidRDefault="002A1AD0" w:rsidP="00331291">
      <w:pPr>
        <w:rPr>
          <w:bCs/>
          <w:color w:val="000000"/>
          <w:sz w:val="24"/>
          <w:szCs w:val="24"/>
        </w:rPr>
      </w:pPr>
    </w:p>
    <w:p w14:paraId="452E23FD" w14:textId="77777777" w:rsidR="00B84199" w:rsidRDefault="002A1AD0" w:rsidP="00331291">
      <w:pPr>
        <w:rPr>
          <w:bCs/>
          <w:color w:val="000000"/>
          <w:sz w:val="24"/>
          <w:szCs w:val="24"/>
        </w:rPr>
      </w:pPr>
      <w:r>
        <w:rPr>
          <w:bCs/>
          <w:color w:val="000000"/>
          <w:sz w:val="24"/>
          <w:szCs w:val="24"/>
        </w:rPr>
        <w:t xml:space="preserve">Por lo anterior, </w:t>
      </w:r>
      <w:r w:rsidR="00A8216A">
        <w:rPr>
          <w:bCs/>
          <w:color w:val="000000"/>
          <w:sz w:val="24"/>
          <w:szCs w:val="24"/>
        </w:rPr>
        <w:t xml:space="preserve">indicó que, </w:t>
      </w:r>
      <w:r w:rsidR="00BD6BA0">
        <w:rPr>
          <w:bCs/>
          <w:color w:val="000000"/>
          <w:sz w:val="24"/>
          <w:szCs w:val="24"/>
        </w:rPr>
        <w:t>el 19 de agosto de 2016 mediante apoderado solicitó</w:t>
      </w:r>
      <w:r w:rsidR="00B84199">
        <w:rPr>
          <w:bCs/>
          <w:color w:val="000000"/>
          <w:sz w:val="24"/>
          <w:szCs w:val="24"/>
        </w:rPr>
        <w:t xml:space="preserve"> a la Dirección General de la Policía Nacional </w:t>
      </w:r>
      <w:r w:rsidR="004F5109">
        <w:rPr>
          <w:bCs/>
          <w:color w:val="000000"/>
          <w:sz w:val="24"/>
          <w:szCs w:val="24"/>
        </w:rPr>
        <w:t xml:space="preserve">la </w:t>
      </w:r>
      <w:r w:rsidR="00B84199">
        <w:rPr>
          <w:bCs/>
          <w:color w:val="000000"/>
          <w:sz w:val="24"/>
          <w:szCs w:val="24"/>
        </w:rPr>
        <w:t xml:space="preserve">modificación de la hoja de servicios </w:t>
      </w:r>
      <w:r w:rsidR="005D542C">
        <w:rPr>
          <w:bCs/>
          <w:color w:val="000000"/>
          <w:sz w:val="24"/>
          <w:szCs w:val="24"/>
        </w:rPr>
        <w:t>por haber cursado</w:t>
      </w:r>
      <w:r w:rsidR="00B84199">
        <w:rPr>
          <w:bCs/>
          <w:color w:val="000000"/>
          <w:sz w:val="24"/>
          <w:szCs w:val="24"/>
        </w:rPr>
        <w:t xml:space="preserve"> satisfactoriamente el diplomado </w:t>
      </w:r>
      <w:r w:rsidR="00A8216A">
        <w:rPr>
          <w:bCs/>
          <w:color w:val="000000"/>
          <w:sz w:val="24"/>
          <w:szCs w:val="24"/>
        </w:rPr>
        <w:t xml:space="preserve">de academia superior, </w:t>
      </w:r>
      <w:r w:rsidR="00B84199">
        <w:rPr>
          <w:bCs/>
          <w:color w:val="000000"/>
          <w:sz w:val="24"/>
          <w:szCs w:val="24"/>
        </w:rPr>
        <w:t>como requisito</w:t>
      </w:r>
      <w:r w:rsidR="005D542C">
        <w:rPr>
          <w:bCs/>
          <w:color w:val="000000"/>
          <w:sz w:val="24"/>
          <w:szCs w:val="24"/>
        </w:rPr>
        <w:t xml:space="preserve"> para acceder a la prima académica</w:t>
      </w:r>
      <w:r w:rsidR="00A8216A">
        <w:rPr>
          <w:bCs/>
          <w:color w:val="000000"/>
          <w:sz w:val="24"/>
          <w:szCs w:val="24"/>
        </w:rPr>
        <w:t xml:space="preserve"> y en consecuencia a la reliquidación de su asignación de retiro teniendo en cuenta el 20% de dicho </w:t>
      </w:r>
      <w:r w:rsidR="001D149A">
        <w:rPr>
          <w:bCs/>
          <w:color w:val="000000"/>
          <w:sz w:val="24"/>
          <w:szCs w:val="24"/>
        </w:rPr>
        <w:t xml:space="preserve">factor </w:t>
      </w:r>
      <w:r w:rsidR="00A8216A">
        <w:rPr>
          <w:bCs/>
          <w:color w:val="000000"/>
          <w:sz w:val="24"/>
          <w:szCs w:val="24"/>
        </w:rPr>
        <w:t>salarial</w:t>
      </w:r>
      <w:r w:rsidR="005D542C">
        <w:rPr>
          <w:rStyle w:val="Refdenotaalpie"/>
          <w:bCs/>
          <w:color w:val="000000"/>
          <w:sz w:val="24"/>
          <w:szCs w:val="24"/>
        </w:rPr>
        <w:footnoteReference w:id="4"/>
      </w:r>
      <w:r w:rsidR="00B84199">
        <w:rPr>
          <w:bCs/>
          <w:color w:val="000000"/>
          <w:sz w:val="24"/>
          <w:szCs w:val="24"/>
        </w:rPr>
        <w:t>.</w:t>
      </w:r>
    </w:p>
    <w:p w14:paraId="16278D69" w14:textId="77777777" w:rsidR="00B84199" w:rsidRDefault="00B84199" w:rsidP="00331291">
      <w:pPr>
        <w:rPr>
          <w:bCs/>
          <w:color w:val="000000"/>
          <w:sz w:val="24"/>
          <w:szCs w:val="24"/>
        </w:rPr>
      </w:pPr>
    </w:p>
    <w:p w14:paraId="0668A939" w14:textId="77777777" w:rsidR="00DE23B2" w:rsidRDefault="00B84199" w:rsidP="00331291">
      <w:pPr>
        <w:rPr>
          <w:bCs/>
          <w:color w:val="000000"/>
          <w:sz w:val="24"/>
          <w:szCs w:val="24"/>
        </w:rPr>
      </w:pPr>
      <w:r>
        <w:rPr>
          <w:bCs/>
          <w:color w:val="000000"/>
          <w:sz w:val="24"/>
          <w:szCs w:val="24"/>
        </w:rPr>
        <w:t xml:space="preserve">La </w:t>
      </w:r>
      <w:r w:rsidR="004F5109">
        <w:rPr>
          <w:bCs/>
          <w:color w:val="000000"/>
          <w:sz w:val="24"/>
          <w:szCs w:val="24"/>
        </w:rPr>
        <w:t>mencionada entidad,</w:t>
      </w:r>
      <w:r w:rsidR="00DE23B2">
        <w:rPr>
          <w:bCs/>
          <w:color w:val="000000"/>
          <w:sz w:val="24"/>
          <w:szCs w:val="24"/>
        </w:rPr>
        <w:t xml:space="preserve"> por medio de </w:t>
      </w:r>
      <w:r>
        <w:rPr>
          <w:bCs/>
          <w:color w:val="000000"/>
          <w:sz w:val="24"/>
          <w:szCs w:val="24"/>
        </w:rPr>
        <w:t>acto administrativo número S-2013-267207/ANOPA-GRUNO-1.0 del 28 de septiembre del año 2016</w:t>
      </w:r>
      <w:r w:rsidR="004C5699">
        <w:rPr>
          <w:rStyle w:val="Refdenotaalpie"/>
          <w:bCs/>
          <w:color w:val="000000"/>
          <w:sz w:val="24"/>
          <w:szCs w:val="24"/>
        </w:rPr>
        <w:footnoteReference w:id="5"/>
      </w:r>
      <w:r>
        <w:rPr>
          <w:bCs/>
          <w:color w:val="000000"/>
          <w:sz w:val="24"/>
          <w:szCs w:val="24"/>
        </w:rPr>
        <w:t>,</w:t>
      </w:r>
      <w:r w:rsidR="00DE23B2">
        <w:rPr>
          <w:bCs/>
          <w:color w:val="000000"/>
          <w:sz w:val="24"/>
          <w:szCs w:val="24"/>
        </w:rPr>
        <w:t xml:space="preserve"> </w:t>
      </w:r>
      <w:r>
        <w:rPr>
          <w:bCs/>
          <w:color w:val="000000"/>
          <w:sz w:val="24"/>
          <w:szCs w:val="24"/>
        </w:rPr>
        <w:t>negó la solicitud de modificación de</w:t>
      </w:r>
      <w:r w:rsidR="00CC7D6B">
        <w:rPr>
          <w:bCs/>
          <w:color w:val="000000"/>
          <w:sz w:val="24"/>
          <w:szCs w:val="24"/>
        </w:rPr>
        <w:t xml:space="preserve"> la</w:t>
      </w:r>
      <w:r>
        <w:rPr>
          <w:bCs/>
          <w:color w:val="000000"/>
          <w:sz w:val="24"/>
          <w:szCs w:val="24"/>
        </w:rPr>
        <w:t xml:space="preserve"> hoja de servicios, por considerar que tal disposición era </w:t>
      </w:r>
      <w:r w:rsidR="002A1AD0">
        <w:rPr>
          <w:bCs/>
          <w:color w:val="000000"/>
          <w:sz w:val="24"/>
          <w:szCs w:val="24"/>
        </w:rPr>
        <w:t xml:space="preserve">aplicada única y exclusivamente para los oficiales que ostentaban el cargo de Teniente Coronel. </w:t>
      </w:r>
    </w:p>
    <w:p w14:paraId="7830AC65" w14:textId="77777777" w:rsidR="00DE23B2" w:rsidRDefault="00DE23B2" w:rsidP="00331291">
      <w:pPr>
        <w:rPr>
          <w:bCs/>
          <w:color w:val="000000"/>
          <w:sz w:val="24"/>
          <w:szCs w:val="24"/>
        </w:rPr>
      </w:pPr>
    </w:p>
    <w:p w14:paraId="7E52A3D6" w14:textId="77777777" w:rsidR="004A5A17" w:rsidRDefault="00FB5246" w:rsidP="00877FFD">
      <w:pPr>
        <w:widowControl w:val="0"/>
        <w:rPr>
          <w:bCs/>
          <w:color w:val="000000"/>
          <w:sz w:val="24"/>
          <w:szCs w:val="24"/>
        </w:rPr>
      </w:pPr>
      <w:r>
        <w:rPr>
          <w:bCs/>
          <w:color w:val="000000"/>
          <w:sz w:val="24"/>
          <w:szCs w:val="24"/>
        </w:rPr>
        <w:t xml:space="preserve">1.2.2. </w:t>
      </w:r>
      <w:r w:rsidR="002A1AD0">
        <w:rPr>
          <w:bCs/>
          <w:color w:val="000000"/>
          <w:sz w:val="24"/>
          <w:szCs w:val="24"/>
        </w:rPr>
        <w:t xml:space="preserve">Por otro lado, el señor Alvarado Solano solicitó a la Caja de Sueldos de Retiro de la Policía Nacional la reliquidación de su asignación de retiro incluyendo el 20% de la prima académica superior de la Policía. </w:t>
      </w:r>
      <w:r w:rsidR="007C0B4C">
        <w:rPr>
          <w:bCs/>
          <w:color w:val="000000"/>
          <w:sz w:val="24"/>
          <w:szCs w:val="24"/>
        </w:rPr>
        <w:t>L</w:t>
      </w:r>
      <w:r w:rsidR="004A5A17">
        <w:rPr>
          <w:bCs/>
          <w:color w:val="000000"/>
          <w:sz w:val="24"/>
          <w:szCs w:val="24"/>
        </w:rPr>
        <w:t>a entidad</w:t>
      </w:r>
      <w:r w:rsidR="007C0B4C">
        <w:rPr>
          <w:bCs/>
          <w:color w:val="000000"/>
          <w:sz w:val="24"/>
          <w:szCs w:val="24"/>
        </w:rPr>
        <w:t xml:space="preserve"> mediante acto administrativo número E-00003-2016002979-CASUR Id:183868 del 2 de noviembre de 20</w:t>
      </w:r>
      <w:r w:rsidR="00BD6BA0">
        <w:rPr>
          <w:bCs/>
          <w:color w:val="000000"/>
          <w:sz w:val="24"/>
          <w:szCs w:val="24"/>
        </w:rPr>
        <w:t>1</w:t>
      </w:r>
      <w:r w:rsidR="007C0B4C">
        <w:rPr>
          <w:bCs/>
          <w:color w:val="000000"/>
          <w:sz w:val="24"/>
          <w:szCs w:val="24"/>
        </w:rPr>
        <w:t>6</w:t>
      </w:r>
      <w:r w:rsidR="004C5699">
        <w:rPr>
          <w:rStyle w:val="Refdenotaalpie"/>
          <w:bCs/>
          <w:color w:val="000000"/>
          <w:sz w:val="24"/>
          <w:szCs w:val="24"/>
        </w:rPr>
        <w:footnoteReference w:id="6"/>
      </w:r>
      <w:r w:rsidR="00CC7D6B">
        <w:rPr>
          <w:bCs/>
          <w:color w:val="000000"/>
          <w:sz w:val="24"/>
          <w:szCs w:val="24"/>
        </w:rPr>
        <w:t>,</w:t>
      </w:r>
      <w:r w:rsidR="004A5A17">
        <w:rPr>
          <w:bCs/>
          <w:color w:val="000000"/>
          <w:sz w:val="24"/>
          <w:szCs w:val="24"/>
        </w:rPr>
        <w:t xml:space="preserve"> </w:t>
      </w:r>
      <w:r w:rsidR="002A1AD0">
        <w:rPr>
          <w:bCs/>
          <w:color w:val="000000"/>
          <w:sz w:val="24"/>
          <w:szCs w:val="24"/>
        </w:rPr>
        <w:t xml:space="preserve">respondió que </w:t>
      </w:r>
      <w:r w:rsidR="004A5A17">
        <w:rPr>
          <w:bCs/>
          <w:color w:val="000000"/>
          <w:sz w:val="24"/>
          <w:szCs w:val="24"/>
        </w:rPr>
        <w:t>la reliquidación solicitad</w:t>
      </w:r>
      <w:r w:rsidR="003F637F">
        <w:rPr>
          <w:bCs/>
          <w:color w:val="000000"/>
          <w:sz w:val="24"/>
          <w:szCs w:val="24"/>
        </w:rPr>
        <w:t>a</w:t>
      </w:r>
      <w:r w:rsidR="004A5A17">
        <w:rPr>
          <w:bCs/>
          <w:color w:val="000000"/>
          <w:sz w:val="24"/>
          <w:szCs w:val="24"/>
        </w:rPr>
        <w:t xml:space="preserve"> </w:t>
      </w:r>
      <w:r w:rsidR="002A1AD0">
        <w:rPr>
          <w:bCs/>
          <w:color w:val="000000"/>
          <w:sz w:val="24"/>
          <w:szCs w:val="24"/>
        </w:rPr>
        <w:t>solo podía ser atendida favorablemente una vez fuera modificada la hoja de servicios.</w:t>
      </w:r>
    </w:p>
    <w:p w14:paraId="43644067" w14:textId="77777777" w:rsidR="007C0B4C" w:rsidRDefault="007C0B4C" w:rsidP="00877FFD">
      <w:pPr>
        <w:widowControl w:val="0"/>
        <w:rPr>
          <w:bCs/>
          <w:color w:val="000000"/>
          <w:sz w:val="24"/>
          <w:szCs w:val="24"/>
        </w:rPr>
      </w:pPr>
    </w:p>
    <w:p w14:paraId="78078C67" w14:textId="77777777" w:rsidR="00BD6BA0" w:rsidRDefault="007C0B4C" w:rsidP="00877FFD">
      <w:pPr>
        <w:widowControl w:val="0"/>
        <w:rPr>
          <w:bCs/>
          <w:color w:val="000000"/>
          <w:sz w:val="24"/>
          <w:szCs w:val="24"/>
        </w:rPr>
      </w:pPr>
      <w:r>
        <w:rPr>
          <w:bCs/>
          <w:color w:val="000000"/>
          <w:sz w:val="24"/>
          <w:szCs w:val="24"/>
        </w:rPr>
        <w:t>Posteriormente el señor Alvarado Solano radicó el 9 de marzo de 2017</w:t>
      </w:r>
      <w:r w:rsidR="004C5699">
        <w:rPr>
          <w:rStyle w:val="Refdenotaalpie"/>
          <w:bCs/>
          <w:color w:val="000000"/>
          <w:sz w:val="24"/>
          <w:szCs w:val="24"/>
        </w:rPr>
        <w:footnoteReference w:id="7"/>
      </w:r>
      <w:r w:rsidR="00946125">
        <w:rPr>
          <w:bCs/>
          <w:color w:val="000000"/>
          <w:sz w:val="24"/>
          <w:szCs w:val="24"/>
        </w:rPr>
        <w:t>,</w:t>
      </w:r>
      <w:r>
        <w:rPr>
          <w:bCs/>
          <w:color w:val="000000"/>
          <w:sz w:val="24"/>
          <w:szCs w:val="24"/>
        </w:rPr>
        <w:t xml:space="preserve"> solicitud de reliquidación de su asignación de retiro que</w:t>
      </w:r>
      <w:r w:rsidR="00946125">
        <w:rPr>
          <w:bCs/>
          <w:color w:val="000000"/>
          <w:sz w:val="24"/>
          <w:szCs w:val="24"/>
        </w:rPr>
        <w:t>,</w:t>
      </w:r>
      <w:r>
        <w:rPr>
          <w:bCs/>
          <w:color w:val="000000"/>
          <w:sz w:val="24"/>
          <w:szCs w:val="24"/>
        </w:rPr>
        <w:t xml:space="preserve"> fue negad</w:t>
      </w:r>
      <w:r w:rsidR="00BD6BA0">
        <w:rPr>
          <w:bCs/>
          <w:color w:val="000000"/>
          <w:sz w:val="24"/>
          <w:szCs w:val="24"/>
        </w:rPr>
        <w:t>a</w:t>
      </w:r>
      <w:r>
        <w:rPr>
          <w:bCs/>
          <w:color w:val="000000"/>
          <w:sz w:val="24"/>
          <w:szCs w:val="24"/>
        </w:rPr>
        <w:t xml:space="preserve"> por la Caja de Sueldos de Retiro de la Policía Nacional mediante acto administrativo número E-00003-20170592-CASUR Id:217001 del 22 de marzo de 2017</w:t>
      </w:r>
      <w:r w:rsidR="00946125">
        <w:rPr>
          <w:rStyle w:val="Refdenotaalpie"/>
          <w:bCs/>
          <w:color w:val="000000"/>
          <w:sz w:val="24"/>
          <w:szCs w:val="24"/>
        </w:rPr>
        <w:footnoteReference w:id="8"/>
      </w:r>
      <w:r w:rsidR="00251B26">
        <w:rPr>
          <w:bCs/>
          <w:color w:val="000000"/>
          <w:sz w:val="24"/>
          <w:szCs w:val="24"/>
        </w:rPr>
        <w:t>.</w:t>
      </w:r>
      <w:r>
        <w:rPr>
          <w:bCs/>
          <w:color w:val="000000"/>
          <w:sz w:val="24"/>
          <w:szCs w:val="24"/>
        </w:rPr>
        <w:t xml:space="preserve"> </w:t>
      </w:r>
    </w:p>
    <w:p w14:paraId="54A23537" w14:textId="77777777" w:rsidR="00BD6BA0" w:rsidRDefault="00BD6BA0" w:rsidP="00877FFD">
      <w:pPr>
        <w:widowControl w:val="0"/>
        <w:rPr>
          <w:bCs/>
          <w:color w:val="000000"/>
          <w:sz w:val="24"/>
          <w:szCs w:val="24"/>
        </w:rPr>
      </w:pPr>
    </w:p>
    <w:p w14:paraId="6DE06B19" w14:textId="77777777" w:rsidR="007C0B4C" w:rsidRDefault="00BD6BA0" w:rsidP="00877FFD">
      <w:pPr>
        <w:widowControl w:val="0"/>
        <w:rPr>
          <w:bCs/>
          <w:color w:val="000000"/>
          <w:sz w:val="24"/>
          <w:szCs w:val="24"/>
        </w:rPr>
      </w:pPr>
      <w:r>
        <w:rPr>
          <w:bCs/>
          <w:color w:val="000000"/>
          <w:sz w:val="24"/>
          <w:szCs w:val="24"/>
        </w:rPr>
        <w:t>El 18 de enero de 2018 reiteró su solicitud de reliquidación</w:t>
      </w:r>
      <w:r w:rsidR="00946125">
        <w:rPr>
          <w:rStyle w:val="Refdenotaalpie"/>
          <w:bCs/>
          <w:color w:val="000000"/>
          <w:sz w:val="24"/>
          <w:szCs w:val="24"/>
        </w:rPr>
        <w:footnoteReference w:id="9"/>
      </w:r>
      <w:r>
        <w:rPr>
          <w:bCs/>
          <w:color w:val="000000"/>
          <w:sz w:val="24"/>
          <w:szCs w:val="24"/>
        </w:rPr>
        <w:t xml:space="preserve"> y CASUR por medio de </w:t>
      </w:r>
      <w:r>
        <w:rPr>
          <w:bCs/>
          <w:color w:val="000000"/>
          <w:sz w:val="24"/>
          <w:szCs w:val="24"/>
        </w:rPr>
        <w:lastRenderedPageBreak/>
        <w:t>acto administrativo número</w:t>
      </w:r>
      <w:r w:rsidR="00913CC2">
        <w:rPr>
          <w:bCs/>
          <w:color w:val="000000"/>
          <w:sz w:val="24"/>
          <w:szCs w:val="24"/>
        </w:rPr>
        <w:t xml:space="preserve"> </w:t>
      </w:r>
      <w:r w:rsidR="007C0B4C">
        <w:rPr>
          <w:bCs/>
          <w:color w:val="000000"/>
          <w:sz w:val="24"/>
          <w:szCs w:val="24"/>
        </w:rPr>
        <w:t>E-00003-201801550-CASUR Id:299304 del 6 de febrero de 2018,</w:t>
      </w:r>
      <w:r w:rsidR="00C30A4D" w:rsidRPr="00C30A4D">
        <w:rPr>
          <w:bCs/>
          <w:color w:val="000000"/>
          <w:sz w:val="24"/>
          <w:szCs w:val="24"/>
        </w:rPr>
        <w:t xml:space="preserve"> </w:t>
      </w:r>
      <w:r w:rsidR="00C30A4D">
        <w:rPr>
          <w:bCs/>
          <w:color w:val="000000"/>
          <w:sz w:val="24"/>
          <w:szCs w:val="24"/>
        </w:rPr>
        <w:t>informó que la solicitud sería remitida nuevamente al Archivo General para la gestión pertinente</w:t>
      </w:r>
      <w:r w:rsidR="00C30A4D">
        <w:rPr>
          <w:rStyle w:val="Refdenotaalpie"/>
          <w:bCs/>
          <w:color w:val="000000"/>
          <w:sz w:val="24"/>
          <w:szCs w:val="24"/>
        </w:rPr>
        <w:footnoteReference w:id="10"/>
      </w:r>
      <w:r>
        <w:rPr>
          <w:bCs/>
          <w:color w:val="000000"/>
          <w:sz w:val="24"/>
          <w:szCs w:val="24"/>
        </w:rPr>
        <w:t>.</w:t>
      </w:r>
    </w:p>
    <w:p w14:paraId="5579A268" w14:textId="77777777" w:rsidR="007C0B4C" w:rsidRDefault="007C0B4C" w:rsidP="00331291">
      <w:pPr>
        <w:rPr>
          <w:bCs/>
          <w:color w:val="000000"/>
          <w:sz w:val="24"/>
          <w:szCs w:val="24"/>
        </w:rPr>
      </w:pPr>
    </w:p>
    <w:p w14:paraId="3658413B" w14:textId="77777777" w:rsidR="007C0B4C" w:rsidRDefault="00BD6BA0" w:rsidP="00331291">
      <w:pPr>
        <w:rPr>
          <w:bCs/>
          <w:color w:val="000000"/>
          <w:sz w:val="24"/>
          <w:szCs w:val="24"/>
        </w:rPr>
      </w:pPr>
      <w:r>
        <w:rPr>
          <w:bCs/>
          <w:color w:val="000000"/>
          <w:sz w:val="24"/>
          <w:szCs w:val="24"/>
        </w:rPr>
        <w:t>Inconforme con la respuesta, el</w:t>
      </w:r>
      <w:r w:rsidR="007C0B4C">
        <w:rPr>
          <w:bCs/>
          <w:color w:val="000000"/>
          <w:sz w:val="24"/>
          <w:szCs w:val="24"/>
        </w:rPr>
        <w:t xml:space="preserve"> 16 de febrero de 2018</w:t>
      </w:r>
      <w:r>
        <w:rPr>
          <w:bCs/>
          <w:color w:val="000000"/>
          <w:sz w:val="24"/>
          <w:szCs w:val="24"/>
        </w:rPr>
        <w:t xml:space="preserve">, </w:t>
      </w:r>
      <w:r w:rsidR="007C0B4C">
        <w:rPr>
          <w:bCs/>
          <w:color w:val="000000"/>
          <w:sz w:val="24"/>
          <w:szCs w:val="24"/>
        </w:rPr>
        <w:t>interpuso recurso de reposición en contra del acto administrativo del 6 de febrero de 2018</w:t>
      </w:r>
      <w:r w:rsidR="00C30A4D">
        <w:rPr>
          <w:rStyle w:val="Refdenotaalpie"/>
          <w:bCs/>
          <w:color w:val="000000"/>
          <w:sz w:val="24"/>
          <w:szCs w:val="24"/>
        </w:rPr>
        <w:footnoteReference w:id="11"/>
      </w:r>
      <w:r w:rsidR="007C0B4C">
        <w:rPr>
          <w:bCs/>
          <w:color w:val="000000"/>
          <w:sz w:val="24"/>
          <w:szCs w:val="24"/>
        </w:rPr>
        <w:t xml:space="preserve"> y la entidad mediante acto administrativo número E-01524-201806462 CASUR Id:316178</w:t>
      </w:r>
      <w:r w:rsidR="00C30A4D">
        <w:rPr>
          <w:bCs/>
          <w:color w:val="000000"/>
          <w:sz w:val="24"/>
          <w:szCs w:val="24"/>
        </w:rPr>
        <w:t xml:space="preserve"> del 11 de abril de 2018 reiteró que una vez la Policía Nacional remitiera la Hoja de Servicios modificada, daría trámite a su solicitud de reliquidación</w:t>
      </w:r>
      <w:r w:rsidR="00C30A4D">
        <w:rPr>
          <w:rStyle w:val="Refdenotaalpie"/>
          <w:bCs/>
          <w:color w:val="000000"/>
          <w:sz w:val="24"/>
          <w:szCs w:val="24"/>
        </w:rPr>
        <w:footnoteReference w:id="12"/>
      </w:r>
      <w:r w:rsidR="00C30A4D">
        <w:rPr>
          <w:bCs/>
          <w:color w:val="000000"/>
          <w:sz w:val="24"/>
          <w:szCs w:val="24"/>
        </w:rPr>
        <w:t xml:space="preserve">. </w:t>
      </w:r>
    </w:p>
    <w:p w14:paraId="72CB38EA" w14:textId="77777777" w:rsidR="004A5A17" w:rsidRDefault="004A5A17" w:rsidP="00331291">
      <w:pPr>
        <w:rPr>
          <w:bCs/>
          <w:color w:val="000000"/>
          <w:sz w:val="24"/>
          <w:szCs w:val="24"/>
        </w:rPr>
      </w:pPr>
    </w:p>
    <w:p w14:paraId="795369F5" w14:textId="77777777" w:rsidR="00D66F35" w:rsidRDefault="004A5A17" w:rsidP="00331291">
      <w:pPr>
        <w:rPr>
          <w:bCs/>
          <w:color w:val="000000"/>
          <w:sz w:val="24"/>
          <w:szCs w:val="24"/>
        </w:rPr>
      </w:pPr>
      <w:r>
        <w:rPr>
          <w:bCs/>
          <w:color w:val="000000"/>
          <w:sz w:val="24"/>
          <w:szCs w:val="24"/>
        </w:rPr>
        <w:t xml:space="preserve">1.2.3. </w:t>
      </w:r>
      <w:r w:rsidR="002A1AD0">
        <w:rPr>
          <w:bCs/>
          <w:color w:val="000000"/>
          <w:sz w:val="24"/>
          <w:szCs w:val="24"/>
        </w:rPr>
        <w:t xml:space="preserve">El señor Reyes Miguel Alvarado Solano </w:t>
      </w:r>
      <w:r w:rsidR="00EE5B75">
        <w:rPr>
          <w:bCs/>
          <w:color w:val="000000"/>
          <w:sz w:val="24"/>
          <w:szCs w:val="24"/>
        </w:rPr>
        <w:t xml:space="preserve">en </w:t>
      </w:r>
      <w:r w:rsidR="00B81740">
        <w:rPr>
          <w:bCs/>
          <w:color w:val="000000"/>
          <w:sz w:val="24"/>
          <w:szCs w:val="24"/>
        </w:rPr>
        <w:t>ejercicio d</w:t>
      </w:r>
      <w:r w:rsidR="00247915">
        <w:rPr>
          <w:bCs/>
          <w:color w:val="000000"/>
          <w:sz w:val="24"/>
          <w:szCs w:val="24"/>
        </w:rPr>
        <w:t xml:space="preserve">el medio de control de </w:t>
      </w:r>
      <w:r w:rsidR="00B81740">
        <w:rPr>
          <w:bCs/>
          <w:color w:val="000000"/>
          <w:sz w:val="24"/>
          <w:szCs w:val="24"/>
        </w:rPr>
        <w:t xml:space="preserve">nulidad y restablecimiento del derecho formuló </w:t>
      </w:r>
      <w:r w:rsidR="003429A2">
        <w:rPr>
          <w:bCs/>
          <w:color w:val="000000"/>
          <w:sz w:val="24"/>
          <w:szCs w:val="24"/>
        </w:rPr>
        <w:t xml:space="preserve">por medio de apoderado judicial, </w:t>
      </w:r>
      <w:r w:rsidR="00B81740">
        <w:rPr>
          <w:bCs/>
          <w:color w:val="000000"/>
          <w:sz w:val="24"/>
          <w:szCs w:val="24"/>
        </w:rPr>
        <w:t xml:space="preserve">demanda orientada a obtener la nulidad </w:t>
      </w:r>
      <w:r w:rsidR="0057102D">
        <w:rPr>
          <w:bCs/>
          <w:color w:val="000000"/>
          <w:sz w:val="24"/>
          <w:szCs w:val="24"/>
        </w:rPr>
        <w:t>de</w:t>
      </w:r>
      <w:r w:rsidR="002A1AD0">
        <w:rPr>
          <w:bCs/>
          <w:color w:val="000000"/>
          <w:sz w:val="24"/>
          <w:szCs w:val="24"/>
        </w:rPr>
        <w:t xml:space="preserve">l acto administrativo número S-2013-267207/ANOPA-GRUNO-1.0 del 28 de septiembre del año 2016 </w:t>
      </w:r>
      <w:r w:rsidR="007E1A7A">
        <w:rPr>
          <w:bCs/>
          <w:color w:val="000000"/>
          <w:sz w:val="24"/>
          <w:szCs w:val="24"/>
        </w:rPr>
        <w:t xml:space="preserve">mediante </w:t>
      </w:r>
      <w:r w:rsidR="002A1AD0">
        <w:rPr>
          <w:bCs/>
          <w:color w:val="000000"/>
          <w:sz w:val="24"/>
          <w:szCs w:val="24"/>
        </w:rPr>
        <w:t xml:space="preserve">el </w:t>
      </w:r>
      <w:r w:rsidR="00034785">
        <w:rPr>
          <w:bCs/>
          <w:color w:val="000000"/>
          <w:sz w:val="24"/>
          <w:szCs w:val="24"/>
        </w:rPr>
        <w:t>que</w:t>
      </w:r>
      <w:r w:rsidR="007E1A7A">
        <w:rPr>
          <w:bCs/>
          <w:color w:val="000000"/>
          <w:sz w:val="24"/>
          <w:szCs w:val="24"/>
        </w:rPr>
        <w:t xml:space="preserve"> </w:t>
      </w:r>
      <w:r w:rsidR="002A1AD0">
        <w:rPr>
          <w:bCs/>
          <w:color w:val="000000"/>
          <w:sz w:val="24"/>
          <w:szCs w:val="24"/>
        </w:rPr>
        <w:t>la Policía Nacional negó la modificación de la hoja de servicios y de</w:t>
      </w:r>
      <w:r w:rsidR="0018628C">
        <w:rPr>
          <w:bCs/>
          <w:color w:val="000000"/>
          <w:sz w:val="24"/>
          <w:szCs w:val="24"/>
        </w:rPr>
        <w:t xml:space="preserve"> </w:t>
      </w:r>
      <w:r w:rsidR="002A1AD0">
        <w:rPr>
          <w:bCs/>
          <w:color w:val="000000"/>
          <w:sz w:val="24"/>
          <w:szCs w:val="24"/>
        </w:rPr>
        <w:t>l</w:t>
      </w:r>
      <w:r w:rsidR="0018628C">
        <w:rPr>
          <w:bCs/>
          <w:color w:val="000000"/>
          <w:sz w:val="24"/>
          <w:szCs w:val="24"/>
        </w:rPr>
        <w:t>os</w:t>
      </w:r>
      <w:r w:rsidR="002A1AD0">
        <w:rPr>
          <w:bCs/>
          <w:color w:val="000000"/>
          <w:sz w:val="24"/>
          <w:szCs w:val="24"/>
        </w:rPr>
        <w:t xml:space="preserve"> acto</w:t>
      </w:r>
      <w:r w:rsidR="0018628C">
        <w:rPr>
          <w:bCs/>
          <w:color w:val="000000"/>
          <w:sz w:val="24"/>
          <w:szCs w:val="24"/>
        </w:rPr>
        <w:t>s</w:t>
      </w:r>
      <w:r w:rsidR="002A1AD0">
        <w:rPr>
          <w:bCs/>
          <w:color w:val="000000"/>
          <w:sz w:val="24"/>
          <w:szCs w:val="24"/>
        </w:rPr>
        <w:t xml:space="preserve"> administrativo</w:t>
      </w:r>
      <w:r w:rsidR="0018628C">
        <w:rPr>
          <w:bCs/>
          <w:color w:val="000000"/>
          <w:sz w:val="24"/>
          <w:szCs w:val="24"/>
        </w:rPr>
        <w:t>s del 2 de noviembre de 2016, 22 de marzo de 2017, 6 de febrero de 2018 y 11 de abril de 2018</w:t>
      </w:r>
      <w:r w:rsidR="002A1AD0">
        <w:rPr>
          <w:bCs/>
          <w:color w:val="000000"/>
          <w:sz w:val="24"/>
          <w:szCs w:val="24"/>
        </w:rPr>
        <w:t xml:space="preserve"> emitido</w:t>
      </w:r>
      <w:r w:rsidR="0018628C">
        <w:rPr>
          <w:bCs/>
          <w:color w:val="000000"/>
          <w:sz w:val="24"/>
          <w:szCs w:val="24"/>
        </w:rPr>
        <w:t>s</w:t>
      </w:r>
      <w:r w:rsidR="002A1AD0">
        <w:rPr>
          <w:bCs/>
          <w:color w:val="000000"/>
          <w:sz w:val="24"/>
          <w:szCs w:val="24"/>
        </w:rPr>
        <w:t xml:space="preserve"> por la Caja de Sueldos de Retiro de la Policía Nacional</w:t>
      </w:r>
      <w:r w:rsidR="00913CC2">
        <w:rPr>
          <w:bCs/>
          <w:color w:val="000000"/>
          <w:sz w:val="24"/>
          <w:szCs w:val="24"/>
        </w:rPr>
        <w:t xml:space="preserve"> </w:t>
      </w:r>
      <w:r w:rsidR="00CC7D6B">
        <w:rPr>
          <w:bCs/>
          <w:color w:val="000000"/>
          <w:sz w:val="24"/>
          <w:szCs w:val="24"/>
        </w:rPr>
        <w:t xml:space="preserve">en los </w:t>
      </w:r>
      <w:r w:rsidR="00913CC2">
        <w:rPr>
          <w:bCs/>
          <w:color w:val="000000"/>
          <w:sz w:val="24"/>
          <w:szCs w:val="24"/>
        </w:rPr>
        <w:t>que l</w:t>
      </w:r>
      <w:r w:rsidR="00CC7D6B">
        <w:rPr>
          <w:bCs/>
          <w:color w:val="000000"/>
          <w:sz w:val="24"/>
          <w:szCs w:val="24"/>
        </w:rPr>
        <w:t xml:space="preserve">a entidad, le negó </w:t>
      </w:r>
      <w:r w:rsidR="002A1AD0">
        <w:rPr>
          <w:bCs/>
          <w:color w:val="000000"/>
          <w:sz w:val="24"/>
          <w:szCs w:val="24"/>
        </w:rPr>
        <w:t>la reliquidación de la asignación de retiro</w:t>
      </w:r>
      <w:r w:rsidR="00913CC2">
        <w:rPr>
          <w:bCs/>
          <w:color w:val="000000"/>
          <w:sz w:val="24"/>
          <w:szCs w:val="24"/>
        </w:rPr>
        <w:t xml:space="preserve">. A título de restablecimiento </w:t>
      </w:r>
      <w:r w:rsidR="009C155D">
        <w:rPr>
          <w:bCs/>
          <w:color w:val="000000"/>
          <w:sz w:val="24"/>
          <w:szCs w:val="24"/>
        </w:rPr>
        <w:t xml:space="preserve">del derecho </w:t>
      </w:r>
      <w:r w:rsidR="00034785" w:rsidRPr="00DE23B2">
        <w:rPr>
          <w:bCs/>
          <w:color w:val="000000"/>
          <w:sz w:val="24"/>
          <w:szCs w:val="24"/>
        </w:rPr>
        <w:t xml:space="preserve">solicitó </w:t>
      </w:r>
      <w:r w:rsidR="00913CC2">
        <w:rPr>
          <w:bCs/>
          <w:color w:val="000000"/>
          <w:sz w:val="24"/>
          <w:szCs w:val="24"/>
        </w:rPr>
        <w:t xml:space="preserve">ordenar a </w:t>
      </w:r>
      <w:r w:rsidR="00DE23B2" w:rsidRPr="00DE23B2">
        <w:rPr>
          <w:bCs/>
          <w:color w:val="000000"/>
          <w:sz w:val="24"/>
          <w:szCs w:val="24"/>
        </w:rPr>
        <w:t>la</w:t>
      </w:r>
      <w:r w:rsidR="002A1AD0">
        <w:rPr>
          <w:bCs/>
          <w:color w:val="000000"/>
          <w:sz w:val="24"/>
          <w:szCs w:val="24"/>
        </w:rPr>
        <w:t>s</w:t>
      </w:r>
      <w:r w:rsidR="00DE23B2" w:rsidRPr="00DE23B2">
        <w:rPr>
          <w:bCs/>
          <w:color w:val="000000"/>
          <w:sz w:val="24"/>
          <w:szCs w:val="24"/>
        </w:rPr>
        <w:t xml:space="preserve"> demandada</w:t>
      </w:r>
      <w:r w:rsidR="002A1AD0">
        <w:rPr>
          <w:bCs/>
          <w:color w:val="000000"/>
          <w:sz w:val="24"/>
          <w:szCs w:val="24"/>
        </w:rPr>
        <w:t>s</w:t>
      </w:r>
      <w:r w:rsidR="00913CC2">
        <w:rPr>
          <w:bCs/>
          <w:color w:val="000000"/>
          <w:sz w:val="24"/>
          <w:szCs w:val="24"/>
        </w:rPr>
        <w:t xml:space="preserve"> modificar la hoja de servicios </w:t>
      </w:r>
      <w:r w:rsidR="002A1AD0">
        <w:rPr>
          <w:bCs/>
          <w:color w:val="000000"/>
          <w:sz w:val="24"/>
          <w:szCs w:val="24"/>
        </w:rPr>
        <w:t xml:space="preserve">y </w:t>
      </w:r>
      <w:r w:rsidR="00913CC2">
        <w:rPr>
          <w:bCs/>
          <w:color w:val="000000"/>
          <w:sz w:val="24"/>
          <w:szCs w:val="24"/>
        </w:rPr>
        <w:t xml:space="preserve">reliquidar </w:t>
      </w:r>
      <w:r w:rsidR="002A1AD0">
        <w:rPr>
          <w:bCs/>
          <w:color w:val="000000"/>
          <w:sz w:val="24"/>
          <w:szCs w:val="24"/>
        </w:rPr>
        <w:t xml:space="preserve">su asignación de retiro incluyendo el 20% de la prima académica superior de la Policía. </w:t>
      </w:r>
    </w:p>
    <w:p w14:paraId="1014CD13" w14:textId="77777777" w:rsidR="00D66F35" w:rsidRDefault="00D66F35" w:rsidP="00331291">
      <w:pPr>
        <w:rPr>
          <w:bCs/>
          <w:color w:val="000000"/>
          <w:sz w:val="24"/>
          <w:szCs w:val="24"/>
        </w:rPr>
      </w:pPr>
    </w:p>
    <w:p w14:paraId="090C0921" w14:textId="3701B049" w:rsidR="00902241" w:rsidRDefault="00D66F35" w:rsidP="00331291">
      <w:pPr>
        <w:rPr>
          <w:bCs/>
          <w:color w:val="000000"/>
          <w:sz w:val="24"/>
          <w:szCs w:val="24"/>
        </w:rPr>
      </w:pPr>
      <w:r w:rsidRPr="007E1A7A">
        <w:rPr>
          <w:bCs/>
          <w:color w:val="000000"/>
          <w:sz w:val="24"/>
          <w:szCs w:val="24"/>
        </w:rPr>
        <w:t>1.2.</w:t>
      </w:r>
      <w:r w:rsidR="004A5A17">
        <w:rPr>
          <w:bCs/>
          <w:color w:val="000000"/>
          <w:sz w:val="24"/>
          <w:szCs w:val="24"/>
        </w:rPr>
        <w:t>4</w:t>
      </w:r>
      <w:r w:rsidRPr="007E1A7A">
        <w:rPr>
          <w:bCs/>
          <w:color w:val="000000"/>
          <w:sz w:val="24"/>
          <w:szCs w:val="24"/>
        </w:rPr>
        <w:t>.</w:t>
      </w:r>
      <w:r w:rsidR="00902241">
        <w:rPr>
          <w:b/>
          <w:color w:val="000000"/>
          <w:sz w:val="24"/>
          <w:szCs w:val="24"/>
        </w:rPr>
        <w:t xml:space="preserve"> </w:t>
      </w:r>
      <w:r w:rsidR="00902241">
        <w:rPr>
          <w:bCs/>
          <w:color w:val="000000"/>
          <w:sz w:val="24"/>
          <w:szCs w:val="24"/>
        </w:rPr>
        <w:t>El asunto le correspondió a</w:t>
      </w:r>
      <w:r w:rsidR="00054798">
        <w:rPr>
          <w:bCs/>
          <w:color w:val="000000"/>
          <w:sz w:val="24"/>
          <w:szCs w:val="24"/>
        </w:rPr>
        <w:t xml:space="preserve">l </w:t>
      </w:r>
      <w:r w:rsidR="00CD7D2A">
        <w:rPr>
          <w:bCs/>
          <w:color w:val="000000"/>
          <w:sz w:val="24"/>
          <w:szCs w:val="24"/>
        </w:rPr>
        <w:t>Juzgado Veinte Administrativo del Circuito de Bogotá</w:t>
      </w:r>
      <w:r w:rsidR="00A8216A">
        <w:rPr>
          <w:bCs/>
          <w:color w:val="000000"/>
          <w:sz w:val="24"/>
          <w:szCs w:val="24"/>
        </w:rPr>
        <w:t>, Sección Segunda</w:t>
      </w:r>
      <w:r w:rsidR="00B147F8">
        <w:rPr>
          <w:bCs/>
          <w:color w:val="000000"/>
          <w:sz w:val="24"/>
          <w:szCs w:val="24"/>
        </w:rPr>
        <w:t xml:space="preserve"> </w:t>
      </w:r>
      <w:r w:rsidR="00902241">
        <w:rPr>
          <w:bCs/>
          <w:color w:val="000000"/>
          <w:sz w:val="24"/>
          <w:szCs w:val="24"/>
        </w:rPr>
        <w:t xml:space="preserve">que, mediante sentencia del </w:t>
      </w:r>
      <w:r w:rsidR="00A8216A">
        <w:rPr>
          <w:bCs/>
          <w:color w:val="000000"/>
          <w:sz w:val="24"/>
          <w:szCs w:val="24"/>
        </w:rPr>
        <w:t>9 de septiembre de 2019</w:t>
      </w:r>
      <w:r w:rsidR="00ED088C">
        <w:rPr>
          <w:rStyle w:val="Refdenotaalpie"/>
          <w:bCs/>
          <w:color w:val="000000"/>
          <w:sz w:val="24"/>
          <w:szCs w:val="24"/>
        </w:rPr>
        <w:footnoteReference w:id="13"/>
      </w:r>
      <w:r w:rsidR="00902241">
        <w:rPr>
          <w:bCs/>
          <w:color w:val="000000"/>
          <w:sz w:val="24"/>
          <w:szCs w:val="24"/>
        </w:rPr>
        <w:t xml:space="preserve"> </w:t>
      </w:r>
      <w:r w:rsidR="00192781">
        <w:rPr>
          <w:bCs/>
          <w:color w:val="000000"/>
          <w:sz w:val="24"/>
          <w:szCs w:val="24"/>
        </w:rPr>
        <w:t>accedió a l</w:t>
      </w:r>
      <w:r w:rsidR="00902241">
        <w:rPr>
          <w:bCs/>
          <w:color w:val="000000"/>
          <w:sz w:val="24"/>
          <w:szCs w:val="24"/>
        </w:rPr>
        <w:t>as pretensiones</w:t>
      </w:r>
      <w:r w:rsidR="00913CC2">
        <w:rPr>
          <w:bCs/>
          <w:color w:val="000000"/>
          <w:sz w:val="24"/>
          <w:szCs w:val="24"/>
        </w:rPr>
        <w:t xml:space="preserve">. </w:t>
      </w:r>
      <w:r w:rsidR="00902241">
        <w:rPr>
          <w:bCs/>
          <w:color w:val="000000"/>
          <w:sz w:val="24"/>
          <w:szCs w:val="24"/>
        </w:rPr>
        <w:t>Como fundamento de su decisión, la autorida</w:t>
      </w:r>
      <w:r w:rsidR="0076670D">
        <w:rPr>
          <w:bCs/>
          <w:color w:val="000000"/>
          <w:sz w:val="24"/>
          <w:szCs w:val="24"/>
        </w:rPr>
        <w:t>d</w:t>
      </w:r>
      <w:r w:rsidR="00902241">
        <w:rPr>
          <w:bCs/>
          <w:color w:val="000000"/>
          <w:sz w:val="24"/>
          <w:szCs w:val="24"/>
        </w:rPr>
        <w:t xml:space="preserve"> </w:t>
      </w:r>
      <w:r w:rsidR="00481F33">
        <w:rPr>
          <w:bCs/>
          <w:color w:val="000000"/>
          <w:sz w:val="24"/>
          <w:szCs w:val="24"/>
        </w:rPr>
        <w:t xml:space="preserve">concluyó </w:t>
      </w:r>
      <w:r w:rsidR="001F7C0F">
        <w:rPr>
          <w:bCs/>
          <w:color w:val="000000"/>
          <w:sz w:val="24"/>
          <w:szCs w:val="24"/>
        </w:rPr>
        <w:t xml:space="preserve">en primer lugar </w:t>
      </w:r>
      <w:r w:rsidR="00D658BC">
        <w:rPr>
          <w:bCs/>
          <w:color w:val="000000"/>
          <w:sz w:val="24"/>
          <w:szCs w:val="24"/>
        </w:rPr>
        <w:t>que</w:t>
      </w:r>
      <w:r w:rsidR="001F7C0F">
        <w:rPr>
          <w:bCs/>
          <w:color w:val="000000"/>
          <w:sz w:val="24"/>
          <w:szCs w:val="24"/>
        </w:rPr>
        <w:t>,</w:t>
      </w:r>
      <w:r w:rsidR="00D658BC">
        <w:rPr>
          <w:bCs/>
          <w:color w:val="000000"/>
          <w:sz w:val="24"/>
          <w:szCs w:val="24"/>
        </w:rPr>
        <w:t xml:space="preserve"> </w:t>
      </w:r>
      <w:r w:rsidR="00192781">
        <w:rPr>
          <w:bCs/>
          <w:color w:val="000000"/>
          <w:sz w:val="24"/>
          <w:szCs w:val="24"/>
        </w:rPr>
        <w:t>según lo dispuesto en el artículo 78 del Decreto 1212 de 1990</w:t>
      </w:r>
      <w:r w:rsidR="00192781">
        <w:rPr>
          <w:rStyle w:val="Refdenotaalpie"/>
          <w:bCs/>
          <w:color w:val="000000"/>
          <w:sz w:val="24"/>
          <w:szCs w:val="24"/>
        </w:rPr>
        <w:footnoteReference w:id="14"/>
      </w:r>
      <w:r w:rsidR="00192781">
        <w:rPr>
          <w:bCs/>
          <w:color w:val="000000"/>
          <w:sz w:val="24"/>
          <w:szCs w:val="24"/>
        </w:rPr>
        <w:t xml:space="preserve"> </w:t>
      </w:r>
      <w:r w:rsidR="004A6B18">
        <w:rPr>
          <w:bCs/>
          <w:color w:val="000000"/>
          <w:sz w:val="24"/>
          <w:szCs w:val="24"/>
        </w:rPr>
        <w:t>y de las pruebas allegadas al expediente, el demandante ocupó el cargo de Mayor hasta el 7 de diciembre de 1993</w:t>
      </w:r>
      <w:r w:rsidR="001F7C0F">
        <w:rPr>
          <w:bCs/>
          <w:color w:val="000000"/>
          <w:sz w:val="24"/>
          <w:szCs w:val="24"/>
        </w:rPr>
        <w:t>,</w:t>
      </w:r>
      <w:r w:rsidR="004A6B18">
        <w:rPr>
          <w:bCs/>
          <w:color w:val="000000"/>
          <w:sz w:val="24"/>
          <w:szCs w:val="24"/>
        </w:rPr>
        <w:t xml:space="preserve"> fecha en que </w:t>
      </w:r>
      <w:r w:rsidR="001F7C0F">
        <w:rPr>
          <w:bCs/>
          <w:color w:val="000000"/>
          <w:sz w:val="24"/>
          <w:szCs w:val="24"/>
        </w:rPr>
        <w:t>se produjo su retiro</w:t>
      </w:r>
      <w:r w:rsidR="004A6B18">
        <w:rPr>
          <w:bCs/>
          <w:color w:val="000000"/>
          <w:sz w:val="24"/>
          <w:szCs w:val="24"/>
        </w:rPr>
        <w:t xml:space="preserve"> y aprobó el diplomado de academia superior. En </w:t>
      </w:r>
      <w:r w:rsidR="001F7C0F">
        <w:rPr>
          <w:bCs/>
          <w:color w:val="000000"/>
          <w:sz w:val="24"/>
          <w:szCs w:val="24"/>
        </w:rPr>
        <w:t>segundo lugar,</w:t>
      </w:r>
      <w:r w:rsidR="004A6B18">
        <w:rPr>
          <w:bCs/>
          <w:color w:val="000000"/>
          <w:sz w:val="24"/>
          <w:szCs w:val="24"/>
        </w:rPr>
        <w:t xml:space="preserve"> consideró </w:t>
      </w:r>
      <w:r w:rsidR="001F7C0F">
        <w:rPr>
          <w:bCs/>
          <w:color w:val="000000"/>
          <w:sz w:val="24"/>
          <w:szCs w:val="24"/>
        </w:rPr>
        <w:t xml:space="preserve">que el accionante cumplió con los </w:t>
      </w:r>
      <w:r w:rsidR="004A6B18">
        <w:rPr>
          <w:bCs/>
          <w:color w:val="000000"/>
          <w:sz w:val="24"/>
          <w:szCs w:val="24"/>
        </w:rPr>
        <w:t xml:space="preserve">dos requisitos exigidos por el Gobierno Nacional para acceder a la prima de academia superior y en ese orden, contrario a lo afirmado en el acto administrativo acusado, no era necesario ostentar el grado de </w:t>
      </w:r>
      <w:r w:rsidR="006C58A7">
        <w:rPr>
          <w:bCs/>
          <w:color w:val="000000"/>
          <w:sz w:val="24"/>
          <w:szCs w:val="24"/>
        </w:rPr>
        <w:t>teniente coronel</w:t>
      </w:r>
      <w:r w:rsidR="001F7C0F">
        <w:rPr>
          <w:bCs/>
          <w:color w:val="000000"/>
          <w:sz w:val="24"/>
          <w:szCs w:val="24"/>
        </w:rPr>
        <w:t xml:space="preserve"> para acceder a la prima solicitada,</w:t>
      </w:r>
      <w:r w:rsidR="004A6B18">
        <w:rPr>
          <w:bCs/>
          <w:color w:val="000000"/>
          <w:sz w:val="24"/>
          <w:szCs w:val="24"/>
        </w:rPr>
        <w:t xml:space="preserve"> ya que tal condición no </w:t>
      </w:r>
      <w:r w:rsidR="001F7C0F">
        <w:rPr>
          <w:bCs/>
          <w:color w:val="000000"/>
          <w:sz w:val="24"/>
          <w:szCs w:val="24"/>
        </w:rPr>
        <w:t>era exigida por la norma.</w:t>
      </w:r>
    </w:p>
    <w:p w14:paraId="2DC6E572" w14:textId="77777777" w:rsidR="00902241" w:rsidRDefault="00902241" w:rsidP="00331291">
      <w:pPr>
        <w:rPr>
          <w:bCs/>
          <w:color w:val="000000"/>
          <w:sz w:val="24"/>
          <w:szCs w:val="24"/>
        </w:rPr>
      </w:pPr>
    </w:p>
    <w:p w14:paraId="425D1191" w14:textId="77777777" w:rsidR="00116B58" w:rsidRDefault="003732C9" w:rsidP="00877FFD">
      <w:pPr>
        <w:widowControl w:val="0"/>
        <w:rPr>
          <w:bCs/>
          <w:color w:val="000000"/>
          <w:sz w:val="24"/>
          <w:szCs w:val="24"/>
        </w:rPr>
      </w:pPr>
      <w:r w:rsidRPr="006460A7">
        <w:rPr>
          <w:bCs/>
          <w:color w:val="000000"/>
          <w:sz w:val="24"/>
          <w:szCs w:val="24"/>
        </w:rPr>
        <w:t>1.2.</w:t>
      </w:r>
      <w:r w:rsidR="004A5A17">
        <w:rPr>
          <w:bCs/>
          <w:color w:val="000000"/>
          <w:sz w:val="24"/>
          <w:szCs w:val="24"/>
        </w:rPr>
        <w:t>5</w:t>
      </w:r>
      <w:r w:rsidRPr="006460A7">
        <w:rPr>
          <w:bCs/>
          <w:color w:val="000000"/>
          <w:sz w:val="24"/>
          <w:szCs w:val="24"/>
        </w:rPr>
        <w:t xml:space="preserve">. Inconforme con la decisión </w:t>
      </w:r>
      <w:r w:rsidR="005470DD">
        <w:rPr>
          <w:bCs/>
          <w:color w:val="000000"/>
          <w:sz w:val="24"/>
          <w:szCs w:val="24"/>
        </w:rPr>
        <w:t>la Nación, Ministerio de Defensa, Policía Nacional por medio de su apoderado,</w:t>
      </w:r>
      <w:r w:rsidRPr="006460A7">
        <w:rPr>
          <w:bCs/>
          <w:color w:val="000000"/>
          <w:sz w:val="24"/>
          <w:szCs w:val="24"/>
        </w:rPr>
        <w:t xml:space="preserve"> interpuso recurso de apelación en el que manifestó que</w:t>
      </w:r>
      <w:r w:rsidR="0065073C">
        <w:rPr>
          <w:bCs/>
          <w:color w:val="000000"/>
          <w:sz w:val="24"/>
          <w:szCs w:val="24"/>
        </w:rPr>
        <w:t xml:space="preserve"> </w:t>
      </w:r>
      <w:r w:rsidR="0065073C">
        <w:rPr>
          <w:bCs/>
          <w:color w:val="000000"/>
          <w:sz w:val="24"/>
          <w:szCs w:val="24"/>
        </w:rPr>
        <w:lastRenderedPageBreak/>
        <w:t>no era viable acceder a las pretensiones de la demanda porque</w:t>
      </w:r>
      <w:r w:rsidR="00E41290">
        <w:rPr>
          <w:rStyle w:val="Refdenotaalpie"/>
          <w:bCs/>
          <w:color w:val="000000"/>
          <w:sz w:val="24"/>
          <w:szCs w:val="24"/>
        </w:rPr>
        <w:footnoteReference w:id="15"/>
      </w:r>
      <w:r w:rsidR="00344DC6">
        <w:rPr>
          <w:bCs/>
          <w:color w:val="000000"/>
          <w:sz w:val="24"/>
          <w:szCs w:val="24"/>
        </w:rPr>
        <w:t xml:space="preserve">: i) </w:t>
      </w:r>
      <w:r w:rsidR="00DB1FD5">
        <w:rPr>
          <w:bCs/>
          <w:color w:val="000000"/>
          <w:sz w:val="24"/>
          <w:szCs w:val="24"/>
        </w:rPr>
        <w:t>según lo dispuesto en los artículos 32 a 35 del Decreto Ley 1214 de 1990</w:t>
      </w:r>
      <w:r w:rsidR="00A5761D">
        <w:rPr>
          <w:bCs/>
          <w:color w:val="000000"/>
          <w:sz w:val="24"/>
          <w:szCs w:val="24"/>
        </w:rPr>
        <w:t xml:space="preserve"> los actos administrativos demandados gozan de presunción de legalidad ya que el demandante no logró ascender al grado de Teniente Coronel</w:t>
      </w:r>
      <w:r w:rsidR="00344DC6">
        <w:rPr>
          <w:bCs/>
          <w:color w:val="000000"/>
          <w:sz w:val="24"/>
          <w:szCs w:val="24"/>
        </w:rPr>
        <w:t xml:space="preserve">; </w:t>
      </w:r>
      <w:proofErr w:type="spellStart"/>
      <w:r w:rsidR="00344DC6">
        <w:rPr>
          <w:bCs/>
          <w:color w:val="000000"/>
          <w:sz w:val="24"/>
          <w:szCs w:val="24"/>
        </w:rPr>
        <w:t>ii</w:t>
      </w:r>
      <w:proofErr w:type="spellEnd"/>
      <w:r w:rsidR="00344DC6">
        <w:rPr>
          <w:bCs/>
          <w:color w:val="000000"/>
          <w:sz w:val="24"/>
          <w:szCs w:val="24"/>
        </w:rPr>
        <w:t xml:space="preserve">) </w:t>
      </w:r>
      <w:r w:rsidR="00A5761D">
        <w:rPr>
          <w:bCs/>
          <w:color w:val="000000"/>
          <w:sz w:val="24"/>
          <w:szCs w:val="24"/>
        </w:rPr>
        <w:t>aun cuando el demandante cursó el diplomado de academia, lo cierto es que</w:t>
      </w:r>
      <w:r w:rsidR="009C155D">
        <w:rPr>
          <w:bCs/>
          <w:color w:val="000000"/>
          <w:sz w:val="24"/>
          <w:szCs w:val="24"/>
        </w:rPr>
        <w:t>,</w:t>
      </w:r>
      <w:r w:rsidR="00A5761D">
        <w:rPr>
          <w:bCs/>
          <w:color w:val="000000"/>
          <w:sz w:val="24"/>
          <w:szCs w:val="24"/>
        </w:rPr>
        <w:t xml:space="preserve"> no logró el ascenso porque fue llamado a calificar servicios</w:t>
      </w:r>
      <w:r w:rsidR="00344DC6">
        <w:rPr>
          <w:bCs/>
          <w:color w:val="000000"/>
          <w:sz w:val="24"/>
          <w:szCs w:val="24"/>
        </w:rPr>
        <w:t xml:space="preserve">; </w:t>
      </w:r>
      <w:proofErr w:type="spellStart"/>
      <w:r w:rsidR="00344DC6">
        <w:rPr>
          <w:bCs/>
          <w:color w:val="000000"/>
          <w:sz w:val="24"/>
          <w:szCs w:val="24"/>
        </w:rPr>
        <w:t>iii</w:t>
      </w:r>
      <w:proofErr w:type="spellEnd"/>
      <w:r w:rsidR="00344DC6">
        <w:rPr>
          <w:bCs/>
          <w:color w:val="000000"/>
          <w:sz w:val="24"/>
          <w:szCs w:val="24"/>
        </w:rPr>
        <w:t>)</w:t>
      </w:r>
      <w:r w:rsidR="001F7C0F">
        <w:rPr>
          <w:bCs/>
          <w:color w:val="000000"/>
          <w:sz w:val="24"/>
          <w:szCs w:val="24"/>
        </w:rPr>
        <w:t xml:space="preserve"> </w:t>
      </w:r>
      <w:r w:rsidR="00A5761D">
        <w:rPr>
          <w:bCs/>
          <w:color w:val="000000"/>
          <w:sz w:val="24"/>
          <w:szCs w:val="24"/>
        </w:rPr>
        <w:t xml:space="preserve">reconocer el reajuste de la asignación de retiro sin que exista norma que lo otorgue, </w:t>
      </w:r>
      <w:r w:rsidR="001F7C0F">
        <w:rPr>
          <w:bCs/>
          <w:color w:val="000000"/>
          <w:sz w:val="24"/>
          <w:szCs w:val="24"/>
        </w:rPr>
        <w:t>produciría</w:t>
      </w:r>
      <w:r w:rsidR="00A5761D">
        <w:rPr>
          <w:bCs/>
          <w:color w:val="000000"/>
          <w:sz w:val="24"/>
          <w:szCs w:val="24"/>
        </w:rPr>
        <w:t xml:space="preserve"> un enriquecimiento sin justa causa</w:t>
      </w:r>
      <w:r w:rsidR="001F7C0F">
        <w:rPr>
          <w:bCs/>
          <w:color w:val="000000"/>
          <w:sz w:val="24"/>
          <w:szCs w:val="24"/>
        </w:rPr>
        <w:t xml:space="preserve"> a favor del demandante</w:t>
      </w:r>
      <w:r w:rsidR="00A5761D">
        <w:rPr>
          <w:bCs/>
          <w:color w:val="000000"/>
          <w:sz w:val="24"/>
          <w:szCs w:val="24"/>
        </w:rPr>
        <w:t xml:space="preserve">; </w:t>
      </w:r>
      <w:r w:rsidR="001F7C0F">
        <w:rPr>
          <w:bCs/>
          <w:color w:val="000000"/>
          <w:sz w:val="24"/>
          <w:szCs w:val="24"/>
        </w:rPr>
        <w:t xml:space="preserve">y </w:t>
      </w:r>
      <w:proofErr w:type="spellStart"/>
      <w:r w:rsidR="00A5761D">
        <w:rPr>
          <w:bCs/>
          <w:color w:val="000000"/>
          <w:sz w:val="24"/>
          <w:szCs w:val="24"/>
        </w:rPr>
        <w:t>iv</w:t>
      </w:r>
      <w:proofErr w:type="spellEnd"/>
      <w:r w:rsidR="00A5761D">
        <w:rPr>
          <w:bCs/>
          <w:color w:val="000000"/>
          <w:sz w:val="24"/>
          <w:szCs w:val="24"/>
        </w:rPr>
        <w:t>) los actos demandados fueron sustentados en debida form</w:t>
      </w:r>
      <w:r w:rsidR="001F7C0F">
        <w:rPr>
          <w:bCs/>
          <w:color w:val="000000"/>
          <w:sz w:val="24"/>
          <w:szCs w:val="24"/>
        </w:rPr>
        <w:t xml:space="preserve">a y en ese orden </w:t>
      </w:r>
      <w:r w:rsidR="00A5761D">
        <w:rPr>
          <w:bCs/>
          <w:color w:val="000000"/>
          <w:sz w:val="24"/>
          <w:szCs w:val="24"/>
        </w:rPr>
        <w:t>la decisión no fue desproporcionada, ni fue trasgredido ningún derecho constitucional.</w:t>
      </w:r>
    </w:p>
    <w:p w14:paraId="0777C8A3" w14:textId="77777777" w:rsidR="009F5B85" w:rsidRDefault="009F5B85" w:rsidP="00331291">
      <w:pPr>
        <w:rPr>
          <w:bCs/>
          <w:color w:val="000000"/>
          <w:sz w:val="24"/>
          <w:szCs w:val="24"/>
        </w:rPr>
      </w:pPr>
    </w:p>
    <w:p w14:paraId="1958CA57" w14:textId="77777777" w:rsidR="00D61271" w:rsidRDefault="00D61271" w:rsidP="00331291">
      <w:pPr>
        <w:rPr>
          <w:bCs/>
          <w:color w:val="000000"/>
          <w:sz w:val="24"/>
          <w:szCs w:val="24"/>
        </w:rPr>
      </w:pPr>
      <w:r w:rsidRPr="006460A7">
        <w:rPr>
          <w:bCs/>
          <w:color w:val="000000"/>
          <w:sz w:val="24"/>
          <w:szCs w:val="24"/>
        </w:rPr>
        <w:t>1.2.</w:t>
      </w:r>
      <w:r w:rsidR="00E05FAC">
        <w:rPr>
          <w:bCs/>
          <w:color w:val="000000"/>
          <w:sz w:val="24"/>
          <w:szCs w:val="24"/>
        </w:rPr>
        <w:t>6</w:t>
      </w:r>
      <w:r w:rsidRPr="006460A7">
        <w:rPr>
          <w:bCs/>
          <w:color w:val="000000"/>
          <w:sz w:val="24"/>
          <w:szCs w:val="24"/>
        </w:rPr>
        <w:t>.</w:t>
      </w:r>
      <w:r w:rsidR="00E05FAC">
        <w:rPr>
          <w:bCs/>
          <w:color w:val="000000"/>
          <w:sz w:val="24"/>
          <w:szCs w:val="24"/>
        </w:rPr>
        <w:t xml:space="preserve"> </w:t>
      </w:r>
      <w:r w:rsidRPr="006460A7">
        <w:rPr>
          <w:bCs/>
          <w:color w:val="000000"/>
          <w:sz w:val="24"/>
          <w:szCs w:val="24"/>
        </w:rPr>
        <w:t xml:space="preserve">El recurso le correspondió desatarlo al </w:t>
      </w:r>
      <w:r w:rsidR="006460A7" w:rsidRPr="006460A7">
        <w:rPr>
          <w:bCs/>
          <w:color w:val="000000"/>
          <w:sz w:val="24"/>
          <w:szCs w:val="24"/>
        </w:rPr>
        <w:t xml:space="preserve">Tribunal Administrativo de Cundinamarca, Sección Segunda, Subsección </w:t>
      </w:r>
      <w:r w:rsidR="0014259F">
        <w:rPr>
          <w:bCs/>
          <w:color w:val="000000"/>
          <w:sz w:val="24"/>
          <w:szCs w:val="24"/>
        </w:rPr>
        <w:t>F</w:t>
      </w:r>
      <w:r w:rsidR="006460A7" w:rsidRPr="006460A7">
        <w:rPr>
          <w:bCs/>
          <w:color w:val="000000"/>
          <w:sz w:val="24"/>
          <w:szCs w:val="24"/>
        </w:rPr>
        <w:t xml:space="preserve"> que</w:t>
      </w:r>
      <w:r w:rsidR="009C155D">
        <w:rPr>
          <w:bCs/>
          <w:color w:val="000000"/>
          <w:sz w:val="24"/>
          <w:szCs w:val="24"/>
        </w:rPr>
        <w:t>,</w:t>
      </w:r>
      <w:r w:rsidR="006460A7" w:rsidRPr="006460A7">
        <w:rPr>
          <w:bCs/>
          <w:color w:val="000000"/>
          <w:sz w:val="24"/>
          <w:szCs w:val="24"/>
        </w:rPr>
        <w:t xml:space="preserve"> </w:t>
      </w:r>
      <w:r w:rsidR="006460A7" w:rsidRPr="001A3D27">
        <w:rPr>
          <w:bCs/>
          <w:color w:val="000000"/>
          <w:sz w:val="24"/>
          <w:szCs w:val="24"/>
        </w:rPr>
        <w:t>mediante sentencia del</w:t>
      </w:r>
      <w:r w:rsidR="006460A7" w:rsidRPr="006460A7">
        <w:rPr>
          <w:bCs/>
          <w:color w:val="000000"/>
          <w:sz w:val="24"/>
          <w:szCs w:val="24"/>
        </w:rPr>
        <w:t xml:space="preserve"> </w:t>
      </w:r>
      <w:r w:rsidR="0014259F">
        <w:rPr>
          <w:bCs/>
          <w:color w:val="000000"/>
          <w:sz w:val="24"/>
          <w:szCs w:val="24"/>
        </w:rPr>
        <w:t>23 de agosto</w:t>
      </w:r>
      <w:r w:rsidR="006460A7" w:rsidRPr="006460A7">
        <w:rPr>
          <w:bCs/>
          <w:color w:val="000000"/>
          <w:sz w:val="24"/>
          <w:szCs w:val="24"/>
        </w:rPr>
        <w:t xml:space="preserve"> de 2022</w:t>
      </w:r>
      <w:r w:rsidR="0014259F">
        <w:rPr>
          <w:rStyle w:val="Refdenotaalpie"/>
          <w:bCs/>
          <w:color w:val="000000"/>
          <w:sz w:val="24"/>
          <w:szCs w:val="24"/>
        </w:rPr>
        <w:footnoteReference w:id="16"/>
      </w:r>
      <w:r w:rsidR="00886F4A">
        <w:rPr>
          <w:bCs/>
          <w:color w:val="000000"/>
          <w:sz w:val="24"/>
          <w:szCs w:val="24"/>
        </w:rPr>
        <w:t xml:space="preserve">, </w:t>
      </w:r>
      <w:r w:rsidR="00E05FAC">
        <w:rPr>
          <w:bCs/>
          <w:color w:val="000000"/>
          <w:sz w:val="24"/>
          <w:szCs w:val="24"/>
        </w:rPr>
        <w:t>revocó</w:t>
      </w:r>
      <w:r w:rsidR="006460A7" w:rsidRPr="006460A7">
        <w:rPr>
          <w:bCs/>
          <w:color w:val="000000"/>
          <w:sz w:val="24"/>
          <w:szCs w:val="24"/>
        </w:rPr>
        <w:t xml:space="preserve"> la proferida por el Juzgado </w:t>
      </w:r>
      <w:r w:rsidR="0014259F">
        <w:rPr>
          <w:bCs/>
          <w:color w:val="000000"/>
          <w:sz w:val="24"/>
          <w:szCs w:val="24"/>
        </w:rPr>
        <w:t>Veinte Administrativo del Circuito de Bogotá, Sección Segunda del 9 de septiembre de 2019</w:t>
      </w:r>
      <w:r w:rsidR="006460A7" w:rsidRPr="006460A7">
        <w:rPr>
          <w:bCs/>
          <w:color w:val="000000"/>
          <w:sz w:val="24"/>
          <w:szCs w:val="24"/>
        </w:rPr>
        <w:t xml:space="preserve">. </w:t>
      </w:r>
      <w:r w:rsidR="006460A7">
        <w:rPr>
          <w:bCs/>
          <w:color w:val="000000"/>
          <w:sz w:val="24"/>
          <w:szCs w:val="24"/>
        </w:rPr>
        <w:t>Como fundamento de su decisión el Tribunal planteó los siguientes argumentos:</w:t>
      </w:r>
    </w:p>
    <w:p w14:paraId="7E573D20" w14:textId="77777777" w:rsidR="00E651AA" w:rsidRDefault="00E651AA" w:rsidP="00331291">
      <w:pPr>
        <w:rPr>
          <w:bCs/>
          <w:color w:val="000000"/>
          <w:sz w:val="24"/>
          <w:szCs w:val="24"/>
        </w:rPr>
      </w:pPr>
    </w:p>
    <w:p w14:paraId="73D0E670" w14:textId="77777777" w:rsidR="00E651AA" w:rsidRDefault="00E651AA" w:rsidP="00331291">
      <w:pPr>
        <w:rPr>
          <w:bCs/>
          <w:color w:val="000000"/>
          <w:sz w:val="24"/>
          <w:szCs w:val="24"/>
        </w:rPr>
      </w:pPr>
      <w:r>
        <w:rPr>
          <w:bCs/>
          <w:color w:val="000000"/>
          <w:sz w:val="24"/>
          <w:szCs w:val="24"/>
        </w:rPr>
        <w:t xml:space="preserve">1.2.6.1. Respecto del marco normativo y jurisprudencial aplicable al caso concreto indicó que: </w:t>
      </w:r>
    </w:p>
    <w:p w14:paraId="30255398" w14:textId="77777777" w:rsidR="00E651AA" w:rsidRDefault="00E651AA" w:rsidP="00331291">
      <w:pPr>
        <w:rPr>
          <w:bCs/>
          <w:color w:val="000000"/>
          <w:sz w:val="24"/>
          <w:szCs w:val="24"/>
        </w:rPr>
      </w:pPr>
    </w:p>
    <w:p w14:paraId="2304C044" w14:textId="77777777" w:rsidR="009C155D" w:rsidRDefault="00FC7871" w:rsidP="00331291">
      <w:pPr>
        <w:rPr>
          <w:bCs/>
          <w:color w:val="000000"/>
          <w:sz w:val="24"/>
          <w:szCs w:val="24"/>
        </w:rPr>
      </w:pPr>
      <w:r>
        <w:rPr>
          <w:bCs/>
          <w:color w:val="000000"/>
          <w:sz w:val="24"/>
          <w:szCs w:val="24"/>
        </w:rPr>
        <w:t>A partir del 8 de junio de 1990, fecha en la que empezó a regir el Decreto Ley 1212 de 1990, las asignaciones de retiro y pensiones de los Oficiales y Suboficiales de la Policía Nacional se liquidan teniendo en cuenta las partidas establecidas en el artículo 140 de la misma norma, entre ellas la prima de academia superior de policía</w:t>
      </w:r>
      <w:r w:rsidR="009C155D">
        <w:rPr>
          <w:bCs/>
          <w:color w:val="000000"/>
          <w:sz w:val="24"/>
          <w:szCs w:val="24"/>
        </w:rPr>
        <w:t xml:space="preserve">. Tal disposición fue reiterada en el </w:t>
      </w:r>
      <w:r>
        <w:rPr>
          <w:bCs/>
          <w:color w:val="000000"/>
          <w:sz w:val="24"/>
          <w:szCs w:val="24"/>
        </w:rPr>
        <w:t>artículo 13</w:t>
      </w:r>
      <w:r w:rsidR="00617453">
        <w:rPr>
          <w:rStyle w:val="Refdenotaalpie"/>
          <w:bCs/>
          <w:color w:val="000000"/>
          <w:sz w:val="24"/>
          <w:szCs w:val="24"/>
        </w:rPr>
        <w:footnoteReference w:id="17"/>
      </w:r>
      <w:r>
        <w:rPr>
          <w:bCs/>
          <w:color w:val="000000"/>
          <w:sz w:val="24"/>
          <w:szCs w:val="24"/>
        </w:rPr>
        <w:t xml:space="preserve"> de la Ley 4 de 1992</w:t>
      </w:r>
      <w:r w:rsidR="009C155D">
        <w:rPr>
          <w:bCs/>
          <w:color w:val="000000"/>
          <w:sz w:val="24"/>
          <w:szCs w:val="24"/>
        </w:rPr>
        <w:t>.</w:t>
      </w:r>
    </w:p>
    <w:p w14:paraId="0850C693" w14:textId="77777777" w:rsidR="009C155D" w:rsidRDefault="009C155D" w:rsidP="00331291">
      <w:pPr>
        <w:rPr>
          <w:bCs/>
          <w:color w:val="000000"/>
          <w:sz w:val="24"/>
          <w:szCs w:val="24"/>
        </w:rPr>
      </w:pPr>
    </w:p>
    <w:p w14:paraId="1DDEAF06" w14:textId="77777777" w:rsidR="00E651AA" w:rsidRDefault="009C155D" w:rsidP="00331291">
      <w:pPr>
        <w:rPr>
          <w:bCs/>
          <w:color w:val="000000"/>
          <w:sz w:val="24"/>
          <w:szCs w:val="24"/>
        </w:rPr>
      </w:pPr>
      <w:r>
        <w:rPr>
          <w:bCs/>
          <w:color w:val="000000"/>
          <w:sz w:val="24"/>
          <w:szCs w:val="24"/>
        </w:rPr>
        <w:t>Posteriormente,</w:t>
      </w:r>
      <w:r w:rsidR="00FC7871">
        <w:rPr>
          <w:bCs/>
          <w:color w:val="000000"/>
          <w:sz w:val="24"/>
          <w:szCs w:val="24"/>
        </w:rPr>
        <w:t xml:space="preserve"> </w:t>
      </w:r>
      <w:r>
        <w:rPr>
          <w:bCs/>
          <w:color w:val="000000"/>
          <w:sz w:val="24"/>
          <w:szCs w:val="24"/>
        </w:rPr>
        <w:t xml:space="preserve">según lo dispuesto en </w:t>
      </w:r>
      <w:r w:rsidR="00FC7871">
        <w:rPr>
          <w:bCs/>
          <w:color w:val="000000"/>
          <w:sz w:val="24"/>
          <w:szCs w:val="24"/>
        </w:rPr>
        <w:t xml:space="preserve">el numeral 3° del artículo 17 de la Ley 797 de 2003 que facultó al Gobierno para reformar los “regímenes pensionales propios de las Fuerzas Militares y de Policía y DAS de conformidad con los artículos 217 y 218 de la Constitución Política”, fue expedido el Decreto Ley 2070 del 25 de julio de 2003 que en su artículo 23, </w:t>
      </w:r>
      <w:r>
        <w:rPr>
          <w:bCs/>
          <w:color w:val="000000"/>
          <w:sz w:val="24"/>
          <w:szCs w:val="24"/>
        </w:rPr>
        <w:t>estableció</w:t>
      </w:r>
      <w:r w:rsidR="00FC7871">
        <w:rPr>
          <w:bCs/>
          <w:color w:val="000000"/>
          <w:sz w:val="24"/>
          <w:szCs w:val="24"/>
        </w:rPr>
        <w:t xml:space="preserve"> como un</w:t>
      </w:r>
      <w:r>
        <w:rPr>
          <w:bCs/>
          <w:color w:val="000000"/>
          <w:sz w:val="24"/>
          <w:szCs w:val="24"/>
        </w:rPr>
        <w:t>o</w:t>
      </w:r>
      <w:r w:rsidR="00FC7871">
        <w:rPr>
          <w:bCs/>
          <w:color w:val="000000"/>
          <w:sz w:val="24"/>
          <w:szCs w:val="24"/>
        </w:rPr>
        <w:t xml:space="preserve"> de </w:t>
      </w:r>
      <w:r w:rsidR="001A3D27">
        <w:rPr>
          <w:bCs/>
          <w:color w:val="000000"/>
          <w:sz w:val="24"/>
          <w:szCs w:val="24"/>
        </w:rPr>
        <w:t>los factores salariales</w:t>
      </w:r>
      <w:r w:rsidR="00FC7871">
        <w:rPr>
          <w:bCs/>
          <w:color w:val="000000"/>
          <w:sz w:val="24"/>
          <w:szCs w:val="24"/>
        </w:rPr>
        <w:t xml:space="preserve"> computables para liquidar la asignación de retiro, la mencionada prima</w:t>
      </w:r>
      <w:r w:rsidR="00E651AA">
        <w:rPr>
          <w:bCs/>
          <w:color w:val="000000"/>
          <w:sz w:val="24"/>
          <w:szCs w:val="24"/>
        </w:rPr>
        <w:t xml:space="preserve">. </w:t>
      </w:r>
    </w:p>
    <w:p w14:paraId="02ED46CF" w14:textId="77777777" w:rsidR="00617453" w:rsidRDefault="00617453" w:rsidP="00331291">
      <w:pPr>
        <w:rPr>
          <w:bCs/>
          <w:color w:val="000000"/>
          <w:sz w:val="24"/>
          <w:szCs w:val="24"/>
        </w:rPr>
      </w:pPr>
    </w:p>
    <w:p w14:paraId="63C22D91" w14:textId="77777777" w:rsidR="00617453" w:rsidRDefault="00FC7871" w:rsidP="00331291">
      <w:pPr>
        <w:rPr>
          <w:bCs/>
          <w:color w:val="000000"/>
          <w:sz w:val="24"/>
          <w:szCs w:val="24"/>
        </w:rPr>
      </w:pPr>
      <w:r>
        <w:rPr>
          <w:bCs/>
          <w:color w:val="000000"/>
          <w:sz w:val="24"/>
          <w:szCs w:val="24"/>
        </w:rPr>
        <w:t>Por su parte, la Corte Constitucional a través de la sentencia C-432 del 6 de mayo de 2004 declaró inexequibles el Decreto Ley 2070 de 2003 y el numeral 3 del artículo 17 de la Ley 797 de 2003</w:t>
      </w:r>
      <w:r w:rsidR="00B728B7">
        <w:rPr>
          <w:bCs/>
          <w:color w:val="000000"/>
          <w:sz w:val="24"/>
          <w:szCs w:val="24"/>
        </w:rPr>
        <w:t>, por lo que, recobró vigencia, entre otros, el Decreto 1211 de 1990 para efectos de reliquidar la asignación de retiro y establecer el porcentaje de los factores que hacían parte de esta, como es el caso de la prima de academia superior</w:t>
      </w:r>
      <w:r w:rsidR="00FA1022">
        <w:rPr>
          <w:bCs/>
          <w:color w:val="000000"/>
          <w:sz w:val="24"/>
          <w:szCs w:val="24"/>
        </w:rPr>
        <w:t>.</w:t>
      </w:r>
    </w:p>
    <w:p w14:paraId="2B5B00A0" w14:textId="77777777" w:rsidR="00FA1022" w:rsidRDefault="00FA1022" w:rsidP="00331291">
      <w:pPr>
        <w:rPr>
          <w:bCs/>
          <w:color w:val="000000"/>
          <w:sz w:val="24"/>
          <w:szCs w:val="24"/>
        </w:rPr>
      </w:pPr>
    </w:p>
    <w:p w14:paraId="5D33C8A6" w14:textId="77777777" w:rsidR="00DE1A3B" w:rsidRDefault="00B728B7" w:rsidP="00331291">
      <w:pPr>
        <w:rPr>
          <w:bCs/>
          <w:color w:val="000000"/>
          <w:sz w:val="24"/>
          <w:szCs w:val="24"/>
        </w:rPr>
      </w:pPr>
      <w:r>
        <w:rPr>
          <w:bCs/>
          <w:color w:val="000000"/>
          <w:sz w:val="24"/>
          <w:szCs w:val="24"/>
        </w:rPr>
        <w:t xml:space="preserve">Posteriormente la Ley 923 de 2004 en su artículo 3 estableció que el incremento de las asignaciones de retiro de la Fuerza Pública “será el mismo porcentaje en que se aumenten las asignaciones de los miembros de la fuerza pública en servicio activo”. </w:t>
      </w:r>
    </w:p>
    <w:p w14:paraId="26A56FEF" w14:textId="77777777" w:rsidR="00B728B7" w:rsidRDefault="00B728B7" w:rsidP="00331291">
      <w:pPr>
        <w:rPr>
          <w:bCs/>
          <w:color w:val="000000"/>
          <w:sz w:val="24"/>
          <w:szCs w:val="24"/>
        </w:rPr>
      </w:pPr>
    </w:p>
    <w:p w14:paraId="33C3DF51" w14:textId="38603FB8" w:rsidR="00B728B7" w:rsidRDefault="00B728B7" w:rsidP="00331291">
      <w:pPr>
        <w:rPr>
          <w:bCs/>
          <w:color w:val="000000"/>
          <w:sz w:val="24"/>
          <w:szCs w:val="24"/>
        </w:rPr>
      </w:pPr>
      <w:r>
        <w:rPr>
          <w:bCs/>
          <w:color w:val="000000"/>
          <w:sz w:val="24"/>
          <w:szCs w:val="24"/>
        </w:rPr>
        <w:lastRenderedPageBreak/>
        <w:t xml:space="preserve">En ese orden, el </w:t>
      </w:r>
      <w:r w:rsidR="00481F33">
        <w:rPr>
          <w:bCs/>
          <w:color w:val="000000"/>
          <w:sz w:val="24"/>
          <w:szCs w:val="24"/>
        </w:rPr>
        <w:t>p</w:t>
      </w:r>
      <w:r>
        <w:rPr>
          <w:bCs/>
          <w:color w:val="000000"/>
          <w:sz w:val="24"/>
          <w:szCs w:val="24"/>
        </w:rPr>
        <w:t>residente de la República mediante el Decreto 4433 del 31 de diciembre de 2004 fijó el régimen pensional y de asignación de retiro de los miembros de la Fuerza Pública y en el artículo 23 estableció como partida computable para liquidar la asignación de retiro, la prima de academia superior, entre otros factores.</w:t>
      </w:r>
    </w:p>
    <w:p w14:paraId="7C5B08CE" w14:textId="77777777" w:rsidR="00DE1A3B" w:rsidRDefault="00DE1A3B" w:rsidP="00331291">
      <w:pPr>
        <w:rPr>
          <w:bCs/>
          <w:color w:val="000000"/>
          <w:sz w:val="24"/>
          <w:szCs w:val="24"/>
        </w:rPr>
      </w:pPr>
    </w:p>
    <w:p w14:paraId="4B6DB3A2" w14:textId="77777777" w:rsidR="006460A7" w:rsidRDefault="00B728B7" w:rsidP="00331291">
      <w:pPr>
        <w:rPr>
          <w:bCs/>
          <w:color w:val="000000"/>
          <w:sz w:val="24"/>
          <w:szCs w:val="24"/>
        </w:rPr>
      </w:pPr>
      <w:r>
        <w:rPr>
          <w:bCs/>
          <w:color w:val="000000"/>
          <w:sz w:val="24"/>
          <w:szCs w:val="24"/>
        </w:rPr>
        <w:t>A su turno, el Decreto Ley 1212 de 1990 en su artículo 145 dispuso que los Oficiales y Suboficiales de la Policía Nacional continuarían dados de alta durante 3 meses a partir de la fecha en que fuera causada la novedad de retiro para el respectivo trámite del expediente de prestaciones sociales, lapso durante el que serían considerados en servicio activo y continuarían recibiendo la totalidad de los haberes propios de su actividad y grado</w:t>
      </w:r>
      <w:r w:rsidR="00EA1CBD">
        <w:rPr>
          <w:bCs/>
          <w:color w:val="000000"/>
          <w:sz w:val="24"/>
          <w:szCs w:val="24"/>
        </w:rPr>
        <w:t xml:space="preserve"> únicamente para efectos de prestaciones sociales.</w:t>
      </w:r>
      <w:r>
        <w:rPr>
          <w:bCs/>
          <w:color w:val="000000"/>
          <w:sz w:val="24"/>
          <w:szCs w:val="24"/>
        </w:rPr>
        <w:t xml:space="preserve"> </w:t>
      </w:r>
      <w:r w:rsidR="00EA1CBD">
        <w:rPr>
          <w:bCs/>
          <w:color w:val="000000"/>
          <w:sz w:val="24"/>
          <w:szCs w:val="24"/>
        </w:rPr>
        <w:t>Disposición que también fue considerada por el Consejo de Estado en sentencias del 6 de julio de 2017</w:t>
      </w:r>
      <w:r w:rsidR="00EA1CBD">
        <w:rPr>
          <w:rStyle w:val="Refdenotaalpie"/>
          <w:bCs/>
          <w:color w:val="000000"/>
          <w:sz w:val="24"/>
          <w:szCs w:val="24"/>
        </w:rPr>
        <w:footnoteReference w:id="18"/>
      </w:r>
      <w:r w:rsidR="002A6F38">
        <w:rPr>
          <w:bCs/>
          <w:color w:val="000000"/>
          <w:sz w:val="24"/>
          <w:szCs w:val="24"/>
        </w:rPr>
        <w:t xml:space="preserve">, </w:t>
      </w:r>
      <w:r w:rsidR="00EA1CBD">
        <w:rPr>
          <w:bCs/>
          <w:color w:val="000000"/>
          <w:sz w:val="24"/>
          <w:szCs w:val="24"/>
        </w:rPr>
        <w:t>25 de octubre de 2018</w:t>
      </w:r>
      <w:r w:rsidR="00EA1CBD">
        <w:rPr>
          <w:rStyle w:val="Refdenotaalpie"/>
          <w:bCs/>
          <w:color w:val="000000"/>
          <w:sz w:val="24"/>
          <w:szCs w:val="24"/>
        </w:rPr>
        <w:footnoteReference w:id="19"/>
      </w:r>
      <w:r w:rsidR="00EA1CBD">
        <w:rPr>
          <w:bCs/>
          <w:color w:val="000000"/>
          <w:sz w:val="24"/>
          <w:szCs w:val="24"/>
        </w:rPr>
        <w:t xml:space="preserve"> y 28 de octubre de 2021</w:t>
      </w:r>
      <w:r w:rsidR="00EA1CBD">
        <w:rPr>
          <w:rStyle w:val="Refdenotaalpie"/>
          <w:bCs/>
          <w:color w:val="000000"/>
          <w:sz w:val="24"/>
          <w:szCs w:val="24"/>
        </w:rPr>
        <w:footnoteReference w:id="20"/>
      </w:r>
      <w:r w:rsidR="00EA1CBD">
        <w:rPr>
          <w:bCs/>
          <w:color w:val="000000"/>
          <w:sz w:val="24"/>
          <w:szCs w:val="24"/>
        </w:rPr>
        <w:t>.</w:t>
      </w:r>
    </w:p>
    <w:p w14:paraId="4A911DCD" w14:textId="77777777" w:rsidR="00DE79FD" w:rsidRDefault="00DE79FD" w:rsidP="00331291">
      <w:pPr>
        <w:rPr>
          <w:bCs/>
          <w:color w:val="000000"/>
          <w:sz w:val="24"/>
          <w:szCs w:val="24"/>
        </w:rPr>
      </w:pPr>
    </w:p>
    <w:p w14:paraId="3C31140B" w14:textId="77777777" w:rsidR="00790867" w:rsidRDefault="006460A7" w:rsidP="00331291">
      <w:pPr>
        <w:rPr>
          <w:bCs/>
          <w:color w:val="000000"/>
          <w:sz w:val="24"/>
          <w:szCs w:val="24"/>
        </w:rPr>
      </w:pPr>
      <w:r>
        <w:rPr>
          <w:bCs/>
          <w:color w:val="000000"/>
          <w:sz w:val="24"/>
          <w:szCs w:val="24"/>
        </w:rPr>
        <w:t>1.2.</w:t>
      </w:r>
      <w:r w:rsidR="00790867">
        <w:rPr>
          <w:bCs/>
          <w:color w:val="000000"/>
          <w:sz w:val="24"/>
          <w:szCs w:val="24"/>
        </w:rPr>
        <w:t>6</w:t>
      </w:r>
      <w:r>
        <w:rPr>
          <w:bCs/>
          <w:color w:val="000000"/>
          <w:sz w:val="24"/>
          <w:szCs w:val="24"/>
        </w:rPr>
        <w:t>.</w:t>
      </w:r>
      <w:r w:rsidR="00E651AA">
        <w:rPr>
          <w:bCs/>
          <w:color w:val="000000"/>
          <w:sz w:val="24"/>
          <w:szCs w:val="24"/>
        </w:rPr>
        <w:t>2</w:t>
      </w:r>
      <w:r w:rsidR="00C63ECF">
        <w:rPr>
          <w:bCs/>
          <w:color w:val="000000"/>
          <w:sz w:val="24"/>
          <w:szCs w:val="24"/>
        </w:rPr>
        <w:t xml:space="preserve">. </w:t>
      </w:r>
      <w:r w:rsidR="00F83462">
        <w:rPr>
          <w:bCs/>
          <w:color w:val="000000"/>
          <w:sz w:val="24"/>
          <w:szCs w:val="24"/>
        </w:rPr>
        <w:t>De</w:t>
      </w:r>
      <w:r w:rsidR="00790867">
        <w:rPr>
          <w:bCs/>
          <w:color w:val="000000"/>
          <w:sz w:val="24"/>
          <w:szCs w:val="24"/>
        </w:rPr>
        <w:t xml:space="preserve"> las pruebas allegadas al proceso, </w:t>
      </w:r>
      <w:r w:rsidR="00F83462">
        <w:rPr>
          <w:bCs/>
          <w:color w:val="000000"/>
          <w:sz w:val="24"/>
          <w:szCs w:val="24"/>
        </w:rPr>
        <w:t>estimó</w:t>
      </w:r>
      <w:r w:rsidR="00790867">
        <w:rPr>
          <w:bCs/>
          <w:color w:val="000000"/>
          <w:sz w:val="24"/>
          <w:szCs w:val="24"/>
        </w:rPr>
        <w:t xml:space="preserve"> que:</w:t>
      </w:r>
    </w:p>
    <w:p w14:paraId="41DACA47" w14:textId="77777777" w:rsidR="00790867" w:rsidRDefault="00790867" w:rsidP="00331291">
      <w:pPr>
        <w:rPr>
          <w:bCs/>
          <w:color w:val="000000"/>
          <w:sz w:val="24"/>
          <w:szCs w:val="24"/>
        </w:rPr>
      </w:pPr>
    </w:p>
    <w:p w14:paraId="018EEF4C" w14:textId="77777777" w:rsidR="002A6F38" w:rsidRDefault="002A6F38" w:rsidP="00331291">
      <w:pPr>
        <w:rPr>
          <w:bCs/>
          <w:color w:val="000000"/>
          <w:sz w:val="24"/>
          <w:szCs w:val="24"/>
        </w:rPr>
      </w:pPr>
      <w:r>
        <w:rPr>
          <w:bCs/>
          <w:color w:val="000000"/>
          <w:sz w:val="24"/>
          <w:szCs w:val="24"/>
        </w:rPr>
        <w:t xml:space="preserve">El señor Reyes Miguel Alvarado Solano: i) ascendió al grado de Oficial a través de la Resolución número 13876 del 3 de diciembre de 1993 hasta el 25 de octubre de 2011, fecha de su retiro, </w:t>
      </w:r>
      <w:proofErr w:type="spellStart"/>
      <w:r>
        <w:rPr>
          <w:bCs/>
          <w:color w:val="000000"/>
          <w:sz w:val="24"/>
          <w:szCs w:val="24"/>
        </w:rPr>
        <w:t>ii</w:t>
      </w:r>
      <w:proofErr w:type="spellEnd"/>
      <w:r>
        <w:rPr>
          <w:bCs/>
          <w:color w:val="000000"/>
          <w:sz w:val="24"/>
          <w:szCs w:val="24"/>
        </w:rPr>
        <w:t xml:space="preserve">) una vez notificado su retiro, disfrutó de tres meses de alta y </w:t>
      </w:r>
      <w:proofErr w:type="spellStart"/>
      <w:r>
        <w:rPr>
          <w:bCs/>
          <w:color w:val="000000"/>
          <w:sz w:val="24"/>
          <w:szCs w:val="24"/>
        </w:rPr>
        <w:t>iii</w:t>
      </w:r>
      <w:proofErr w:type="spellEnd"/>
      <w:r>
        <w:rPr>
          <w:bCs/>
          <w:color w:val="000000"/>
          <w:sz w:val="24"/>
          <w:szCs w:val="24"/>
        </w:rPr>
        <w:t>) cursó y aprobó el “Diplomado de la Academia Superior” según fue certificado por la Institución Universitaria de la Dirección Nacional de Escuelas, según certificado de aprobación del 8 de noviembre de 2011.</w:t>
      </w:r>
    </w:p>
    <w:p w14:paraId="637EE07E" w14:textId="77777777" w:rsidR="00790867" w:rsidRDefault="00790867" w:rsidP="00331291">
      <w:pPr>
        <w:rPr>
          <w:bCs/>
          <w:color w:val="000000"/>
          <w:sz w:val="24"/>
          <w:szCs w:val="24"/>
        </w:rPr>
      </w:pPr>
    </w:p>
    <w:p w14:paraId="15773039" w14:textId="77777777" w:rsidR="00FF4B93" w:rsidRDefault="00234E4B" w:rsidP="00331291">
      <w:pPr>
        <w:rPr>
          <w:bCs/>
          <w:color w:val="000000"/>
          <w:sz w:val="24"/>
          <w:szCs w:val="24"/>
        </w:rPr>
      </w:pPr>
      <w:r>
        <w:rPr>
          <w:bCs/>
          <w:color w:val="000000"/>
          <w:sz w:val="24"/>
          <w:szCs w:val="24"/>
        </w:rPr>
        <w:t xml:space="preserve">Conforme a lo </w:t>
      </w:r>
      <w:r w:rsidR="00FF4088">
        <w:rPr>
          <w:bCs/>
          <w:color w:val="000000"/>
          <w:sz w:val="24"/>
          <w:szCs w:val="24"/>
        </w:rPr>
        <w:t>anterior, el</w:t>
      </w:r>
      <w:r>
        <w:rPr>
          <w:bCs/>
          <w:color w:val="000000"/>
          <w:sz w:val="24"/>
          <w:szCs w:val="24"/>
        </w:rPr>
        <w:t xml:space="preserve"> señor Alvarado Solano cumplió con los requisitos para acceder a la prima de academia superior durante los 3 meses de alta, por lo que no es viable su reconocimiento en la medida que para ese momento ya se había causado la novedad de retiro, y en ese orden como lo prevé el artículo 145 del Decreto Ley 1212 de 1990, los Oficiales continúan devengando “la totalidad de los haberes devengados en actividad correspondientes a su grado”. </w:t>
      </w:r>
    </w:p>
    <w:p w14:paraId="1881AF9C" w14:textId="77777777" w:rsidR="00234E4B" w:rsidRDefault="00234E4B" w:rsidP="00331291">
      <w:pPr>
        <w:rPr>
          <w:bCs/>
          <w:color w:val="000000"/>
          <w:sz w:val="24"/>
          <w:szCs w:val="24"/>
        </w:rPr>
      </w:pPr>
    </w:p>
    <w:p w14:paraId="423AB04A" w14:textId="77777777" w:rsidR="00C63ECF" w:rsidRDefault="00871B69" w:rsidP="00871B69">
      <w:pPr>
        <w:rPr>
          <w:bCs/>
          <w:color w:val="000000"/>
          <w:sz w:val="24"/>
          <w:szCs w:val="24"/>
        </w:rPr>
      </w:pPr>
      <w:r>
        <w:rPr>
          <w:bCs/>
          <w:color w:val="000000"/>
          <w:sz w:val="24"/>
          <w:szCs w:val="24"/>
        </w:rPr>
        <w:t xml:space="preserve">Si bien no existe una norma que establezca que no es posible consolidar alguno de los requisitos para acceder a la prima de academia superior durante los tres meses de alta, el artículo 150 del Decreto Ley 1212 de 1990 funge como norma análoga en la materia. Tal normativa dispone que no hay lugar a incluir o modificar el subsidio familiar con posterioridad al retiro del Oficial o Suboficial, condición que aplica por analogía a la prima de academia superior ante ausencia de regulación especial. </w:t>
      </w:r>
    </w:p>
    <w:p w14:paraId="6089DEB2" w14:textId="77777777" w:rsidR="00871B69" w:rsidRDefault="00871B69" w:rsidP="00871B69">
      <w:pPr>
        <w:rPr>
          <w:bCs/>
          <w:color w:val="000000"/>
          <w:sz w:val="24"/>
          <w:szCs w:val="24"/>
        </w:rPr>
      </w:pPr>
    </w:p>
    <w:p w14:paraId="24314E5F" w14:textId="77777777" w:rsidR="00871B69" w:rsidRDefault="00871B69" w:rsidP="00871B69">
      <w:pPr>
        <w:rPr>
          <w:bCs/>
          <w:color w:val="000000"/>
          <w:sz w:val="24"/>
          <w:szCs w:val="24"/>
        </w:rPr>
      </w:pPr>
      <w:r>
        <w:rPr>
          <w:bCs/>
          <w:color w:val="000000"/>
          <w:sz w:val="24"/>
          <w:szCs w:val="24"/>
        </w:rPr>
        <w:t>En ese contexto, el tiempo de alta tiene una naturaleza administrativa, pero durante ese lapso no se pueden generar nuevos derechos.</w:t>
      </w:r>
    </w:p>
    <w:p w14:paraId="12986815" w14:textId="77777777" w:rsidR="00871B69" w:rsidRDefault="00871B69" w:rsidP="00871B69">
      <w:pPr>
        <w:rPr>
          <w:bCs/>
          <w:color w:val="000000"/>
          <w:sz w:val="24"/>
          <w:szCs w:val="24"/>
        </w:rPr>
      </w:pPr>
    </w:p>
    <w:p w14:paraId="7BDDB1BC" w14:textId="77777777" w:rsidR="00871B69" w:rsidRDefault="00871B69" w:rsidP="00871B69">
      <w:pPr>
        <w:rPr>
          <w:bCs/>
          <w:color w:val="000000"/>
          <w:sz w:val="24"/>
          <w:szCs w:val="24"/>
        </w:rPr>
      </w:pPr>
      <w:r>
        <w:rPr>
          <w:bCs/>
          <w:color w:val="000000"/>
          <w:sz w:val="24"/>
          <w:szCs w:val="24"/>
        </w:rPr>
        <w:t>En consecuencia, concluy</w:t>
      </w:r>
      <w:r w:rsidR="0046558C">
        <w:rPr>
          <w:bCs/>
          <w:color w:val="000000"/>
          <w:sz w:val="24"/>
          <w:szCs w:val="24"/>
        </w:rPr>
        <w:t>ó</w:t>
      </w:r>
      <w:r>
        <w:rPr>
          <w:bCs/>
          <w:color w:val="000000"/>
          <w:sz w:val="24"/>
          <w:szCs w:val="24"/>
        </w:rPr>
        <w:t xml:space="preserve"> que</w:t>
      </w:r>
      <w:r w:rsidR="0046558C">
        <w:rPr>
          <w:bCs/>
          <w:color w:val="000000"/>
          <w:sz w:val="24"/>
          <w:szCs w:val="24"/>
        </w:rPr>
        <w:t>,</w:t>
      </w:r>
      <w:r>
        <w:rPr>
          <w:bCs/>
          <w:color w:val="000000"/>
          <w:sz w:val="24"/>
          <w:szCs w:val="24"/>
        </w:rPr>
        <w:t xml:space="preserve"> si bien el demandante terminó el Diplomado de Academia Superior previsto en el artículo 78 del Decreto Ley 1212 de 1990 — norma que no exige que el beneficiario tenga el grado de Teniente Coronel —, lo cierto es que el mencionado programa de estudios fue culminado durante los tres meses de alta, lapso en el que el beneficiario únicamente puede seguir devengando factores </w:t>
      </w:r>
      <w:r>
        <w:rPr>
          <w:bCs/>
          <w:color w:val="000000"/>
          <w:sz w:val="24"/>
          <w:szCs w:val="24"/>
        </w:rPr>
        <w:lastRenderedPageBreak/>
        <w:t>salariales específicos a prestaciones sociales, que tenía reconocidos en actividad de conformidad con lo dispuesto en el artículo 145 del Decreto Ley 1212 de 1990, por lo que, no habría lugar a modificar la hoja de servicios y, por ende, tampoco al reajuste de asignación de retiro con la inclusión de la prima de academia superior.</w:t>
      </w:r>
    </w:p>
    <w:p w14:paraId="02F87DC6" w14:textId="77777777" w:rsidR="00790867" w:rsidRDefault="00790867" w:rsidP="00331291">
      <w:pPr>
        <w:rPr>
          <w:bCs/>
          <w:color w:val="000000"/>
          <w:sz w:val="24"/>
          <w:szCs w:val="24"/>
        </w:rPr>
      </w:pPr>
    </w:p>
    <w:p w14:paraId="11FDCDCE" w14:textId="77777777" w:rsidR="003E02F0" w:rsidRPr="00F02330" w:rsidRDefault="003E02F0" w:rsidP="00331291">
      <w:pPr>
        <w:overflowPunct w:val="0"/>
        <w:autoSpaceDE w:val="0"/>
        <w:autoSpaceDN w:val="0"/>
        <w:adjustRightInd w:val="0"/>
        <w:contextualSpacing/>
        <w:rPr>
          <w:rFonts w:eastAsia="Times New Roman"/>
          <w:b/>
          <w:sz w:val="24"/>
          <w:szCs w:val="24"/>
          <w:lang w:eastAsia="es-ES"/>
        </w:rPr>
      </w:pPr>
      <w:r w:rsidRPr="00F02330">
        <w:rPr>
          <w:rFonts w:eastAsia="Times New Roman"/>
          <w:b/>
          <w:sz w:val="24"/>
          <w:szCs w:val="24"/>
          <w:lang w:eastAsia="es-ES"/>
        </w:rPr>
        <w:t>1.3. Pretensiones de tutela</w:t>
      </w:r>
    </w:p>
    <w:p w14:paraId="50CD0625" w14:textId="77777777" w:rsidR="003E02F0" w:rsidRPr="00F02330" w:rsidRDefault="003E02F0" w:rsidP="00331291">
      <w:pPr>
        <w:contextualSpacing/>
        <w:rPr>
          <w:rFonts w:eastAsia="Verdana"/>
          <w:sz w:val="24"/>
          <w:szCs w:val="24"/>
        </w:rPr>
      </w:pPr>
    </w:p>
    <w:p w14:paraId="64718DA9" w14:textId="77777777" w:rsidR="003E02F0" w:rsidRDefault="007A72C1" w:rsidP="00331291">
      <w:pPr>
        <w:contextualSpacing/>
        <w:rPr>
          <w:rFonts w:eastAsia="Verdana"/>
          <w:color w:val="000000"/>
          <w:sz w:val="24"/>
          <w:szCs w:val="24"/>
        </w:rPr>
      </w:pPr>
      <w:r>
        <w:rPr>
          <w:bCs/>
          <w:color w:val="000000"/>
          <w:sz w:val="24"/>
          <w:szCs w:val="24"/>
        </w:rPr>
        <w:t>El señor Reyes Miguel Alvarado Solano</w:t>
      </w:r>
      <w:r w:rsidR="005E5CD3">
        <w:rPr>
          <w:bCs/>
          <w:color w:val="000000"/>
          <w:sz w:val="24"/>
          <w:szCs w:val="24"/>
        </w:rPr>
        <w:t xml:space="preserve"> por medio de su apoderado,</w:t>
      </w:r>
      <w:r w:rsidR="003E02F0" w:rsidRPr="003E02F0">
        <w:rPr>
          <w:color w:val="000000"/>
          <w:sz w:val="24"/>
          <w:szCs w:val="24"/>
        </w:rPr>
        <w:t xml:space="preserve"> </w:t>
      </w:r>
      <w:r w:rsidR="003E02F0" w:rsidRPr="003E02F0">
        <w:rPr>
          <w:rFonts w:eastAsia="Verdana"/>
          <w:color w:val="000000"/>
          <w:sz w:val="24"/>
          <w:szCs w:val="24"/>
        </w:rPr>
        <w:t>en su escrito de tutela p</w:t>
      </w:r>
      <w:r w:rsidR="0061287B">
        <w:rPr>
          <w:rFonts w:eastAsia="Verdana"/>
          <w:color w:val="000000"/>
          <w:sz w:val="24"/>
          <w:szCs w:val="24"/>
        </w:rPr>
        <w:t>id</w:t>
      </w:r>
      <w:r w:rsidR="00F1524D">
        <w:rPr>
          <w:rFonts w:eastAsia="Verdana"/>
          <w:color w:val="000000"/>
          <w:sz w:val="24"/>
          <w:szCs w:val="24"/>
        </w:rPr>
        <w:t>ió</w:t>
      </w:r>
      <w:r w:rsidR="00475DBD">
        <w:rPr>
          <w:rStyle w:val="Refdenotaalpie"/>
          <w:rFonts w:eastAsia="Verdana"/>
          <w:color w:val="000000"/>
          <w:sz w:val="24"/>
          <w:szCs w:val="24"/>
        </w:rPr>
        <w:footnoteReference w:id="21"/>
      </w:r>
      <w:r w:rsidR="003E02F0" w:rsidRPr="003E02F0">
        <w:rPr>
          <w:rFonts w:eastAsia="Verdana"/>
          <w:color w:val="000000"/>
          <w:sz w:val="24"/>
          <w:szCs w:val="24"/>
        </w:rPr>
        <w:t xml:space="preserve">: </w:t>
      </w:r>
    </w:p>
    <w:p w14:paraId="73546C86" w14:textId="77777777" w:rsidR="00EB37E2" w:rsidRDefault="00EB37E2" w:rsidP="00331291">
      <w:pPr>
        <w:contextualSpacing/>
        <w:rPr>
          <w:rFonts w:eastAsia="Verdana"/>
          <w:color w:val="000000"/>
          <w:sz w:val="24"/>
          <w:szCs w:val="24"/>
        </w:rPr>
      </w:pPr>
    </w:p>
    <w:p w14:paraId="08D4529C" w14:textId="77777777" w:rsidR="00C650B5" w:rsidRDefault="00FD1D2D" w:rsidP="00C650B5">
      <w:pPr>
        <w:ind w:left="709"/>
        <w:rPr>
          <w:rFonts w:eastAsia="Verdana"/>
          <w:color w:val="000000"/>
          <w:sz w:val="22"/>
          <w:szCs w:val="22"/>
        </w:rPr>
      </w:pPr>
      <w:r w:rsidRPr="009614CF">
        <w:rPr>
          <w:rFonts w:eastAsia="Verdana"/>
          <w:color w:val="000000"/>
          <w:sz w:val="22"/>
          <w:szCs w:val="22"/>
        </w:rPr>
        <w:t>“</w:t>
      </w:r>
      <w:r w:rsidR="00C650B5">
        <w:rPr>
          <w:rFonts w:eastAsia="Verdana"/>
          <w:color w:val="000000"/>
          <w:sz w:val="22"/>
          <w:szCs w:val="22"/>
        </w:rPr>
        <w:t xml:space="preserve">1. </w:t>
      </w:r>
      <w:r w:rsidR="00865E80">
        <w:rPr>
          <w:rFonts w:eastAsia="Verdana"/>
          <w:color w:val="000000"/>
          <w:sz w:val="22"/>
          <w:szCs w:val="22"/>
        </w:rPr>
        <w:t xml:space="preserve">(…) </w:t>
      </w:r>
      <w:r w:rsidR="00C650B5">
        <w:rPr>
          <w:rFonts w:eastAsia="Verdana"/>
          <w:color w:val="000000"/>
          <w:sz w:val="22"/>
          <w:szCs w:val="22"/>
        </w:rPr>
        <w:t>tutelar el derecho fundamental al debido proceso del señor Reyes Miguel Alvarado Solano.</w:t>
      </w:r>
    </w:p>
    <w:p w14:paraId="5471DCF3" w14:textId="77777777" w:rsidR="00C650B5" w:rsidRDefault="00C650B5" w:rsidP="00C650B5">
      <w:pPr>
        <w:ind w:left="709"/>
        <w:rPr>
          <w:rFonts w:eastAsia="Verdana"/>
          <w:color w:val="000000"/>
          <w:sz w:val="22"/>
          <w:szCs w:val="22"/>
        </w:rPr>
      </w:pPr>
    </w:p>
    <w:p w14:paraId="2F362B8C" w14:textId="77777777" w:rsidR="00EB37E2" w:rsidRPr="009614CF" w:rsidRDefault="00C650B5" w:rsidP="00331291">
      <w:pPr>
        <w:ind w:left="709"/>
        <w:rPr>
          <w:rFonts w:eastAsia="Verdana"/>
          <w:color w:val="000000"/>
          <w:sz w:val="22"/>
          <w:szCs w:val="22"/>
        </w:rPr>
      </w:pPr>
      <w:r>
        <w:rPr>
          <w:rFonts w:eastAsia="Verdana"/>
          <w:color w:val="000000"/>
          <w:sz w:val="22"/>
          <w:szCs w:val="22"/>
        </w:rPr>
        <w:t xml:space="preserve">2. En consecuencia, </w:t>
      </w:r>
      <w:r w:rsidR="00865E80">
        <w:rPr>
          <w:rFonts w:eastAsia="Verdana"/>
          <w:color w:val="000000"/>
          <w:sz w:val="22"/>
          <w:szCs w:val="22"/>
        </w:rPr>
        <w:t xml:space="preserve">(…) </w:t>
      </w:r>
      <w:r>
        <w:rPr>
          <w:rFonts w:eastAsia="Verdana"/>
          <w:color w:val="000000"/>
          <w:sz w:val="22"/>
          <w:szCs w:val="22"/>
        </w:rPr>
        <w:t>ordenar al TRIBUNAL ADMINISTRATIVO DE CUNDINAMARCA, SECCIÓN TERCERA, SUBSECCIÓN “F”, emitir nueva sentencia dentro del expediente No. 11001-3335-020-2018-00403-00, teniendo en cuenta los postulados sobre el debido proceso judicial atinente a la congruencia que debe existir entre el recurso de apelación que se interpone en contra de la sentencia de primera instancia y la decisión de segunda instancia.</w:t>
      </w:r>
      <w:r w:rsidR="00EB37E2" w:rsidRPr="009614CF">
        <w:rPr>
          <w:rFonts w:eastAsia="Verdana"/>
          <w:color w:val="000000"/>
          <w:sz w:val="22"/>
          <w:szCs w:val="22"/>
        </w:rPr>
        <w:t>”</w:t>
      </w:r>
      <w:r w:rsidR="00EB37E2" w:rsidRPr="009614CF">
        <w:rPr>
          <w:rStyle w:val="Refdenotaalpie"/>
          <w:rFonts w:eastAsia="Verdana"/>
          <w:color w:val="000000"/>
          <w:sz w:val="22"/>
          <w:szCs w:val="22"/>
        </w:rPr>
        <w:footnoteReference w:id="22"/>
      </w:r>
      <w:r w:rsidR="00926C90" w:rsidRPr="009614CF">
        <w:rPr>
          <w:rFonts w:eastAsia="Verdana"/>
          <w:color w:val="000000"/>
          <w:sz w:val="22"/>
          <w:szCs w:val="22"/>
        </w:rPr>
        <w:t>.</w:t>
      </w:r>
    </w:p>
    <w:p w14:paraId="4C316875" w14:textId="77777777" w:rsidR="000A511D" w:rsidRPr="003E02F0" w:rsidRDefault="000A511D" w:rsidP="00331291">
      <w:pPr>
        <w:contextualSpacing/>
        <w:rPr>
          <w:rFonts w:eastAsia="Verdana"/>
          <w:color w:val="000000"/>
          <w:sz w:val="24"/>
          <w:szCs w:val="24"/>
        </w:rPr>
      </w:pPr>
    </w:p>
    <w:p w14:paraId="1E813F1A" w14:textId="77777777" w:rsidR="003E02F0" w:rsidRPr="003E02F0" w:rsidRDefault="003E02F0" w:rsidP="00331291">
      <w:pPr>
        <w:overflowPunct w:val="0"/>
        <w:autoSpaceDE w:val="0"/>
        <w:autoSpaceDN w:val="0"/>
        <w:adjustRightInd w:val="0"/>
        <w:contextualSpacing/>
        <w:rPr>
          <w:color w:val="000000"/>
          <w:sz w:val="24"/>
          <w:szCs w:val="24"/>
        </w:rPr>
      </w:pPr>
      <w:r w:rsidRPr="003E02F0">
        <w:rPr>
          <w:rFonts w:eastAsia="Arial Unicode MS"/>
          <w:b/>
          <w:color w:val="000000"/>
          <w:sz w:val="24"/>
          <w:szCs w:val="24"/>
        </w:rPr>
        <w:t>1.4. Argumentos de la solicitud de tutela</w:t>
      </w:r>
    </w:p>
    <w:p w14:paraId="5F5E7FD1" w14:textId="77777777" w:rsidR="003E02F0" w:rsidRPr="003E02F0" w:rsidRDefault="003E02F0" w:rsidP="00331291">
      <w:pPr>
        <w:overflowPunct w:val="0"/>
        <w:autoSpaceDE w:val="0"/>
        <w:autoSpaceDN w:val="0"/>
        <w:adjustRightInd w:val="0"/>
        <w:contextualSpacing/>
        <w:rPr>
          <w:color w:val="000000"/>
          <w:sz w:val="24"/>
          <w:szCs w:val="24"/>
        </w:rPr>
      </w:pPr>
    </w:p>
    <w:p w14:paraId="475A57AE" w14:textId="77777777" w:rsidR="00446ACF" w:rsidRDefault="00446ACF" w:rsidP="00331291">
      <w:pPr>
        <w:overflowPunct w:val="0"/>
        <w:autoSpaceDE w:val="0"/>
        <w:autoSpaceDN w:val="0"/>
        <w:adjustRightInd w:val="0"/>
        <w:rPr>
          <w:color w:val="000000"/>
          <w:sz w:val="24"/>
          <w:szCs w:val="24"/>
        </w:rPr>
      </w:pPr>
      <w:r>
        <w:rPr>
          <w:color w:val="000000"/>
          <w:sz w:val="24"/>
          <w:szCs w:val="24"/>
        </w:rPr>
        <w:t>El</w:t>
      </w:r>
      <w:r w:rsidR="0004084C">
        <w:rPr>
          <w:color w:val="000000"/>
          <w:sz w:val="24"/>
          <w:szCs w:val="24"/>
        </w:rPr>
        <w:t xml:space="preserve"> </w:t>
      </w:r>
      <w:r w:rsidR="00FB33CD">
        <w:rPr>
          <w:color w:val="000000"/>
          <w:sz w:val="24"/>
          <w:szCs w:val="24"/>
        </w:rPr>
        <w:t>accionante</w:t>
      </w:r>
      <w:r w:rsidR="00581C86">
        <w:rPr>
          <w:color w:val="000000"/>
          <w:sz w:val="24"/>
          <w:szCs w:val="24"/>
        </w:rPr>
        <w:t xml:space="preserve"> </w:t>
      </w:r>
      <w:r>
        <w:rPr>
          <w:color w:val="000000"/>
          <w:sz w:val="24"/>
          <w:szCs w:val="24"/>
        </w:rPr>
        <w:t xml:space="preserve">adujo </w:t>
      </w:r>
      <w:r w:rsidR="00581C86">
        <w:rPr>
          <w:color w:val="000000"/>
          <w:sz w:val="24"/>
          <w:szCs w:val="24"/>
        </w:rPr>
        <w:t xml:space="preserve">que </w:t>
      </w:r>
      <w:bookmarkStart w:id="1" w:name="_Hlk81280383"/>
      <w:r w:rsidR="0087418C">
        <w:rPr>
          <w:color w:val="000000"/>
          <w:sz w:val="24"/>
          <w:szCs w:val="24"/>
        </w:rPr>
        <w:t xml:space="preserve">la autoridad cuestionada en la sentencia objeto de tutela, </w:t>
      </w:r>
      <w:r>
        <w:rPr>
          <w:color w:val="000000"/>
          <w:sz w:val="24"/>
          <w:szCs w:val="24"/>
        </w:rPr>
        <w:t xml:space="preserve">incurrió en violación de la constitución porque </w:t>
      </w:r>
      <w:r w:rsidR="0087418C">
        <w:rPr>
          <w:color w:val="000000"/>
          <w:sz w:val="24"/>
          <w:szCs w:val="24"/>
        </w:rPr>
        <w:t>vulneró</w:t>
      </w:r>
      <w:r w:rsidR="009D3936">
        <w:rPr>
          <w:color w:val="000000"/>
          <w:sz w:val="24"/>
          <w:szCs w:val="24"/>
        </w:rPr>
        <w:t xml:space="preserve"> su derecho fundamental</w:t>
      </w:r>
      <w:r w:rsidR="00E76C33">
        <w:rPr>
          <w:color w:val="000000"/>
          <w:sz w:val="24"/>
          <w:szCs w:val="24"/>
        </w:rPr>
        <w:t xml:space="preserve"> </w:t>
      </w:r>
      <w:r>
        <w:rPr>
          <w:color w:val="000000"/>
          <w:sz w:val="24"/>
          <w:szCs w:val="24"/>
        </w:rPr>
        <w:t>al</w:t>
      </w:r>
      <w:r w:rsidR="00E76C33">
        <w:rPr>
          <w:color w:val="000000"/>
          <w:sz w:val="24"/>
          <w:szCs w:val="24"/>
        </w:rPr>
        <w:t xml:space="preserve"> debido proceso</w:t>
      </w:r>
      <w:r>
        <w:rPr>
          <w:color w:val="000000"/>
          <w:sz w:val="24"/>
          <w:szCs w:val="24"/>
        </w:rPr>
        <w:t xml:space="preserve"> y en especial al principio de congruencia procesal, ya que la Policía Nacional fue apelante único y la decisión </w:t>
      </w:r>
      <w:r w:rsidR="001A3D27">
        <w:rPr>
          <w:color w:val="000000"/>
          <w:sz w:val="24"/>
          <w:szCs w:val="24"/>
        </w:rPr>
        <w:t xml:space="preserve">proferida </w:t>
      </w:r>
      <w:r>
        <w:rPr>
          <w:color w:val="000000"/>
          <w:sz w:val="24"/>
          <w:szCs w:val="24"/>
        </w:rPr>
        <w:t xml:space="preserve">revocó la totalidad de las </w:t>
      </w:r>
      <w:r w:rsidRPr="001A3D27">
        <w:rPr>
          <w:color w:val="000000"/>
          <w:sz w:val="24"/>
          <w:szCs w:val="24"/>
        </w:rPr>
        <w:t xml:space="preserve">ordenes de la sentencia </w:t>
      </w:r>
      <w:r w:rsidR="001A3D27">
        <w:rPr>
          <w:color w:val="000000"/>
          <w:sz w:val="24"/>
          <w:szCs w:val="24"/>
        </w:rPr>
        <w:t xml:space="preserve">de </w:t>
      </w:r>
      <w:r w:rsidRPr="001A3D27">
        <w:rPr>
          <w:color w:val="000000"/>
          <w:sz w:val="24"/>
          <w:szCs w:val="24"/>
        </w:rPr>
        <w:t>primera instancia.</w:t>
      </w:r>
      <w:r>
        <w:rPr>
          <w:color w:val="000000"/>
          <w:sz w:val="24"/>
          <w:szCs w:val="24"/>
        </w:rPr>
        <w:t xml:space="preserve"> </w:t>
      </w:r>
    </w:p>
    <w:p w14:paraId="6FE2977C" w14:textId="77777777" w:rsidR="00446ACF" w:rsidRDefault="00446ACF" w:rsidP="00331291">
      <w:pPr>
        <w:overflowPunct w:val="0"/>
        <w:autoSpaceDE w:val="0"/>
        <w:autoSpaceDN w:val="0"/>
        <w:adjustRightInd w:val="0"/>
        <w:rPr>
          <w:color w:val="000000"/>
          <w:sz w:val="24"/>
          <w:szCs w:val="24"/>
        </w:rPr>
      </w:pPr>
    </w:p>
    <w:p w14:paraId="62DA51C0" w14:textId="77777777" w:rsidR="004F6210" w:rsidRDefault="00446ACF" w:rsidP="00331291">
      <w:pPr>
        <w:overflowPunct w:val="0"/>
        <w:autoSpaceDE w:val="0"/>
        <w:autoSpaceDN w:val="0"/>
        <w:adjustRightInd w:val="0"/>
        <w:rPr>
          <w:color w:val="000000"/>
          <w:sz w:val="24"/>
          <w:szCs w:val="24"/>
        </w:rPr>
      </w:pPr>
      <w:r>
        <w:rPr>
          <w:color w:val="000000"/>
          <w:sz w:val="24"/>
          <w:szCs w:val="24"/>
        </w:rPr>
        <w:t xml:space="preserve">Por otro lado, sostuvo que su solicitud de amparo superó los requisitos generales de procedibilidad de la acción de tutela contra sentencias judiciales y </w:t>
      </w:r>
      <w:r w:rsidR="006B0386">
        <w:rPr>
          <w:color w:val="000000"/>
          <w:sz w:val="24"/>
          <w:szCs w:val="24"/>
        </w:rPr>
        <w:t>como sustento de su inconformidad expuso los siguientes argumentos</w:t>
      </w:r>
      <w:r w:rsidR="00186DA6">
        <w:rPr>
          <w:color w:val="000000"/>
          <w:sz w:val="24"/>
          <w:szCs w:val="24"/>
        </w:rPr>
        <w:t>:</w:t>
      </w:r>
      <w:r w:rsidR="00244530">
        <w:rPr>
          <w:color w:val="000000"/>
          <w:sz w:val="24"/>
          <w:szCs w:val="24"/>
        </w:rPr>
        <w:t xml:space="preserve"> </w:t>
      </w:r>
      <w:bookmarkEnd w:id="1"/>
    </w:p>
    <w:p w14:paraId="6C7F2D8E" w14:textId="77777777" w:rsidR="009D3936" w:rsidRDefault="009D3936" w:rsidP="00331291">
      <w:pPr>
        <w:overflowPunct w:val="0"/>
        <w:autoSpaceDE w:val="0"/>
        <w:autoSpaceDN w:val="0"/>
        <w:adjustRightInd w:val="0"/>
        <w:rPr>
          <w:color w:val="000000"/>
          <w:sz w:val="24"/>
          <w:szCs w:val="24"/>
        </w:rPr>
      </w:pPr>
    </w:p>
    <w:p w14:paraId="6603959F" w14:textId="77777777" w:rsidR="00446ACF" w:rsidRDefault="006B0386" w:rsidP="00331291">
      <w:pPr>
        <w:overflowPunct w:val="0"/>
        <w:autoSpaceDE w:val="0"/>
        <w:autoSpaceDN w:val="0"/>
        <w:adjustRightInd w:val="0"/>
        <w:rPr>
          <w:color w:val="000000"/>
          <w:sz w:val="24"/>
          <w:szCs w:val="24"/>
        </w:rPr>
      </w:pPr>
      <w:r>
        <w:rPr>
          <w:color w:val="000000"/>
          <w:sz w:val="24"/>
          <w:szCs w:val="24"/>
        </w:rPr>
        <w:t xml:space="preserve">La autoridad cuestionada incurrió en una </w:t>
      </w:r>
      <w:r>
        <w:rPr>
          <w:b/>
          <w:bCs/>
          <w:color w:val="000000"/>
          <w:sz w:val="24"/>
          <w:szCs w:val="24"/>
        </w:rPr>
        <w:t>v</w:t>
      </w:r>
      <w:r w:rsidR="00446ACF">
        <w:rPr>
          <w:b/>
          <w:bCs/>
          <w:color w:val="000000"/>
          <w:sz w:val="24"/>
          <w:szCs w:val="24"/>
        </w:rPr>
        <w:t>iolación directa de la Constitución</w:t>
      </w:r>
      <w:r w:rsidR="00446ACF">
        <w:rPr>
          <w:color w:val="000000"/>
          <w:sz w:val="24"/>
          <w:szCs w:val="24"/>
        </w:rPr>
        <w:t xml:space="preserve"> porque </w:t>
      </w:r>
      <w:r w:rsidR="00AC2D4A">
        <w:rPr>
          <w:color w:val="000000"/>
          <w:sz w:val="24"/>
          <w:szCs w:val="24"/>
        </w:rPr>
        <w:t>— a su juicio—, la segunda instancia solamente puede decidir y desatar lo que se argumenta en el recurso de apelación presentado por la parte recurrente, para el caso concreto, lo objetado por la Policía Nacional ya que</w:t>
      </w:r>
      <w:r w:rsidR="006D53CC">
        <w:rPr>
          <w:color w:val="000000"/>
          <w:sz w:val="24"/>
          <w:szCs w:val="24"/>
        </w:rPr>
        <w:t>,</w:t>
      </w:r>
      <w:r w:rsidR="00AC2D4A">
        <w:rPr>
          <w:color w:val="000000"/>
          <w:sz w:val="24"/>
          <w:szCs w:val="24"/>
        </w:rPr>
        <w:t xml:space="preserve"> la Caja de Sueldos de Retiro de la Policía Nacional no recurrió la decisión</w:t>
      </w:r>
      <w:r w:rsidR="0044599A">
        <w:rPr>
          <w:color w:val="000000"/>
          <w:sz w:val="24"/>
          <w:szCs w:val="24"/>
        </w:rPr>
        <w:t>.</w:t>
      </w:r>
    </w:p>
    <w:p w14:paraId="328FEA7A" w14:textId="77777777" w:rsidR="0044599A" w:rsidRDefault="0044599A" w:rsidP="00331291">
      <w:pPr>
        <w:overflowPunct w:val="0"/>
        <w:autoSpaceDE w:val="0"/>
        <w:autoSpaceDN w:val="0"/>
        <w:adjustRightInd w:val="0"/>
        <w:rPr>
          <w:color w:val="000000"/>
          <w:sz w:val="24"/>
          <w:szCs w:val="24"/>
        </w:rPr>
      </w:pPr>
    </w:p>
    <w:p w14:paraId="56230B82" w14:textId="77777777" w:rsidR="0044599A" w:rsidRDefault="0044599A" w:rsidP="00331291">
      <w:pPr>
        <w:overflowPunct w:val="0"/>
        <w:autoSpaceDE w:val="0"/>
        <w:autoSpaceDN w:val="0"/>
        <w:adjustRightInd w:val="0"/>
        <w:rPr>
          <w:color w:val="000000"/>
          <w:sz w:val="24"/>
          <w:szCs w:val="24"/>
        </w:rPr>
      </w:pPr>
      <w:r>
        <w:rPr>
          <w:color w:val="000000"/>
          <w:sz w:val="24"/>
          <w:szCs w:val="24"/>
        </w:rPr>
        <w:t xml:space="preserve">En ese sentido, explicó que </w:t>
      </w:r>
      <w:r w:rsidR="005B5061">
        <w:rPr>
          <w:color w:val="000000"/>
          <w:sz w:val="24"/>
          <w:szCs w:val="24"/>
        </w:rPr>
        <w:t>se configur</w:t>
      </w:r>
      <w:r w:rsidR="001A3D27">
        <w:rPr>
          <w:color w:val="000000"/>
          <w:sz w:val="24"/>
          <w:szCs w:val="24"/>
        </w:rPr>
        <w:t>ó</w:t>
      </w:r>
      <w:r w:rsidR="005B5061">
        <w:rPr>
          <w:color w:val="000000"/>
          <w:sz w:val="24"/>
          <w:szCs w:val="24"/>
        </w:rPr>
        <w:t xml:space="preserve"> un </w:t>
      </w:r>
      <w:r w:rsidR="005B5061" w:rsidRPr="00D72829">
        <w:rPr>
          <w:b/>
          <w:bCs/>
          <w:color w:val="000000"/>
          <w:sz w:val="24"/>
          <w:szCs w:val="24"/>
        </w:rPr>
        <w:t>“defecto fáctico por violación del principio de congruencia”</w:t>
      </w:r>
      <w:r w:rsidR="005B5061">
        <w:rPr>
          <w:color w:val="000000"/>
          <w:sz w:val="24"/>
          <w:szCs w:val="24"/>
        </w:rPr>
        <w:t xml:space="preserve">, tal como lo ha manifestado la Corte Constitucional en sentencia T-773 de 2008 </w:t>
      </w:r>
      <w:r w:rsidR="006B0386">
        <w:rPr>
          <w:color w:val="000000"/>
          <w:sz w:val="24"/>
          <w:szCs w:val="24"/>
        </w:rPr>
        <w:t xml:space="preserve">en a medida </w:t>
      </w:r>
      <w:r w:rsidR="005B5061">
        <w:rPr>
          <w:color w:val="000000"/>
          <w:sz w:val="24"/>
          <w:szCs w:val="24"/>
        </w:rPr>
        <w:t>que</w:t>
      </w:r>
      <w:r w:rsidR="000B0B7C">
        <w:rPr>
          <w:rStyle w:val="Refdenotaalpie"/>
          <w:color w:val="000000"/>
          <w:sz w:val="24"/>
          <w:szCs w:val="24"/>
        </w:rPr>
        <w:footnoteReference w:id="23"/>
      </w:r>
      <w:r w:rsidR="005B5061">
        <w:rPr>
          <w:color w:val="000000"/>
          <w:sz w:val="24"/>
          <w:szCs w:val="24"/>
        </w:rPr>
        <w:t>, “el juez, en su sentencia, no puede reconocer lo que no se le ha pedido (</w:t>
      </w:r>
      <w:r w:rsidR="005B5061" w:rsidRPr="005B5061">
        <w:rPr>
          <w:i/>
          <w:iCs/>
          <w:color w:val="000000"/>
          <w:sz w:val="24"/>
          <w:szCs w:val="24"/>
        </w:rPr>
        <w:t xml:space="preserve">extra </w:t>
      </w:r>
      <w:proofErr w:type="spellStart"/>
      <w:r w:rsidR="005B5061" w:rsidRPr="005B5061">
        <w:rPr>
          <w:i/>
          <w:iCs/>
          <w:color w:val="000000"/>
          <w:sz w:val="24"/>
          <w:szCs w:val="24"/>
        </w:rPr>
        <w:t>petita</w:t>
      </w:r>
      <w:proofErr w:type="spellEnd"/>
      <w:r w:rsidR="005B5061">
        <w:rPr>
          <w:color w:val="000000"/>
          <w:sz w:val="24"/>
          <w:szCs w:val="24"/>
        </w:rPr>
        <w:t>) ni más de lo pedido (</w:t>
      </w:r>
      <w:r w:rsidR="005B5061" w:rsidRPr="005B5061">
        <w:rPr>
          <w:i/>
          <w:iCs/>
          <w:color w:val="000000"/>
          <w:sz w:val="24"/>
          <w:szCs w:val="24"/>
        </w:rPr>
        <w:t xml:space="preserve">ultra </w:t>
      </w:r>
      <w:proofErr w:type="spellStart"/>
      <w:r w:rsidR="005B5061" w:rsidRPr="005B5061">
        <w:rPr>
          <w:i/>
          <w:iCs/>
          <w:color w:val="000000"/>
          <w:sz w:val="24"/>
          <w:szCs w:val="24"/>
        </w:rPr>
        <w:t>petita</w:t>
      </w:r>
      <w:proofErr w:type="spellEnd"/>
      <w:r w:rsidR="005B5061">
        <w:rPr>
          <w:color w:val="000000"/>
          <w:sz w:val="24"/>
          <w:szCs w:val="24"/>
        </w:rPr>
        <w:t>); de no ser así, con su actuación estaría desbordando, positiva o negativamente los límites de su potestad(…)”</w:t>
      </w:r>
      <w:r w:rsidR="000B0B7C">
        <w:rPr>
          <w:rStyle w:val="Refdenotaalpie"/>
          <w:color w:val="000000"/>
          <w:sz w:val="24"/>
          <w:szCs w:val="24"/>
        </w:rPr>
        <w:footnoteReference w:id="24"/>
      </w:r>
      <w:r w:rsidR="005B5061">
        <w:rPr>
          <w:color w:val="000000"/>
          <w:sz w:val="24"/>
          <w:szCs w:val="24"/>
        </w:rPr>
        <w:t xml:space="preserve"> y tal circunstancia materializa una vía de hecho </w:t>
      </w:r>
      <w:r w:rsidR="000B0B7C">
        <w:rPr>
          <w:color w:val="000000"/>
          <w:sz w:val="24"/>
          <w:szCs w:val="24"/>
        </w:rPr>
        <w:t>cuando</w:t>
      </w:r>
      <w:r w:rsidR="005B5061">
        <w:rPr>
          <w:color w:val="000000"/>
          <w:sz w:val="24"/>
          <w:szCs w:val="24"/>
        </w:rPr>
        <w:t xml:space="preserve"> </w:t>
      </w:r>
      <w:r w:rsidR="005B5061">
        <w:rPr>
          <w:color w:val="000000"/>
          <w:sz w:val="24"/>
          <w:szCs w:val="24"/>
        </w:rPr>
        <w:lastRenderedPageBreak/>
        <w:t>“(…) la sentencia o providencia judicial recae sobre materias no demandadas, debatidas o probadas en el proceso (…)”</w:t>
      </w:r>
      <w:r w:rsidR="006B0386">
        <w:rPr>
          <w:rStyle w:val="Refdenotaalpie"/>
          <w:color w:val="000000"/>
          <w:sz w:val="24"/>
          <w:szCs w:val="24"/>
        </w:rPr>
        <w:footnoteReference w:id="25"/>
      </w:r>
      <w:r w:rsidR="006B0386">
        <w:rPr>
          <w:color w:val="000000"/>
          <w:sz w:val="24"/>
          <w:szCs w:val="24"/>
        </w:rPr>
        <w:t>.</w:t>
      </w:r>
    </w:p>
    <w:p w14:paraId="197D551E" w14:textId="77777777" w:rsidR="006B0386" w:rsidRDefault="006B0386" w:rsidP="00331291">
      <w:pPr>
        <w:overflowPunct w:val="0"/>
        <w:autoSpaceDE w:val="0"/>
        <w:autoSpaceDN w:val="0"/>
        <w:adjustRightInd w:val="0"/>
        <w:rPr>
          <w:color w:val="000000"/>
          <w:sz w:val="24"/>
          <w:szCs w:val="24"/>
        </w:rPr>
      </w:pPr>
    </w:p>
    <w:p w14:paraId="78372009" w14:textId="77777777" w:rsidR="006B0386" w:rsidRDefault="006B0386" w:rsidP="00331291">
      <w:pPr>
        <w:overflowPunct w:val="0"/>
        <w:autoSpaceDE w:val="0"/>
        <w:autoSpaceDN w:val="0"/>
        <w:adjustRightInd w:val="0"/>
        <w:rPr>
          <w:color w:val="000000"/>
          <w:sz w:val="24"/>
          <w:szCs w:val="24"/>
        </w:rPr>
      </w:pPr>
      <w:r>
        <w:rPr>
          <w:color w:val="000000"/>
          <w:sz w:val="24"/>
          <w:szCs w:val="24"/>
        </w:rPr>
        <w:t xml:space="preserve">Agregó que, la Corte Constitucional en la sentencia T-152 de 2013 en consonancia con lo manifestado en la sentencia SU-424 de 2012, consideró que la vulneración del principio de congruencia se materializa en un </w:t>
      </w:r>
      <w:r w:rsidRPr="00C30DE6">
        <w:rPr>
          <w:b/>
          <w:bCs/>
          <w:color w:val="000000"/>
          <w:sz w:val="24"/>
          <w:szCs w:val="24"/>
        </w:rPr>
        <w:t>defecto procedimental</w:t>
      </w:r>
      <w:r>
        <w:rPr>
          <w:color w:val="000000"/>
          <w:sz w:val="24"/>
          <w:szCs w:val="24"/>
        </w:rPr>
        <w:t xml:space="preserve"> por vulneración al principio de consonancia y por una decisión sin motivación cuando el juez actúa al margen del procedimiento establecido </w:t>
      </w:r>
      <w:r w:rsidR="0034160C">
        <w:rPr>
          <w:color w:val="000000"/>
          <w:sz w:val="24"/>
          <w:szCs w:val="24"/>
        </w:rPr>
        <w:t>y no se restringe al pedido de las partes para decidir a partir de los aspectos que fueron objeto de impugnación. Al</w:t>
      </w:r>
      <w:r>
        <w:rPr>
          <w:color w:val="000000"/>
          <w:sz w:val="24"/>
          <w:szCs w:val="24"/>
        </w:rPr>
        <w:t xml:space="preserve"> respecto citó algunos apartes de la </w:t>
      </w:r>
      <w:r w:rsidR="0034160C">
        <w:rPr>
          <w:color w:val="000000"/>
          <w:sz w:val="24"/>
          <w:szCs w:val="24"/>
        </w:rPr>
        <w:t>sentencia T-152 de 2013.</w:t>
      </w:r>
    </w:p>
    <w:p w14:paraId="75D4E5B0" w14:textId="77777777" w:rsidR="0034160C" w:rsidRDefault="0034160C" w:rsidP="00331291">
      <w:pPr>
        <w:overflowPunct w:val="0"/>
        <w:autoSpaceDE w:val="0"/>
        <w:autoSpaceDN w:val="0"/>
        <w:adjustRightInd w:val="0"/>
        <w:rPr>
          <w:color w:val="000000"/>
          <w:sz w:val="24"/>
          <w:szCs w:val="24"/>
        </w:rPr>
      </w:pPr>
    </w:p>
    <w:p w14:paraId="037C8ADA" w14:textId="77777777" w:rsidR="0034160C" w:rsidRPr="00446ACF" w:rsidRDefault="0034160C" w:rsidP="00331291">
      <w:pPr>
        <w:overflowPunct w:val="0"/>
        <w:autoSpaceDE w:val="0"/>
        <w:autoSpaceDN w:val="0"/>
        <w:adjustRightInd w:val="0"/>
        <w:rPr>
          <w:color w:val="000000"/>
          <w:sz w:val="24"/>
          <w:szCs w:val="24"/>
        </w:rPr>
      </w:pPr>
      <w:r>
        <w:rPr>
          <w:color w:val="000000"/>
          <w:sz w:val="24"/>
          <w:szCs w:val="24"/>
        </w:rPr>
        <w:t xml:space="preserve">Finalmente </w:t>
      </w:r>
      <w:r w:rsidR="000B0B7C">
        <w:rPr>
          <w:color w:val="000000"/>
          <w:sz w:val="24"/>
          <w:szCs w:val="24"/>
        </w:rPr>
        <w:t xml:space="preserve">reiteró </w:t>
      </w:r>
      <w:r>
        <w:rPr>
          <w:color w:val="000000"/>
          <w:sz w:val="24"/>
          <w:szCs w:val="24"/>
        </w:rPr>
        <w:t xml:space="preserve">que, </w:t>
      </w:r>
      <w:r w:rsidR="000B0B7C">
        <w:rPr>
          <w:color w:val="000000"/>
          <w:sz w:val="24"/>
          <w:szCs w:val="24"/>
        </w:rPr>
        <w:t xml:space="preserve">en el caso concreto </w:t>
      </w:r>
      <w:r w:rsidR="00BF648D">
        <w:rPr>
          <w:color w:val="000000"/>
          <w:sz w:val="24"/>
          <w:szCs w:val="24"/>
        </w:rPr>
        <w:t>fue vulnerado su derecho</w:t>
      </w:r>
      <w:r w:rsidR="000B0B7C">
        <w:rPr>
          <w:color w:val="000000"/>
          <w:sz w:val="24"/>
          <w:szCs w:val="24"/>
        </w:rPr>
        <w:t xml:space="preserve"> al debido proceso </w:t>
      </w:r>
      <w:r w:rsidR="00BF648D">
        <w:rPr>
          <w:color w:val="000000"/>
          <w:sz w:val="24"/>
          <w:szCs w:val="24"/>
        </w:rPr>
        <w:t>al desconocer</w:t>
      </w:r>
      <w:r w:rsidR="000B0B7C">
        <w:rPr>
          <w:color w:val="000000"/>
          <w:sz w:val="24"/>
          <w:szCs w:val="24"/>
        </w:rPr>
        <w:t xml:space="preserve"> el principio de congruencia procesal dado que</w:t>
      </w:r>
      <w:r w:rsidR="00BF648D">
        <w:rPr>
          <w:color w:val="000000"/>
          <w:sz w:val="24"/>
          <w:szCs w:val="24"/>
        </w:rPr>
        <w:t>,</w:t>
      </w:r>
      <w:r w:rsidR="000B0B7C">
        <w:rPr>
          <w:color w:val="000000"/>
          <w:sz w:val="24"/>
          <w:szCs w:val="24"/>
        </w:rPr>
        <w:t xml:space="preserve"> el Tribunal revocó la totalidad de lo concedido por el juez ordinario de primera instancia, sin </w:t>
      </w:r>
      <w:r w:rsidR="000377E5">
        <w:rPr>
          <w:color w:val="000000"/>
          <w:sz w:val="24"/>
          <w:szCs w:val="24"/>
        </w:rPr>
        <w:t>tener en cuenta</w:t>
      </w:r>
      <w:r w:rsidR="009673E2">
        <w:rPr>
          <w:color w:val="000000"/>
          <w:sz w:val="24"/>
          <w:szCs w:val="24"/>
        </w:rPr>
        <w:t xml:space="preserve"> por un lado que</w:t>
      </w:r>
      <w:r w:rsidR="000377E5">
        <w:rPr>
          <w:color w:val="000000"/>
          <w:sz w:val="24"/>
          <w:szCs w:val="24"/>
        </w:rPr>
        <w:t>,</w:t>
      </w:r>
      <w:r w:rsidR="009673E2">
        <w:rPr>
          <w:color w:val="000000"/>
          <w:sz w:val="24"/>
          <w:szCs w:val="24"/>
        </w:rPr>
        <w:t xml:space="preserve"> el recurso de apelación presentado por la Nación, Ministerio de Defensa, Policía Nacional únicamente objetó lo relacionado con la modificación de la hoja de servicios y no lo relacionado con la reliquidación de la asignación de retiro y, por otro lado</w:t>
      </w:r>
      <w:r w:rsidR="000B0B7C">
        <w:rPr>
          <w:color w:val="000000"/>
          <w:sz w:val="24"/>
          <w:szCs w:val="24"/>
        </w:rPr>
        <w:t xml:space="preserve"> que</w:t>
      </w:r>
      <w:r w:rsidR="009673E2">
        <w:rPr>
          <w:color w:val="000000"/>
          <w:sz w:val="24"/>
          <w:szCs w:val="24"/>
        </w:rPr>
        <w:t>,</w:t>
      </w:r>
      <w:r w:rsidR="000B0B7C">
        <w:rPr>
          <w:color w:val="000000"/>
          <w:sz w:val="24"/>
          <w:szCs w:val="24"/>
        </w:rPr>
        <w:t xml:space="preserve"> la Caja de Sueldos de Retiro de la Policía Nacional </w:t>
      </w:r>
      <w:r w:rsidR="009673E2">
        <w:rPr>
          <w:color w:val="000000"/>
          <w:sz w:val="24"/>
          <w:szCs w:val="24"/>
        </w:rPr>
        <w:t>también en calidad de parte demandada</w:t>
      </w:r>
      <w:r w:rsidR="000B0B7C">
        <w:rPr>
          <w:color w:val="000000"/>
          <w:sz w:val="24"/>
          <w:szCs w:val="24"/>
        </w:rPr>
        <w:t>, no interpuso recurso en contra de la decisión proferida en su contra, de tal forma que — a su juicio—, “SE FAVORECIÓ DE UNA DECISIÓN SIN MEDIAR ALZADA LO CUAL AFECTÓ AL DEMANDANTE”</w:t>
      </w:r>
      <w:r w:rsidR="000B0B7C">
        <w:rPr>
          <w:rStyle w:val="Refdenotaalpie"/>
          <w:color w:val="000000"/>
          <w:sz w:val="24"/>
          <w:szCs w:val="24"/>
        </w:rPr>
        <w:footnoteReference w:id="26"/>
      </w:r>
    </w:p>
    <w:p w14:paraId="5BE76EB0" w14:textId="77777777" w:rsidR="009F5B85" w:rsidRDefault="009F5B85" w:rsidP="00331291">
      <w:pPr>
        <w:overflowPunct w:val="0"/>
        <w:autoSpaceDE w:val="0"/>
        <w:autoSpaceDN w:val="0"/>
        <w:adjustRightInd w:val="0"/>
        <w:contextualSpacing/>
        <w:rPr>
          <w:b/>
          <w:color w:val="000000"/>
          <w:sz w:val="24"/>
          <w:szCs w:val="24"/>
        </w:rPr>
      </w:pPr>
    </w:p>
    <w:p w14:paraId="588E3731" w14:textId="77777777" w:rsidR="00020B48" w:rsidRPr="003E02F0" w:rsidRDefault="00020B48" w:rsidP="00331291">
      <w:pPr>
        <w:overflowPunct w:val="0"/>
        <w:autoSpaceDE w:val="0"/>
        <w:autoSpaceDN w:val="0"/>
        <w:adjustRightInd w:val="0"/>
        <w:contextualSpacing/>
        <w:rPr>
          <w:rFonts w:eastAsia="Times New Roman"/>
          <w:b/>
          <w:color w:val="000000"/>
          <w:sz w:val="24"/>
          <w:szCs w:val="24"/>
          <w:lang w:eastAsia="es-ES"/>
        </w:rPr>
      </w:pPr>
      <w:r w:rsidRPr="003E02F0">
        <w:rPr>
          <w:b/>
          <w:color w:val="000000"/>
          <w:sz w:val="24"/>
          <w:szCs w:val="24"/>
        </w:rPr>
        <w:t>1.</w:t>
      </w:r>
      <w:r>
        <w:rPr>
          <w:b/>
          <w:color w:val="000000"/>
          <w:sz w:val="24"/>
          <w:szCs w:val="24"/>
        </w:rPr>
        <w:t>4</w:t>
      </w:r>
      <w:r w:rsidRPr="003E02F0">
        <w:rPr>
          <w:b/>
          <w:color w:val="000000"/>
          <w:sz w:val="24"/>
          <w:szCs w:val="24"/>
        </w:rPr>
        <w:t xml:space="preserve">. Trámite de tutela e intervenciones </w:t>
      </w:r>
    </w:p>
    <w:p w14:paraId="62E84A29" w14:textId="77777777" w:rsidR="009F5B85" w:rsidRDefault="009F5B85" w:rsidP="00331291">
      <w:pPr>
        <w:overflowPunct w:val="0"/>
        <w:autoSpaceDE w:val="0"/>
        <w:autoSpaceDN w:val="0"/>
        <w:adjustRightInd w:val="0"/>
        <w:rPr>
          <w:rFonts w:eastAsia="Verdana"/>
          <w:color w:val="000000"/>
          <w:sz w:val="24"/>
          <w:szCs w:val="24"/>
        </w:rPr>
      </w:pPr>
    </w:p>
    <w:p w14:paraId="0471EE4D" w14:textId="77777777" w:rsidR="003D06C8" w:rsidRDefault="00020B48" w:rsidP="00331291">
      <w:pPr>
        <w:overflowPunct w:val="0"/>
        <w:autoSpaceDE w:val="0"/>
        <w:autoSpaceDN w:val="0"/>
        <w:adjustRightInd w:val="0"/>
        <w:rPr>
          <w:sz w:val="24"/>
          <w:szCs w:val="24"/>
          <w:lang w:val="es-ES"/>
        </w:rPr>
      </w:pPr>
      <w:r w:rsidRPr="00E9517E">
        <w:rPr>
          <w:rFonts w:eastAsia="Verdana"/>
          <w:color w:val="000000"/>
          <w:sz w:val="24"/>
          <w:szCs w:val="24"/>
        </w:rPr>
        <w:t>1.</w:t>
      </w:r>
      <w:r>
        <w:rPr>
          <w:rFonts w:eastAsia="Verdana"/>
          <w:color w:val="000000"/>
          <w:sz w:val="24"/>
          <w:szCs w:val="24"/>
        </w:rPr>
        <w:t>4</w:t>
      </w:r>
      <w:r w:rsidRPr="00E9517E">
        <w:rPr>
          <w:rFonts w:eastAsia="Verdana"/>
          <w:color w:val="000000"/>
          <w:sz w:val="24"/>
          <w:szCs w:val="24"/>
        </w:rPr>
        <w:t xml:space="preserve">.1. </w:t>
      </w:r>
      <w:r w:rsidRPr="00E9517E">
        <w:rPr>
          <w:rFonts w:eastAsia="Verdana"/>
          <w:sz w:val="24"/>
          <w:szCs w:val="24"/>
        </w:rPr>
        <w:t>El</w:t>
      </w:r>
      <w:r>
        <w:rPr>
          <w:rFonts w:eastAsia="Verdana"/>
          <w:sz w:val="24"/>
          <w:szCs w:val="24"/>
        </w:rPr>
        <w:t xml:space="preserve"> Despacho del magistrado ponente, con auto del </w:t>
      </w:r>
      <w:r w:rsidR="00B3135A">
        <w:rPr>
          <w:rFonts w:eastAsia="Verdana"/>
          <w:sz w:val="24"/>
          <w:szCs w:val="24"/>
        </w:rPr>
        <w:t>11 de octubre</w:t>
      </w:r>
      <w:r>
        <w:rPr>
          <w:rFonts w:eastAsia="Verdana"/>
          <w:sz w:val="24"/>
          <w:szCs w:val="24"/>
        </w:rPr>
        <w:t xml:space="preserve"> de 2022</w:t>
      </w:r>
      <w:r>
        <w:rPr>
          <w:rStyle w:val="Refdenotaalpie"/>
          <w:rFonts w:eastAsia="Verdana"/>
          <w:sz w:val="24"/>
          <w:szCs w:val="24"/>
        </w:rPr>
        <w:footnoteReference w:id="27"/>
      </w:r>
      <w:r>
        <w:rPr>
          <w:rFonts w:eastAsia="Verdana"/>
          <w:sz w:val="24"/>
          <w:szCs w:val="24"/>
        </w:rPr>
        <w:t>, admitió la acción</w:t>
      </w:r>
      <w:r w:rsidR="00000F4B">
        <w:rPr>
          <w:rFonts w:eastAsia="Verdana"/>
          <w:sz w:val="24"/>
          <w:szCs w:val="24"/>
        </w:rPr>
        <w:t xml:space="preserve"> </w:t>
      </w:r>
      <w:r w:rsidR="00DA484E">
        <w:rPr>
          <w:rFonts w:eastAsia="Verdana"/>
          <w:sz w:val="24"/>
          <w:szCs w:val="24"/>
        </w:rPr>
        <w:t>y vinculó</w:t>
      </w:r>
      <w:r>
        <w:rPr>
          <w:rFonts w:eastAsia="Verdana"/>
          <w:sz w:val="24"/>
          <w:szCs w:val="24"/>
        </w:rPr>
        <w:t xml:space="preserve"> </w:t>
      </w:r>
      <w:r>
        <w:rPr>
          <w:rFonts w:eastAsia="Verdana"/>
          <w:bCs/>
          <w:sz w:val="24"/>
          <w:szCs w:val="24"/>
        </w:rPr>
        <w:t>como terceros interesados</w:t>
      </w:r>
      <w:r w:rsidR="00150C6D">
        <w:rPr>
          <w:rFonts w:eastAsia="Verdana"/>
          <w:bCs/>
          <w:sz w:val="24"/>
          <w:szCs w:val="24"/>
        </w:rPr>
        <w:t xml:space="preserve"> </w:t>
      </w:r>
      <w:r w:rsidR="00150C6D">
        <w:rPr>
          <w:rStyle w:val="normaltextrun"/>
          <w:bCs/>
          <w:color w:val="000000"/>
          <w:sz w:val="24"/>
          <w:szCs w:val="24"/>
          <w:shd w:val="clear" w:color="auto" w:fill="FFFFFF"/>
        </w:rPr>
        <w:t xml:space="preserve">al Juzgado </w:t>
      </w:r>
      <w:r w:rsidR="003D06C8">
        <w:rPr>
          <w:sz w:val="24"/>
          <w:szCs w:val="24"/>
        </w:rPr>
        <w:t>Veinte</w:t>
      </w:r>
      <w:r w:rsidR="00150C6D">
        <w:rPr>
          <w:sz w:val="24"/>
          <w:szCs w:val="24"/>
        </w:rPr>
        <w:t xml:space="preserve"> Administrativo de Oralidad del Circuito Judicial de Bogotá D.C., Sección Segunda</w:t>
      </w:r>
      <w:r w:rsidR="00000F4B">
        <w:rPr>
          <w:rStyle w:val="normaltextrun"/>
          <w:rFonts w:eastAsia="Times New Roman"/>
          <w:bCs/>
          <w:color w:val="000000"/>
          <w:sz w:val="24"/>
          <w:szCs w:val="24"/>
          <w:shd w:val="clear" w:color="auto" w:fill="FFFFFF"/>
        </w:rPr>
        <w:t>,</w:t>
      </w:r>
      <w:r w:rsidR="000C082B">
        <w:rPr>
          <w:rStyle w:val="normaltextrun"/>
          <w:rFonts w:eastAsia="Times New Roman"/>
          <w:bCs/>
          <w:color w:val="000000"/>
          <w:sz w:val="24"/>
          <w:szCs w:val="24"/>
          <w:shd w:val="clear" w:color="auto" w:fill="FFFFFF"/>
        </w:rPr>
        <w:t xml:space="preserve"> </w:t>
      </w:r>
      <w:r w:rsidR="003D06C8">
        <w:rPr>
          <w:rStyle w:val="normaltextrun"/>
          <w:rFonts w:eastAsia="Times New Roman"/>
          <w:bCs/>
          <w:color w:val="000000"/>
          <w:sz w:val="24"/>
          <w:szCs w:val="24"/>
          <w:shd w:val="clear" w:color="auto" w:fill="FFFFFF"/>
        </w:rPr>
        <w:t xml:space="preserve">a </w:t>
      </w:r>
      <w:r w:rsidR="003D06C8">
        <w:rPr>
          <w:bCs/>
          <w:sz w:val="24"/>
          <w:szCs w:val="24"/>
        </w:rPr>
        <w:t xml:space="preserve">la Nación Ministerio de Defensa, </w:t>
      </w:r>
      <w:r w:rsidR="001A3D27">
        <w:rPr>
          <w:bCs/>
          <w:sz w:val="24"/>
          <w:szCs w:val="24"/>
        </w:rPr>
        <w:t xml:space="preserve">a la </w:t>
      </w:r>
      <w:r w:rsidR="003D06C8">
        <w:rPr>
          <w:bCs/>
          <w:sz w:val="24"/>
          <w:szCs w:val="24"/>
        </w:rPr>
        <w:t xml:space="preserve">Policía </w:t>
      </w:r>
      <w:r w:rsidR="001A3D27">
        <w:rPr>
          <w:bCs/>
          <w:sz w:val="24"/>
          <w:szCs w:val="24"/>
        </w:rPr>
        <w:t>Nacional, la</w:t>
      </w:r>
      <w:r w:rsidR="003D06C8">
        <w:rPr>
          <w:bCs/>
          <w:sz w:val="24"/>
          <w:szCs w:val="24"/>
        </w:rPr>
        <w:t xml:space="preserve"> Caja de Sueldos de Retiro de la Policía Nacional - CASUR</w:t>
      </w:r>
      <w:r w:rsidR="003D06C8" w:rsidRPr="00EE1DC9">
        <w:rPr>
          <w:rStyle w:val="normaltextrun"/>
          <w:bCs/>
          <w:color w:val="000000"/>
          <w:sz w:val="24"/>
          <w:szCs w:val="24"/>
          <w:shd w:val="clear" w:color="auto" w:fill="FFFFFF"/>
        </w:rPr>
        <w:t>, a</w:t>
      </w:r>
      <w:r w:rsidR="003D06C8">
        <w:rPr>
          <w:rStyle w:val="normaltextrun"/>
          <w:bCs/>
          <w:color w:val="000000"/>
          <w:sz w:val="24"/>
          <w:szCs w:val="24"/>
          <w:shd w:val="clear" w:color="auto" w:fill="FFFFFF"/>
        </w:rPr>
        <w:t xml:space="preserve"> las partes y a</w:t>
      </w:r>
      <w:r w:rsidR="003D06C8" w:rsidRPr="00EE1DC9">
        <w:rPr>
          <w:sz w:val="24"/>
          <w:szCs w:val="24"/>
        </w:rPr>
        <w:t xml:space="preserve"> las personas</w:t>
      </w:r>
      <w:r w:rsidR="003D06C8">
        <w:rPr>
          <w:sz w:val="24"/>
          <w:szCs w:val="24"/>
        </w:rPr>
        <w:t xml:space="preserve"> y/o entidades</w:t>
      </w:r>
      <w:r w:rsidR="003D06C8" w:rsidRPr="00EE1DC9">
        <w:rPr>
          <w:sz w:val="24"/>
          <w:szCs w:val="24"/>
        </w:rPr>
        <w:t xml:space="preserve"> que </w:t>
      </w:r>
      <w:r w:rsidR="001A3D27">
        <w:rPr>
          <w:sz w:val="24"/>
          <w:szCs w:val="24"/>
        </w:rPr>
        <w:t>participaron</w:t>
      </w:r>
      <w:r w:rsidR="003D06C8" w:rsidRPr="00EE1DC9">
        <w:rPr>
          <w:sz w:val="24"/>
          <w:szCs w:val="24"/>
        </w:rPr>
        <w:t xml:space="preserve"> en el proceso ordinario con radicado</w:t>
      </w:r>
      <w:r w:rsidR="001A3D27">
        <w:rPr>
          <w:sz w:val="24"/>
          <w:szCs w:val="24"/>
        </w:rPr>
        <w:t xml:space="preserve"> número</w:t>
      </w:r>
      <w:r w:rsidR="003D06C8">
        <w:rPr>
          <w:sz w:val="24"/>
          <w:szCs w:val="24"/>
        </w:rPr>
        <w:t xml:space="preserve"> </w:t>
      </w:r>
      <w:r w:rsidR="003D06C8" w:rsidRPr="00014326">
        <w:rPr>
          <w:sz w:val="24"/>
          <w:szCs w:val="24"/>
        </w:rPr>
        <w:t>11001-3335-020-2018-00403-00</w:t>
      </w:r>
      <w:r w:rsidR="003D06C8">
        <w:rPr>
          <w:sz w:val="24"/>
          <w:szCs w:val="24"/>
        </w:rPr>
        <w:t xml:space="preserve">/01. En el mismo proveído ordenó notificar a las partes, requirió el expediente del proceso ordinario y reconoció personería al abogado de la parte accionante. </w:t>
      </w:r>
    </w:p>
    <w:p w14:paraId="21CFA690" w14:textId="77777777" w:rsidR="00020B48" w:rsidRDefault="00020B48" w:rsidP="00331291">
      <w:pPr>
        <w:overflowPunct w:val="0"/>
        <w:autoSpaceDE w:val="0"/>
        <w:autoSpaceDN w:val="0"/>
        <w:adjustRightInd w:val="0"/>
        <w:rPr>
          <w:rFonts w:eastAsia="Verdana"/>
          <w:color w:val="000000"/>
          <w:sz w:val="24"/>
          <w:szCs w:val="24"/>
        </w:rPr>
      </w:pPr>
    </w:p>
    <w:p w14:paraId="3635AAB2" w14:textId="77777777" w:rsidR="00A251E9" w:rsidRDefault="00020B48" w:rsidP="00331291">
      <w:pPr>
        <w:pStyle w:val="p1"/>
        <w:jc w:val="both"/>
        <w:rPr>
          <w:rFonts w:ascii="Arial" w:hAnsi="Arial" w:cs="Arial"/>
          <w:color w:val="000000"/>
          <w:sz w:val="24"/>
          <w:szCs w:val="24"/>
        </w:rPr>
      </w:pPr>
      <w:r w:rsidRPr="00E9517E">
        <w:rPr>
          <w:rFonts w:ascii="Arial" w:eastAsia="Verdana" w:hAnsi="Arial" w:cs="Arial"/>
          <w:color w:val="000000"/>
          <w:sz w:val="24"/>
          <w:szCs w:val="24"/>
        </w:rPr>
        <w:t>1.</w:t>
      </w:r>
      <w:r>
        <w:rPr>
          <w:rFonts w:ascii="Arial" w:eastAsia="Verdana" w:hAnsi="Arial" w:cs="Arial"/>
          <w:color w:val="000000"/>
          <w:sz w:val="24"/>
          <w:szCs w:val="24"/>
        </w:rPr>
        <w:t>4</w:t>
      </w:r>
      <w:r w:rsidRPr="00E9517E">
        <w:rPr>
          <w:rFonts w:ascii="Arial" w:eastAsia="Verdana" w:hAnsi="Arial" w:cs="Arial"/>
          <w:color w:val="000000"/>
          <w:sz w:val="24"/>
          <w:szCs w:val="24"/>
        </w:rPr>
        <w:t xml:space="preserve">.2. Enviadas las notificaciones de rigor, recibió </w:t>
      </w:r>
      <w:r w:rsidR="00EA5BCF">
        <w:rPr>
          <w:rFonts w:ascii="Arial" w:eastAsia="Verdana" w:hAnsi="Arial" w:cs="Arial"/>
          <w:color w:val="000000"/>
          <w:sz w:val="24"/>
          <w:szCs w:val="24"/>
        </w:rPr>
        <w:t xml:space="preserve">respuesta del </w:t>
      </w:r>
      <w:r w:rsidR="003D06C8">
        <w:rPr>
          <w:rStyle w:val="normaltextrun"/>
          <w:bCs/>
          <w:color w:val="000000"/>
          <w:sz w:val="24"/>
          <w:szCs w:val="24"/>
          <w:shd w:val="clear" w:color="auto" w:fill="FFFFFF"/>
        </w:rPr>
        <w:t xml:space="preserve">Juzgado </w:t>
      </w:r>
      <w:r w:rsidR="003D06C8">
        <w:rPr>
          <w:sz w:val="24"/>
          <w:szCs w:val="24"/>
        </w:rPr>
        <w:t xml:space="preserve">Veinte Administrativo de Oralidad del Circuito Judicial de Bogotá D.C., Sección Segunda </w:t>
      </w:r>
      <w:r w:rsidR="001A3D27">
        <w:rPr>
          <w:sz w:val="24"/>
          <w:szCs w:val="24"/>
        </w:rPr>
        <w:t xml:space="preserve">autoridad </w:t>
      </w:r>
      <w:r w:rsidR="00DA484E">
        <w:rPr>
          <w:sz w:val="24"/>
          <w:szCs w:val="24"/>
        </w:rPr>
        <w:t>que, además, anexó el expediente del proceso ordinario</w:t>
      </w:r>
      <w:r w:rsidR="003D06C8">
        <w:rPr>
          <w:rStyle w:val="Refdenotaalpie"/>
          <w:sz w:val="24"/>
          <w:szCs w:val="24"/>
        </w:rPr>
        <w:footnoteReference w:id="28"/>
      </w:r>
      <w:r w:rsidR="00782EAD">
        <w:rPr>
          <w:sz w:val="24"/>
          <w:szCs w:val="24"/>
        </w:rPr>
        <w:t xml:space="preserve">, </w:t>
      </w:r>
      <w:r w:rsidR="00480491">
        <w:rPr>
          <w:sz w:val="24"/>
          <w:szCs w:val="24"/>
        </w:rPr>
        <w:t xml:space="preserve">del </w:t>
      </w:r>
      <w:r w:rsidR="00480491">
        <w:rPr>
          <w:rFonts w:ascii="Arial" w:eastAsia="Verdana" w:hAnsi="Arial" w:cs="Arial"/>
          <w:color w:val="000000"/>
          <w:sz w:val="24"/>
          <w:szCs w:val="24"/>
        </w:rPr>
        <w:t xml:space="preserve">Tribunal </w:t>
      </w:r>
      <w:r w:rsidR="00480491">
        <w:rPr>
          <w:rFonts w:ascii="Arial" w:eastAsia="Verdana" w:hAnsi="Arial" w:cs="Arial"/>
          <w:color w:val="000000"/>
          <w:sz w:val="24"/>
          <w:szCs w:val="24"/>
        </w:rPr>
        <w:lastRenderedPageBreak/>
        <w:t xml:space="preserve">Administrativo de Cundinamarca, Sección Segunda Subsección </w:t>
      </w:r>
      <w:r w:rsidR="00894DC2">
        <w:rPr>
          <w:rFonts w:ascii="Arial" w:eastAsia="Verdana" w:hAnsi="Arial" w:cs="Arial"/>
          <w:color w:val="000000"/>
          <w:sz w:val="24"/>
          <w:szCs w:val="24"/>
        </w:rPr>
        <w:t>F</w:t>
      </w:r>
      <w:r w:rsidR="00480491">
        <w:rPr>
          <w:rStyle w:val="Refdenotaalpie"/>
          <w:rFonts w:ascii="Arial" w:eastAsia="Verdana" w:hAnsi="Arial" w:cs="Arial"/>
          <w:color w:val="000000"/>
          <w:sz w:val="24"/>
          <w:szCs w:val="24"/>
        </w:rPr>
        <w:footnoteReference w:id="29"/>
      </w:r>
      <w:r w:rsidR="00782EAD">
        <w:rPr>
          <w:rFonts w:ascii="Arial" w:eastAsia="Verdana" w:hAnsi="Arial" w:cs="Arial"/>
          <w:color w:val="000000"/>
          <w:sz w:val="24"/>
          <w:szCs w:val="24"/>
        </w:rPr>
        <w:t xml:space="preserve"> y de la </w:t>
      </w:r>
      <w:r w:rsidR="00B775D0">
        <w:rPr>
          <w:rStyle w:val="normaltextrun"/>
          <w:bCs/>
          <w:color w:val="000000"/>
          <w:sz w:val="24"/>
          <w:szCs w:val="24"/>
          <w:shd w:val="clear" w:color="auto" w:fill="FFFFFF"/>
        </w:rPr>
        <w:t>Policía Nacional</w:t>
      </w:r>
      <w:r w:rsidR="00782EAD">
        <w:rPr>
          <w:rStyle w:val="Refdenotaalpie"/>
          <w:bCs/>
          <w:color w:val="000000"/>
          <w:sz w:val="24"/>
          <w:szCs w:val="24"/>
          <w:shd w:val="clear" w:color="auto" w:fill="FFFFFF"/>
        </w:rPr>
        <w:footnoteReference w:id="30"/>
      </w:r>
      <w:r w:rsidR="00C64426">
        <w:rPr>
          <w:sz w:val="24"/>
          <w:szCs w:val="24"/>
        </w:rPr>
        <w:t>.</w:t>
      </w:r>
    </w:p>
    <w:p w14:paraId="43E233F9" w14:textId="77777777" w:rsidR="00A251E9" w:rsidRDefault="00A251E9" w:rsidP="00331291">
      <w:pPr>
        <w:pStyle w:val="p1"/>
        <w:jc w:val="both"/>
        <w:rPr>
          <w:rFonts w:ascii="Arial" w:hAnsi="Arial" w:cs="Arial"/>
          <w:color w:val="000000"/>
          <w:sz w:val="24"/>
          <w:szCs w:val="24"/>
        </w:rPr>
      </w:pPr>
    </w:p>
    <w:p w14:paraId="57F0B1F8" w14:textId="77777777" w:rsidR="00546FC1" w:rsidRDefault="00546FC1" w:rsidP="00331291">
      <w:pPr>
        <w:pStyle w:val="p1"/>
        <w:jc w:val="both"/>
        <w:rPr>
          <w:rFonts w:ascii="Arial" w:eastAsia="Verdana" w:hAnsi="Arial" w:cs="Arial"/>
          <w:color w:val="000000"/>
          <w:sz w:val="24"/>
          <w:szCs w:val="24"/>
        </w:rPr>
      </w:pPr>
      <w:r w:rsidRPr="00D87A6B">
        <w:rPr>
          <w:rFonts w:ascii="Arial" w:eastAsia="Verdana" w:hAnsi="Arial" w:cs="Arial"/>
          <w:color w:val="000000"/>
          <w:sz w:val="24"/>
          <w:szCs w:val="24"/>
        </w:rPr>
        <w:t>1.4.2.</w:t>
      </w:r>
      <w:r>
        <w:rPr>
          <w:rFonts w:ascii="Arial" w:eastAsia="Verdana" w:hAnsi="Arial" w:cs="Arial"/>
          <w:color w:val="000000"/>
          <w:sz w:val="24"/>
          <w:szCs w:val="24"/>
        </w:rPr>
        <w:t>1.</w:t>
      </w:r>
      <w:r w:rsidR="00FD6873" w:rsidRPr="00FD6873">
        <w:rPr>
          <w:rStyle w:val="normaltextrun"/>
          <w:bCs/>
          <w:color w:val="000000"/>
          <w:sz w:val="24"/>
          <w:szCs w:val="24"/>
          <w:shd w:val="clear" w:color="auto" w:fill="FFFFFF"/>
        </w:rPr>
        <w:t xml:space="preserve"> </w:t>
      </w:r>
      <w:r w:rsidR="001D797E">
        <w:rPr>
          <w:rStyle w:val="normaltextrun"/>
          <w:bCs/>
          <w:color w:val="000000"/>
          <w:sz w:val="24"/>
          <w:szCs w:val="24"/>
          <w:shd w:val="clear" w:color="auto" w:fill="FFFFFF"/>
        </w:rPr>
        <w:t xml:space="preserve">El Juzgado </w:t>
      </w:r>
      <w:r w:rsidR="001D797E">
        <w:rPr>
          <w:sz w:val="24"/>
          <w:szCs w:val="24"/>
        </w:rPr>
        <w:t xml:space="preserve">Veinte Administrativo de Oralidad del Circuito Judicial de Bogotá D.C., Sección Segunda </w:t>
      </w:r>
      <w:r>
        <w:rPr>
          <w:rFonts w:ascii="Arial" w:eastAsia="Verdana" w:hAnsi="Arial" w:cs="Arial"/>
          <w:color w:val="000000"/>
          <w:sz w:val="24"/>
          <w:szCs w:val="24"/>
        </w:rPr>
        <w:t xml:space="preserve">a través </w:t>
      </w:r>
      <w:r w:rsidR="002E1BE0">
        <w:rPr>
          <w:rFonts w:ascii="Arial" w:eastAsia="Verdana" w:hAnsi="Arial" w:cs="Arial"/>
          <w:color w:val="000000"/>
          <w:sz w:val="24"/>
          <w:szCs w:val="24"/>
        </w:rPr>
        <w:t>de la titular del despacho,</w:t>
      </w:r>
      <w:r>
        <w:rPr>
          <w:rFonts w:ascii="Arial" w:eastAsia="Verdana" w:hAnsi="Arial" w:cs="Arial"/>
          <w:color w:val="000000"/>
          <w:sz w:val="24"/>
          <w:szCs w:val="24"/>
        </w:rPr>
        <w:t xml:space="preserve"> </w:t>
      </w:r>
      <w:r w:rsidR="00FD6873">
        <w:rPr>
          <w:rFonts w:ascii="Arial" w:eastAsia="Verdana" w:hAnsi="Arial" w:cs="Arial"/>
          <w:color w:val="000000"/>
          <w:sz w:val="24"/>
          <w:szCs w:val="24"/>
        </w:rPr>
        <w:t xml:space="preserve">manifestó que </w:t>
      </w:r>
      <w:r w:rsidR="00BD25B5">
        <w:rPr>
          <w:rFonts w:ascii="Arial" w:eastAsia="Verdana" w:hAnsi="Arial" w:cs="Arial"/>
          <w:color w:val="000000"/>
          <w:sz w:val="24"/>
          <w:szCs w:val="24"/>
        </w:rPr>
        <w:t>la inconformidad</w:t>
      </w:r>
      <w:r w:rsidR="002E1BE0">
        <w:rPr>
          <w:rFonts w:ascii="Arial" w:eastAsia="Verdana" w:hAnsi="Arial" w:cs="Arial"/>
          <w:color w:val="000000"/>
          <w:sz w:val="24"/>
          <w:szCs w:val="24"/>
        </w:rPr>
        <w:t xml:space="preserve"> del accionante </w:t>
      </w:r>
      <w:r w:rsidR="001A3D27">
        <w:rPr>
          <w:rFonts w:ascii="Arial" w:eastAsia="Verdana" w:hAnsi="Arial" w:cs="Arial"/>
          <w:color w:val="000000"/>
          <w:sz w:val="24"/>
          <w:szCs w:val="24"/>
        </w:rPr>
        <w:t>se dirige a cuestionar</w:t>
      </w:r>
      <w:r w:rsidR="002E1BE0">
        <w:rPr>
          <w:rFonts w:ascii="Arial" w:eastAsia="Verdana" w:hAnsi="Arial" w:cs="Arial"/>
          <w:color w:val="000000"/>
          <w:sz w:val="24"/>
          <w:szCs w:val="24"/>
        </w:rPr>
        <w:t xml:space="preserve"> la </w:t>
      </w:r>
      <w:r w:rsidR="002E1BE0" w:rsidRPr="001A3D27">
        <w:rPr>
          <w:rFonts w:ascii="Arial" w:eastAsia="Verdana" w:hAnsi="Arial" w:cs="Arial"/>
          <w:color w:val="000000"/>
          <w:sz w:val="24"/>
          <w:szCs w:val="24"/>
        </w:rPr>
        <w:t>decisión p</w:t>
      </w:r>
      <w:r w:rsidR="002E1BE0">
        <w:rPr>
          <w:rFonts w:ascii="Arial" w:eastAsia="Verdana" w:hAnsi="Arial" w:cs="Arial"/>
          <w:color w:val="000000"/>
          <w:sz w:val="24"/>
          <w:szCs w:val="24"/>
        </w:rPr>
        <w:t xml:space="preserve">roferida por el Tribunal Administrativo de Cundinamarca por lo que, solicitó la desvinculación de la acción </w:t>
      </w:r>
      <w:r w:rsidR="001A3D27">
        <w:rPr>
          <w:rFonts w:ascii="Arial" w:eastAsia="Verdana" w:hAnsi="Arial" w:cs="Arial"/>
          <w:color w:val="000000"/>
          <w:sz w:val="24"/>
          <w:szCs w:val="24"/>
        </w:rPr>
        <w:t xml:space="preserve">ya que, </w:t>
      </w:r>
      <w:r w:rsidR="002E1BE0">
        <w:rPr>
          <w:rFonts w:ascii="Arial" w:eastAsia="Verdana" w:hAnsi="Arial" w:cs="Arial"/>
          <w:color w:val="000000"/>
          <w:sz w:val="24"/>
          <w:szCs w:val="24"/>
        </w:rPr>
        <w:t>la</w:t>
      </w:r>
      <w:r w:rsidR="001A3D27">
        <w:rPr>
          <w:rFonts w:ascii="Arial" w:eastAsia="Verdana" w:hAnsi="Arial" w:cs="Arial"/>
          <w:color w:val="000000"/>
          <w:sz w:val="24"/>
          <w:szCs w:val="24"/>
        </w:rPr>
        <w:t xml:space="preserve"> sentencia </w:t>
      </w:r>
      <w:r w:rsidR="002E1BE0">
        <w:rPr>
          <w:rFonts w:ascii="Arial" w:eastAsia="Verdana" w:hAnsi="Arial" w:cs="Arial"/>
          <w:color w:val="000000"/>
          <w:sz w:val="24"/>
          <w:szCs w:val="24"/>
        </w:rPr>
        <w:t xml:space="preserve">proferida en primera instancia no vulneró los derechos fundamentales del </w:t>
      </w:r>
      <w:r w:rsidR="00BD25B5">
        <w:rPr>
          <w:rFonts w:ascii="Arial" w:eastAsia="Verdana" w:hAnsi="Arial" w:cs="Arial"/>
          <w:color w:val="000000"/>
          <w:sz w:val="24"/>
          <w:szCs w:val="24"/>
        </w:rPr>
        <w:t>tutelante</w:t>
      </w:r>
      <w:r w:rsidR="00FD6873">
        <w:rPr>
          <w:rFonts w:ascii="Arial" w:eastAsia="Verdana" w:hAnsi="Arial" w:cs="Arial"/>
          <w:color w:val="000000"/>
          <w:sz w:val="24"/>
          <w:szCs w:val="24"/>
        </w:rPr>
        <w:t xml:space="preserve">. </w:t>
      </w:r>
    </w:p>
    <w:p w14:paraId="47E8611E" w14:textId="77777777" w:rsidR="00AA71D5" w:rsidRDefault="00AA71D5" w:rsidP="00331291">
      <w:pPr>
        <w:pStyle w:val="p1"/>
        <w:jc w:val="both"/>
        <w:rPr>
          <w:rFonts w:ascii="Arial" w:hAnsi="Arial" w:cs="Arial"/>
          <w:color w:val="000000"/>
          <w:sz w:val="24"/>
          <w:szCs w:val="24"/>
        </w:rPr>
      </w:pPr>
    </w:p>
    <w:p w14:paraId="38E29690" w14:textId="77777777" w:rsidR="003F25F6" w:rsidRDefault="00881B4D" w:rsidP="00331291">
      <w:pPr>
        <w:pStyle w:val="Prrafodelista"/>
        <w:tabs>
          <w:tab w:val="left" w:pos="567"/>
        </w:tabs>
        <w:ind w:left="0"/>
        <w:jc w:val="both"/>
        <w:rPr>
          <w:rFonts w:ascii="Arial" w:hAnsi="Arial" w:cs="Arial"/>
          <w:sz w:val="24"/>
          <w:szCs w:val="24"/>
        </w:rPr>
      </w:pPr>
      <w:r w:rsidRPr="00D87A6B">
        <w:rPr>
          <w:rFonts w:ascii="Arial" w:eastAsia="Verdana" w:hAnsi="Arial" w:cs="Arial"/>
          <w:color w:val="000000"/>
          <w:sz w:val="24"/>
          <w:szCs w:val="24"/>
        </w:rPr>
        <w:t>1.</w:t>
      </w:r>
      <w:r w:rsidR="00D87A6B" w:rsidRPr="00D87A6B">
        <w:rPr>
          <w:rFonts w:ascii="Arial" w:eastAsia="Verdana" w:hAnsi="Arial" w:cs="Arial"/>
          <w:color w:val="000000"/>
          <w:sz w:val="24"/>
          <w:szCs w:val="24"/>
        </w:rPr>
        <w:t>4</w:t>
      </w:r>
      <w:r w:rsidR="00015649" w:rsidRPr="00D87A6B">
        <w:rPr>
          <w:rFonts w:ascii="Arial" w:eastAsia="Verdana" w:hAnsi="Arial" w:cs="Arial"/>
          <w:color w:val="000000"/>
          <w:sz w:val="24"/>
          <w:szCs w:val="24"/>
        </w:rPr>
        <w:t>.</w:t>
      </w:r>
      <w:r w:rsidR="005A0F53" w:rsidRPr="00D87A6B">
        <w:rPr>
          <w:rFonts w:ascii="Arial" w:eastAsia="Verdana" w:hAnsi="Arial" w:cs="Arial"/>
          <w:color w:val="000000"/>
          <w:sz w:val="24"/>
          <w:szCs w:val="24"/>
        </w:rPr>
        <w:t>2.</w:t>
      </w:r>
      <w:r w:rsidR="00546FC1">
        <w:rPr>
          <w:rFonts w:ascii="Arial" w:eastAsia="Verdana" w:hAnsi="Arial" w:cs="Arial"/>
          <w:color w:val="000000"/>
          <w:sz w:val="24"/>
          <w:szCs w:val="24"/>
        </w:rPr>
        <w:t>2</w:t>
      </w:r>
      <w:r w:rsidR="00015649" w:rsidRPr="00D87A6B">
        <w:rPr>
          <w:rFonts w:ascii="Arial" w:eastAsia="Verdana" w:hAnsi="Arial" w:cs="Arial"/>
          <w:color w:val="000000"/>
          <w:sz w:val="24"/>
          <w:szCs w:val="24"/>
        </w:rPr>
        <w:t>.</w:t>
      </w:r>
      <w:r w:rsidR="00015649" w:rsidRPr="00015649">
        <w:rPr>
          <w:rFonts w:ascii="Arial" w:eastAsia="Verdana" w:hAnsi="Arial" w:cs="Arial"/>
          <w:color w:val="000000"/>
          <w:sz w:val="24"/>
          <w:szCs w:val="24"/>
        </w:rPr>
        <w:t xml:space="preserve"> </w:t>
      </w:r>
      <w:r w:rsidR="00D87A6B">
        <w:rPr>
          <w:rFonts w:ascii="Arial" w:eastAsia="Verdana" w:hAnsi="Arial" w:cs="Arial"/>
          <w:color w:val="000000"/>
          <w:sz w:val="24"/>
          <w:szCs w:val="24"/>
        </w:rPr>
        <w:t>El</w:t>
      </w:r>
      <w:r w:rsidR="00C64426" w:rsidRPr="00C64426">
        <w:rPr>
          <w:rFonts w:ascii="Arial" w:eastAsia="Verdana" w:hAnsi="Arial" w:cs="Arial"/>
          <w:color w:val="000000"/>
          <w:sz w:val="24"/>
          <w:szCs w:val="24"/>
        </w:rPr>
        <w:t xml:space="preserve"> </w:t>
      </w:r>
      <w:r w:rsidR="00C64426">
        <w:rPr>
          <w:rFonts w:ascii="Arial" w:eastAsia="Verdana" w:hAnsi="Arial" w:cs="Arial"/>
          <w:color w:val="000000"/>
          <w:sz w:val="24"/>
          <w:szCs w:val="24"/>
        </w:rPr>
        <w:t xml:space="preserve">Tribunal Administrativo de Cundinamarca, Sección Segunda Subsección </w:t>
      </w:r>
      <w:r w:rsidR="00BD25B5">
        <w:rPr>
          <w:rFonts w:ascii="Arial" w:eastAsia="Verdana" w:hAnsi="Arial" w:cs="Arial"/>
          <w:color w:val="000000"/>
          <w:sz w:val="24"/>
          <w:szCs w:val="24"/>
        </w:rPr>
        <w:t>F</w:t>
      </w:r>
      <w:r w:rsidR="003F25F6">
        <w:rPr>
          <w:rFonts w:ascii="Arial" w:eastAsia="Verdana" w:hAnsi="Arial" w:cs="Arial"/>
          <w:color w:val="000000"/>
          <w:sz w:val="24"/>
          <w:szCs w:val="24"/>
        </w:rPr>
        <w:t xml:space="preserve"> a través de</w:t>
      </w:r>
      <w:r w:rsidR="009673E2">
        <w:rPr>
          <w:rFonts w:ascii="Arial" w:eastAsia="Verdana" w:hAnsi="Arial" w:cs="Arial"/>
          <w:color w:val="000000"/>
          <w:sz w:val="24"/>
          <w:szCs w:val="24"/>
        </w:rPr>
        <w:t xml:space="preserve"> </w:t>
      </w:r>
      <w:r w:rsidR="003F25F6">
        <w:rPr>
          <w:rFonts w:ascii="Arial" w:eastAsia="Verdana" w:hAnsi="Arial" w:cs="Arial"/>
          <w:color w:val="000000"/>
          <w:sz w:val="24"/>
          <w:szCs w:val="24"/>
        </w:rPr>
        <w:t>l</w:t>
      </w:r>
      <w:r w:rsidR="009673E2">
        <w:rPr>
          <w:rFonts w:ascii="Arial" w:eastAsia="Verdana" w:hAnsi="Arial" w:cs="Arial"/>
          <w:color w:val="000000"/>
          <w:sz w:val="24"/>
          <w:szCs w:val="24"/>
        </w:rPr>
        <w:t>a</w:t>
      </w:r>
      <w:r w:rsidR="003F25F6">
        <w:rPr>
          <w:rFonts w:ascii="Arial" w:eastAsia="Verdana" w:hAnsi="Arial" w:cs="Arial"/>
          <w:color w:val="000000"/>
          <w:sz w:val="24"/>
          <w:szCs w:val="24"/>
        </w:rPr>
        <w:t xml:space="preserve"> magistrad</w:t>
      </w:r>
      <w:r w:rsidR="009673E2">
        <w:rPr>
          <w:rFonts w:ascii="Arial" w:eastAsia="Verdana" w:hAnsi="Arial" w:cs="Arial"/>
          <w:color w:val="000000"/>
          <w:sz w:val="24"/>
          <w:szCs w:val="24"/>
        </w:rPr>
        <w:t>a</w:t>
      </w:r>
      <w:r w:rsidR="003F25F6">
        <w:rPr>
          <w:rFonts w:ascii="Arial" w:eastAsia="Verdana" w:hAnsi="Arial" w:cs="Arial"/>
          <w:color w:val="000000"/>
          <w:sz w:val="24"/>
          <w:szCs w:val="24"/>
        </w:rPr>
        <w:t xml:space="preserve"> ponente de </w:t>
      </w:r>
      <w:r w:rsidR="003F25F6" w:rsidRPr="001A3D27">
        <w:rPr>
          <w:rFonts w:ascii="Arial" w:eastAsia="Verdana" w:hAnsi="Arial" w:cs="Arial"/>
          <w:color w:val="000000"/>
          <w:sz w:val="24"/>
          <w:szCs w:val="24"/>
        </w:rPr>
        <w:t xml:space="preserve">la </w:t>
      </w:r>
      <w:r w:rsidR="001A3D27" w:rsidRPr="001A3D27">
        <w:rPr>
          <w:rFonts w:ascii="Arial" w:eastAsia="Verdana" w:hAnsi="Arial" w:cs="Arial"/>
          <w:color w:val="000000"/>
          <w:sz w:val="24"/>
          <w:szCs w:val="24"/>
        </w:rPr>
        <w:t>sentencia</w:t>
      </w:r>
      <w:r w:rsidR="003F25F6" w:rsidRPr="001A3D27">
        <w:rPr>
          <w:rFonts w:ascii="Arial" w:eastAsia="Verdana" w:hAnsi="Arial" w:cs="Arial"/>
          <w:color w:val="000000"/>
          <w:sz w:val="24"/>
          <w:szCs w:val="24"/>
        </w:rPr>
        <w:t xml:space="preserve"> de segunda instancia</w:t>
      </w:r>
      <w:r w:rsidR="00015649" w:rsidRPr="001A3D27">
        <w:t xml:space="preserve">, </w:t>
      </w:r>
      <w:r w:rsidR="005219F4" w:rsidRPr="001A3D27">
        <w:rPr>
          <w:rFonts w:ascii="Arial" w:hAnsi="Arial" w:cs="Arial"/>
          <w:sz w:val="24"/>
          <w:szCs w:val="24"/>
        </w:rPr>
        <w:t>indicó</w:t>
      </w:r>
      <w:r w:rsidR="00537586" w:rsidRPr="001A3D27">
        <w:rPr>
          <w:rFonts w:ascii="Arial" w:hAnsi="Arial" w:cs="Arial"/>
          <w:sz w:val="24"/>
          <w:szCs w:val="24"/>
        </w:rPr>
        <w:t xml:space="preserve"> que </w:t>
      </w:r>
      <w:r w:rsidR="00440004" w:rsidRPr="001A3D27">
        <w:rPr>
          <w:rFonts w:ascii="Arial" w:hAnsi="Arial" w:cs="Arial"/>
          <w:sz w:val="24"/>
          <w:szCs w:val="24"/>
        </w:rPr>
        <w:t>aun cuando</w:t>
      </w:r>
      <w:r w:rsidR="00440004">
        <w:rPr>
          <w:rFonts w:ascii="Arial" w:hAnsi="Arial" w:cs="Arial"/>
          <w:sz w:val="24"/>
          <w:szCs w:val="24"/>
        </w:rPr>
        <w:t xml:space="preserve"> el accionante pretende hacer ver que la modificación de la hoja de servicios y la reliquidación de su asignación de retiro son dos situaciones jurídicas diferentes, lo cierto es que</w:t>
      </w:r>
      <w:r w:rsidR="00BF648D">
        <w:rPr>
          <w:rFonts w:ascii="Arial" w:hAnsi="Arial" w:cs="Arial"/>
          <w:sz w:val="24"/>
          <w:szCs w:val="24"/>
        </w:rPr>
        <w:t>,</w:t>
      </w:r>
      <w:r w:rsidR="00440004">
        <w:rPr>
          <w:rFonts w:ascii="Arial" w:hAnsi="Arial" w:cs="Arial"/>
          <w:sz w:val="24"/>
          <w:szCs w:val="24"/>
        </w:rPr>
        <w:t xml:space="preserve"> el reajuste de su asignación tiene precisamente como punto de partida la modificación de la hoja de servicios. </w:t>
      </w:r>
    </w:p>
    <w:p w14:paraId="67B6E3E8" w14:textId="77777777" w:rsidR="00440004" w:rsidRDefault="00440004" w:rsidP="00331291">
      <w:pPr>
        <w:pStyle w:val="Prrafodelista"/>
        <w:tabs>
          <w:tab w:val="left" w:pos="567"/>
        </w:tabs>
        <w:ind w:left="0"/>
        <w:jc w:val="both"/>
        <w:rPr>
          <w:rFonts w:ascii="Arial" w:hAnsi="Arial" w:cs="Arial"/>
          <w:sz w:val="24"/>
          <w:szCs w:val="24"/>
        </w:rPr>
      </w:pPr>
    </w:p>
    <w:p w14:paraId="6E523410" w14:textId="77777777" w:rsidR="00440004" w:rsidRDefault="00440004" w:rsidP="00331291">
      <w:pPr>
        <w:pStyle w:val="Prrafodelista"/>
        <w:tabs>
          <w:tab w:val="left" w:pos="567"/>
        </w:tabs>
        <w:ind w:left="0"/>
        <w:jc w:val="both"/>
        <w:rPr>
          <w:rFonts w:ascii="Arial" w:hAnsi="Arial" w:cs="Arial"/>
          <w:sz w:val="24"/>
          <w:szCs w:val="24"/>
        </w:rPr>
      </w:pPr>
      <w:r>
        <w:rPr>
          <w:rFonts w:ascii="Arial" w:hAnsi="Arial" w:cs="Arial"/>
          <w:sz w:val="24"/>
          <w:szCs w:val="24"/>
        </w:rPr>
        <w:t xml:space="preserve">Al </w:t>
      </w:r>
      <w:r w:rsidRPr="001A3D27">
        <w:rPr>
          <w:rFonts w:ascii="Arial" w:hAnsi="Arial" w:cs="Arial"/>
          <w:sz w:val="24"/>
          <w:szCs w:val="24"/>
        </w:rPr>
        <w:t xml:space="preserve">respecto </w:t>
      </w:r>
      <w:r w:rsidR="001A3D27" w:rsidRPr="001A3D27">
        <w:rPr>
          <w:rFonts w:ascii="Arial" w:hAnsi="Arial" w:cs="Arial"/>
          <w:sz w:val="24"/>
          <w:szCs w:val="24"/>
        </w:rPr>
        <w:t>explicó</w:t>
      </w:r>
      <w:r w:rsidRPr="001A3D27">
        <w:rPr>
          <w:rFonts w:ascii="Arial" w:hAnsi="Arial" w:cs="Arial"/>
          <w:sz w:val="24"/>
          <w:szCs w:val="24"/>
        </w:rPr>
        <w:t xml:space="preserve"> que</w:t>
      </w:r>
      <w:r>
        <w:rPr>
          <w:rFonts w:ascii="Arial" w:hAnsi="Arial" w:cs="Arial"/>
          <w:sz w:val="24"/>
          <w:szCs w:val="24"/>
        </w:rPr>
        <w:t xml:space="preserve">, </w:t>
      </w:r>
      <w:r w:rsidR="0064087B">
        <w:rPr>
          <w:rFonts w:ascii="Arial" w:hAnsi="Arial" w:cs="Arial"/>
          <w:sz w:val="24"/>
          <w:szCs w:val="24"/>
        </w:rPr>
        <w:t xml:space="preserve">“no </w:t>
      </w:r>
      <w:r>
        <w:rPr>
          <w:rFonts w:ascii="Arial" w:hAnsi="Arial" w:cs="Arial"/>
          <w:sz w:val="24"/>
          <w:szCs w:val="24"/>
        </w:rPr>
        <w:t xml:space="preserve">era jurídicamente viable argumentar que </w:t>
      </w:r>
      <w:r w:rsidR="0064087B">
        <w:rPr>
          <w:rFonts w:ascii="Arial" w:hAnsi="Arial" w:cs="Arial"/>
          <w:sz w:val="24"/>
          <w:szCs w:val="24"/>
        </w:rPr>
        <w:t>al demandante no le asiste el derecho al reconocimiento de la prima de academia superior, pero que dicho factor si debe ser incluido en su asignación de retiro, precisamente porque su reconocimiento no tiene sustento jurídico”</w:t>
      </w:r>
      <w:r w:rsidR="0064087B">
        <w:rPr>
          <w:rStyle w:val="Refdenotaalpie"/>
          <w:rFonts w:ascii="Arial" w:hAnsi="Arial" w:cs="Arial"/>
          <w:sz w:val="24"/>
          <w:szCs w:val="24"/>
        </w:rPr>
        <w:footnoteReference w:id="31"/>
      </w:r>
      <w:r w:rsidR="0064087B">
        <w:rPr>
          <w:rFonts w:ascii="Arial" w:hAnsi="Arial" w:cs="Arial"/>
          <w:sz w:val="24"/>
          <w:szCs w:val="24"/>
        </w:rPr>
        <w:t>.</w:t>
      </w:r>
    </w:p>
    <w:p w14:paraId="62A44285" w14:textId="77777777" w:rsidR="00440004" w:rsidRDefault="00440004" w:rsidP="00331291">
      <w:pPr>
        <w:pStyle w:val="Prrafodelista"/>
        <w:tabs>
          <w:tab w:val="left" w:pos="567"/>
        </w:tabs>
        <w:ind w:left="0"/>
        <w:jc w:val="both"/>
        <w:rPr>
          <w:rFonts w:ascii="Arial" w:hAnsi="Arial" w:cs="Arial"/>
          <w:sz w:val="24"/>
          <w:szCs w:val="24"/>
        </w:rPr>
      </w:pPr>
    </w:p>
    <w:p w14:paraId="5298DA22" w14:textId="77777777" w:rsidR="00425724" w:rsidRDefault="001A3D27" w:rsidP="00331291">
      <w:pPr>
        <w:pStyle w:val="Prrafodelista"/>
        <w:tabs>
          <w:tab w:val="left" w:pos="567"/>
        </w:tabs>
        <w:ind w:left="0"/>
        <w:jc w:val="both"/>
        <w:rPr>
          <w:rFonts w:ascii="Arial" w:hAnsi="Arial" w:cs="Arial"/>
          <w:sz w:val="24"/>
          <w:szCs w:val="24"/>
        </w:rPr>
      </w:pPr>
      <w:r>
        <w:rPr>
          <w:rFonts w:ascii="Arial" w:hAnsi="Arial" w:cs="Arial"/>
          <w:sz w:val="24"/>
          <w:szCs w:val="24"/>
        </w:rPr>
        <w:t>Finalmente, s</w:t>
      </w:r>
      <w:r w:rsidR="003F25F6" w:rsidRPr="001A3D27">
        <w:rPr>
          <w:rFonts w:ascii="Arial" w:hAnsi="Arial" w:cs="Arial"/>
          <w:sz w:val="24"/>
          <w:szCs w:val="24"/>
        </w:rPr>
        <w:t>ostuvo que,</w:t>
      </w:r>
      <w:r w:rsidR="00425724" w:rsidRPr="001A3D27">
        <w:rPr>
          <w:rFonts w:ascii="Arial" w:hAnsi="Arial" w:cs="Arial"/>
          <w:sz w:val="24"/>
          <w:szCs w:val="24"/>
        </w:rPr>
        <w:t xml:space="preserve"> </w:t>
      </w:r>
      <w:r w:rsidR="00425724">
        <w:rPr>
          <w:rFonts w:ascii="Arial" w:hAnsi="Arial" w:cs="Arial"/>
          <w:sz w:val="24"/>
          <w:szCs w:val="24"/>
        </w:rPr>
        <w:t xml:space="preserve">la decisión </w:t>
      </w:r>
      <w:r>
        <w:rPr>
          <w:rFonts w:ascii="Arial" w:hAnsi="Arial" w:cs="Arial"/>
          <w:sz w:val="24"/>
          <w:szCs w:val="24"/>
        </w:rPr>
        <w:t xml:space="preserve">fue </w:t>
      </w:r>
      <w:r w:rsidR="00425724">
        <w:rPr>
          <w:rFonts w:ascii="Arial" w:hAnsi="Arial" w:cs="Arial"/>
          <w:sz w:val="24"/>
          <w:szCs w:val="24"/>
        </w:rPr>
        <w:t xml:space="preserve">proferida </w:t>
      </w:r>
      <w:r>
        <w:rPr>
          <w:rFonts w:ascii="Arial" w:hAnsi="Arial" w:cs="Arial"/>
          <w:sz w:val="24"/>
          <w:szCs w:val="24"/>
        </w:rPr>
        <w:t>conforme a lo objetado en el</w:t>
      </w:r>
      <w:r w:rsidR="00425724">
        <w:rPr>
          <w:rFonts w:ascii="Arial" w:hAnsi="Arial" w:cs="Arial"/>
          <w:sz w:val="24"/>
          <w:szCs w:val="24"/>
        </w:rPr>
        <w:t xml:space="preserve"> recurso de apelación presentado </w:t>
      </w:r>
      <w:r>
        <w:rPr>
          <w:rFonts w:ascii="Arial" w:hAnsi="Arial" w:cs="Arial"/>
          <w:sz w:val="24"/>
          <w:szCs w:val="24"/>
        </w:rPr>
        <w:t xml:space="preserve">por </w:t>
      </w:r>
      <w:r w:rsidR="00425724">
        <w:rPr>
          <w:rFonts w:ascii="Arial" w:hAnsi="Arial" w:cs="Arial"/>
          <w:sz w:val="24"/>
          <w:szCs w:val="24"/>
        </w:rPr>
        <w:t xml:space="preserve">el apoderado de la entidad demandada </w:t>
      </w:r>
      <w:r>
        <w:rPr>
          <w:rFonts w:ascii="Arial" w:hAnsi="Arial" w:cs="Arial"/>
          <w:sz w:val="24"/>
          <w:szCs w:val="24"/>
        </w:rPr>
        <w:t xml:space="preserve">quien </w:t>
      </w:r>
      <w:r w:rsidR="00425724">
        <w:rPr>
          <w:rFonts w:ascii="Arial" w:hAnsi="Arial" w:cs="Arial"/>
          <w:sz w:val="24"/>
          <w:szCs w:val="24"/>
        </w:rPr>
        <w:t>adujo que</w:t>
      </w:r>
      <w:r>
        <w:rPr>
          <w:rFonts w:ascii="Arial" w:hAnsi="Arial" w:cs="Arial"/>
          <w:sz w:val="24"/>
          <w:szCs w:val="24"/>
        </w:rPr>
        <w:t xml:space="preserve">, </w:t>
      </w:r>
      <w:r w:rsidR="00425724">
        <w:rPr>
          <w:rFonts w:ascii="Arial" w:hAnsi="Arial" w:cs="Arial"/>
          <w:sz w:val="24"/>
          <w:szCs w:val="24"/>
        </w:rPr>
        <w:t>ordenar el reajuste de la asignación de retiro con la inclusión de la prima de academia superior sin que existiera norma que lo otorgue</w:t>
      </w:r>
      <w:r>
        <w:rPr>
          <w:rFonts w:ascii="Arial" w:hAnsi="Arial" w:cs="Arial"/>
          <w:sz w:val="24"/>
          <w:szCs w:val="24"/>
        </w:rPr>
        <w:t>,</w:t>
      </w:r>
      <w:r w:rsidR="00425724">
        <w:rPr>
          <w:rFonts w:ascii="Arial" w:hAnsi="Arial" w:cs="Arial"/>
          <w:sz w:val="24"/>
          <w:szCs w:val="24"/>
        </w:rPr>
        <w:t xml:space="preserve"> generaba un consecuente enriquecimiento sin justa causa</w:t>
      </w:r>
      <w:r>
        <w:rPr>
          <w:rFonts w:ascii="Arial" w:hAnsi="Arial" w:cs="Arial"/>
          <w:sz w:val="24"/>
          <w:szCs w:val="24"/>
        </w:rPr>
        <w:t xml:space="preserve"> a favor del demandante y en ese orden, </w:t>
      </w:r>
      <w:r w:rsidR="00425724">
        <w:rPr>
          <w:rFonts w:ascii="Arial" w:hAnsi="Arial" w:cs="Arial"/>
          <w:sz w:val="24"/>
          <w:szCs w:val="24"/>
        </w:rPr>
        <w:t xml:space="preserve">la petición del apelante no se restringió a la pretensión relacionada con la modificación de la hoja de servicios sino que pidió el estudio integral de las pretensiones.  </w:t>
      </w:r>
    </w:p>
    <w:p w14:paraId="4CF520D1" w14:textId="77777777" w:rsidR="00E51F18" w:rsidRDefault="00E51F18" w:rsidP="00331291">
      <w:pPr>
        <w:pStyle w:val="p1"/>
        <w:jc w:val="both"/>
        <w:rPr>
          <w:rFonts w:ascii="Arial" w:hAnsi="Arial" w:cs="Arial"/>
          <w:sz w:val="24"/>
          <w:szCs w:val="24"/>
        </w:rPr>
      </w:pPr>
    </w:p>
    <w:p w14:paraId="51348744" w14:textId="5BA528F4" w:rsidR="00F4458D" w:rsidRDefault="00E51F18" w:rsidP="00331291">
      <w:pPr>
        <w:pStyle w:val="p1"/>
        <w:jc w:val="both"/>
        <w:rPr>
          <w:rFonts w:ascii="Arial" w:eastAsia="Verdana" w:hAnsi="Arial" w:cs="Arial"/>
          <w:color w:val="000000"/>
          <w:sz w:val="24"/>
          <w:szCs w:val="24"/>
        </w:rPr>
      </w:pPr>
      <w:r w:rsidRPr="00D87A6B">
        <w:rPr>
          <w:rFonts w:ascii="Arial" w:eastAsia="Verdana" w:hAnsi="Arial" w:cs="Arial"/>
          <w:color w:val="000000"/>
          <w:sz w:val="24"/>
          <w:szCs w:val="24"/>
        </w:rPr>
        <w:t>1.4.2.</w:t>
      </w:r>
      <w:r>
        <w:rPr>
          <w:rFonts w:ascii="Arial" w:eastAsia="Verdana" w:hAnsi="Arial" w:cs="Arial"/>
          <w:color w:val="000000"/>
          <w:sz w:val="24"/>
          <w:szCs w:val="24"/>
        </w:rPr>
        <w:t xml:space="preserve">3. </w:t>
      </w:r>
      <w:r w:rsidR="00F4458D">
        <w:rPr>
          <w:rFonts w:ascii="Arial" w:eastAsia="Verdana" w:hAnsi="Arial" w:cs="Arial"/>
          <w:color w:val="000000"/>
          <w:sz w:val="24"/>
          <w:szCs w:val="24"/>
        </w:rPr>
        <w:t>El Ministerio de Defensa, Policía Nacional</w:t>
      </w:r>
      <w:r w:rsidR="007175CF">
        <w:rPr>
          <w:rFonts w:ascii="Arial" w:eastAsia="Verdana" w:hAnsi="Arial" w:cs="Arial"/>
          <w:color w:val="000000"/>
          <w:sz w:val="24"/>
          <w:szCs w:val="24"/>
        </w:rPr>
        <w:t xml:space="preserve"> a través </w:t>
      </w:r>
      <w:r w:rsidR="00F4458D">
        <w:rPr>
          <w:rFonts w:ascii="Arial" w:eastAsia="Verdana" w:hAnsi="Arial" w:cs="Arial"/>
          <w:color w:val="000000"/>
          <w:sz w:val="24"/>
          <w:szCs w:val="24"/>
        </w:rPr>
        <w:t>de la Asesora del Sector Defensa-16 del Grupo de Asuntos Jurídicos de la Secretaría General de la Policía Nacional</w:t>
      </w:r>
      <w:r w:rsidR="007175CF">
        <w:rPr>
          <w:rFonts w:ascii="Arial" w:eastAsia="Verdana" w:hAnsi="Arial" w:cs="Arial"/>
          <w:color w:val="000000"/>
          <w:sz w:val="24"/>
          <w:szCs w:val="24"/>
        </w:rPr>
        <w:t xml:space="preserve"> solicitó declarar improcedente la solicitud por cuanto — a su juicio—, </w:t>
      </w:r>
      <w:r w:rsidR="000A0FFC">
        <w:rPr>
          <w:rFonts w:ascii="Arial" w:eastAsia="Verdana" w:hAnsi="Arial" w:cs="Arial"/>
          <w:color w:val="000000"/>
          <w:sz w:val="24"/>
          <w:szCs w:val="24"/>
        </w:rPr>
        <w:t>el</w:t>
      </w:r>
      <w:r w:rsidR="007175CF">
        <w:rPr>
          <w:rFonts w:ascii="Arial" w:eastAsia="Verdana" w:hAnsi="Arial" w:cs="Arial"/>
          <w:color w:val="000000"/>
          <w:sz w:val="24"/>
          <w:szCs w:val="24"/>
        </w:rPr>
        <w:t xml:space="preserve"> accionante no sustentó ningún vicio, defecto o vulneración de los derechos fundamentales invocados.</w:t>
      </w:r>
      <w:r w:rsidR="00F4458D">
        <w:rPr>
          <w:rFonts w:ascii="Arial" w:eastAsia="Verdana" w:hAnsi="Arial" w:cs="Arial"/>
          <w:color w:val="000000"/>
          <w:sz w:val="24"/>
          <w:szCs w:val="24"/>
        </w:rPr>
        <w:t xml:space="preserve"> </w:t>
      </w:r>
    </w:p>
    <w:p w14:paraId="67361F6E" w14:textId="77777777" w:rsidR="00E51F18" w:rsidRPr="009B3C78" w:rsidRDefault="00F4458D" w:rsidP="00331291">
      <w:pPr>
        <w:pStyle w:val="p1"/>
        <w:jc w:val="both"/>
        <w:rPr>
          <w:rFonts w:ascii="Arial" w:hAnsi="Arial" w:cs="Arial"/>
          <w:sz w:val="24"/>
          <w:szCs w:val="24"/>
        </w:rPr>
      </w:pPr>
      <w:r>
        <w:rPr>
          <w:rFonts w:ascii="Arial" w:eastAsia="Verdana" w:hAnsi="Arial" w:cs="Arial"/>
          <w:color w:val="000000"/>
          <w:sz w:val="24"/>
          <w:szCs w:val="24"/>
        </w:rPr>
        <w:lastRenderedPageBreak/>
        <w:t>Agregó que tampoco se configura la procedencia de la acción para evitar un perjuicio irremediable ya que actualmente el accionante esta percibiendo el emolumento correspondiente a su asignación de retiro y anexó los desprendibles de pago</w:t>
      </w:r>
      <w:r w:rsidR="00865E80">
        <w:rPr>
          <w:rFonts w:ascii="Arial" w:eastAsia="Verdana" w:hAnsi="Arial" w:cs="Arial"/>
          <w:color w:val="000000"/>
          <w:sz w:val="24"/>
          <w:szCs w:val="24"/>
        </w:rPr>
        <w:t>,</w:t>
      </w:r>
      <w:r>
        <w:rPr>
          <w:rFonts w:ascii="Arial" w:eastAsia="Verdana" w:hAnsi="Arial" w:cs="Arial"/>
          <w:color w:val="000000"/>
          <w:sz w:val="24"/>
          <w:szCs w:val="24"/>
        </w:rPr>
        <w:t xml:space="preserve"> como prueba</w:t>
      </w:r>
      <w:r w:rsidR="00865E80">
        <w:rPr>
          <w:rFonts w:ascii="Arial" w:eastAsia="Verdana" w:hAnsi="Arial" w:cs="Arial"/>
          <w:color w:val="000000"/>
          <w:sz w:val="24"/>
          <w:szCs w:val="24"/>
        </w:rPr>
        <w:t xml:space="preserve">, </w:t>
      </w:r>
      <w:r>
        <w:rPr>
          <w:rFonts w:ascii="Arial" w:eastAsia="Verdana" w:hAnsi="Arial" w:cs="Arial"/>
          <w:color w:val="000000"/>
          <w:sz w:val="24"/>
          <w:szCs w:val="24"/>
        </w:rPr>
        <w:t>al escrito de contestación</w:t>
      </w:r>
      <w:r w:rsidR="00C13434">
        <w:rPr>
          <w:rStyle w:val="Refdenotaalpie"/>
          <w:rFonts w:ascii="Arial" w:eastAsia="Verdana" w:hAnsi="Arial" w:cs="Arial"/>
          <w:color w:val="000000"/>
          <w:sz w:val="24"/>
          <w:szCs w:val="24"/>
        </w:rPr>
        <w:footnoteReference w:id="32"/>
      </w:r>
      <w:r>
        <w:rPr>
          <w:rFonts w:ascii="Arial" w:eastAsia="Verdana" w:hAnsi="Arial" w:cs="Arial"/>
          <w:color w:val="000000"/>
          <w:sz w:val="24"/>
          <w:szCs w:val="24"/>
        </w:rPr>
        <w:t>.</w:t>
      </w:r>
    </w:p>
    <w:p w14:paraId="2260B619" w14:textId="77777777" w:rsidR="00E877F9" w:rsidRDefault="00E877F9" w:rsidP="00331291">
      <w:pPr>
        <w:pStyle w:val="p1"/>
        <w:jc w:val="both"/>
        <w:rPr>
          <w:sz w:val="24"/>
          <w:szCs w:val="24"/>
        </w:rPr>
      </w:pPr>
    </w:p>
    <w:p w14:paraId="7336AF93" w14:textId="77777777" w:rsidR="00584E1D" w:rsidRDefault="00584E1D" w:rsidP="00331291">
      <w:pPr>
        <w:tabs>
          <w:tab w:val="left" w:pos="426"/>
        </w:tabs>
        <w:contextualSpacing/>
        <w:jc w:val="center"/>
        <w:rPr>
          <w:b/>
          <w:sz w:val="24"/>
          <w:szCs w:val="24"/>
          <w:lang w:val="es-ES_tradnl"/>
        </w:rPr>
      </w:pPr>
      <w:r>
        <w:rPr>
          <w:b/>
          <w:sz w:val="24"/>
          <w:szCs w:val="24"/>
          <w:lang w:val="es-ES_tradnl"/>
        </w:rPr>
        <w:t xml:space="preserve">II. </w:t>
      </w:r>
      <w:r w:rsidRPr="00584E1D">
        <w:rPr>
          <w:b/>
          <w:sz w:val="24"/>
          <w:szCs w:val="24"/>
          <w:lang w:val="es-ES_tradnl"/>
        </w:rPr>
        <w:t>CONSIDERACIONES</w:t>
      </w:r>
    </w:p>
    <w:p w14:paraId="13FA9A15" w14:textId="77777777" w:rsidR="00584E1D" w:rsidRDefault="00584E1D" w:rsidP="00331291">
      <w:pPr>
        <w:tabs>
          <w:tab w:val="left" w:pos="426"/>
        </w:tabs>
        <w:contextualSpacing/>
        <w:rPr>
          <w:b/>
          <w:sz w:val="24"/>
          <w:szCs w:val="24"/>
          <w:lang w:val="es-ES_tradnl"/>
        </w:rPr>
      </w:pPr>
    </w:p>
    <w:p w14:paraId="0FF5DEE4" w14:textId="77777777" w:rsidR="000C5DB7" w:rsidRDefault="00584E1D" w:rsidP="00331291">
      <w:pPr>
        <w:tabs>
          <w:tab w:val="left" w:pos="426"/>
        </w:tabs>
        <w:contextualSpacing/>
        <w:rPr>
          <w:b/>
          <w:sz w:val="24"/>
          <w:szCs w:val="24"/>
          <w:lang w:val="es-ES_tradnl"/>
        </w:rPr>
      </w:pPr>
      <w:r>
        <w:rPr>
          <w:b/>
          <w:sz w:val="24"/>
          <w:szCs w:val="24"/>
          <w:lang w:val="es-ES_tradnl"/>
        </w:rPr>
        <w:t xml:space="preserve">2.1. </w:t>
      </w:r>
      <w:r w:rsidR="000C5DB7" w:rsidRPr="00766FA2">
        <w:rPr>
          <w:b/>
          <w:sz w:val="24"/>
          <w:szCs w:val="24"/>
          <w:lang w:val="es-ES_tradnl"/>
        </w:rPr>
        <w:t>Competencia</w:t>
      </w:r>
    </w:p>
    <w:p w14:paraId="66747A56" w14:textId="77777777" w:rsidR="00331291" w:rsidRPr="00766FA2" w:rsidRDefault="00331291" w:rsidP="00331291">
      <w:pPr>
        <w:tabs>
          <w:tab w:val="left" w:pos="426"/>
        </w:tabs>
        <w:contextualSpacing/>
        <w:rPr>
          <w:b/>
          <w:sz w:val="24"/>
          <w:szCs w:val="24"/>
          <w:lang w:val="es-ES_tradnl"/>
        </w:rPr>
      </w:pPr>
    </w:p>
    <w:p w14:paraId="1D862736" w14:textId="77777777" w:rsidR="00BF648D" w:rsidRPr="003041B2" w:rsidRDefault="00BF648D" w:rsidP="00BF648D">
      <w:pPr>
        <w:overflowPunct w:val="0"/>
        <w:autoSpaceDE w:val="0"/>
        <w:autoSpaceDN w:val="0"/>
        <w:adjustRightInd w:val="0"/>
        <w:contextualSpacing/>
        <w:rPr>
          <w:rFonts w:eastAsia="Times New Roman"/>
          <w:sz w:val="24"/>
          <w:szCs w:val="24"/>
          <w:lang w:eastAsia="es-ES"/>
        </w:rPr>
      </w:pPr>
      <w:r w:rsidRPr="003041B2">
        <w:rPr>
          <w:rFonts w:eastAsia="Times New Roman"/>
          <w:sz w:val="24"/>
          <w:szCs w:val="24"/>
          <w:lang w:eastAsia="es-ES"/>
        </w:rPr>
        <w:t xml:space="preserve">La Sala tiene competencia para decidir la presente acción de tutela, </w:t>
      </w:r>
      <w:r>
        <w:rPr>
          <w:rFonts w:eastAsia="Times New Roman"/>
          <w:sz w:val="24"/>
          <w:szCs w:val="24"/>
          <w:lang w:eastAsia="es-ES"/>
        </w:rPr>
        <w:t>conforme a</w:t>
      </w:r>
      <w:r w:rsidRPr="003041B2">
        <w:rPr>
          <w:rFonts w:eastAsia="Times New Roman"/>
          <w:sz w:val="24"/>
          <w:szCs w:val="24"/>
          <w:lang w:eastAsia="es-ES"/>
        </w:rPr>
        <w:t xml:space="preserve"> lo dispuesto en los artículos 86 de la Constitución Política y 37 del Decreto 2591 de 1991, y lo previsto en el reglamento interno de la Corporación. </w:t>
      </w:r>
    </w:p>
    <w:p w14:paraId="3E9B00A9" w14:textId="77777777" w:rsidR="000C5DB7" w:rsidRPr="00766FA2" w:rsidRDefault="000C5DB7" w:rsidP="00331291">
      <w:pPr>
        <w:overflowPunct w:val="0"/>
        <w:autoSpaceDE w:val="0"/>
        <w:autoSpaceDN w:val="0"/>
        <w:adjustRightInd w:val="0"/>
        <w:contextualSpacing/>
        <w:rPr>
          <w:rFonts w:eastAsia="Times New Roman"/>
          <w:sz w:val="24"/>
          <w:szCs w:val="24"/>
          <w:lang w:eastAsia="es-ES"/>
        </w:rPr>
      </w:pPr>
    </w:p>
    <w:p w14:paraId="5B751627" w14:textId="77777777" w:rsidR="000C5DB7" w:rsidRPr="00766FA2" w:rsidRDefault="00584E1D" w:rsidP="00331291">
      <w:pPr>
        <w:contextualSpacing/>
        <w:rPr>
          <w:b/>
          <w:sz w:val="24"/>
          <w:szCs w:val="24"/>
          <w:lang w:val="es-ES_tradnl"/>
        </w:rPr>
      </w:pPr>
      <w:r>
        <w:rPr>
          <w:b/>
          <w:sz w:val="24"/>
          <w:szCs w:val="24"/>
          <w:lang w:val="es-ES_tradnl"/>
        </w:rPr>
        <w:t xml:space="preserve">2.2. </w:t>
      </w:r>
      <w:r w:rsidR="000C5DB7" w:rsidRPr="00766FA2">
        <w:rPr>
          <w:b/>
          <w:sz w:val="24"/>
          <w:szCs w:val="24"/>
          <w:lang w:val="es-ES_tradnl"/>
        </w:rPr>
        <w:t>Procedibilidad de la acción</w:t>
      </w:r>
    </w:p>
    <w:p w14:paraId="35DFD04D" w14:textId="77777777" w:rsidR="000C5DB7" w:rsidRPr="00766FA2" w:rsidRDefault="000C5DB7" w:rsidP="00331291">
      <w:pPr>
        <w:contextualSpacing/>
        <w:rPr>
          <w:sz w:val="24"/>
          <w:szCs w:val="24"/>
          <w:lang w:val="es-ES_tradnl"/>
        </w:rPr>
      </w:pPr>
    </w:p>
    <w:p w14:paraId="6646F6A8" w14:textId="77777777" w:rsidR="00715820" w:rsidRDefault="006371BF" w:rsidP="00331291">
      <w:pPr>
        <w:contextualSpacing/>
        <w:rPr>
          <w:sz w:val="24"/>
          <w:szCs w:val="24"/>
          <w:lang w:val="es-ES_tradnl"/>
        </w:rPr>
      </w:pPr>
      <w:r w:rsidRPr="00766FA2">
        <w:rPr>
          <w:sz w:val="24"/>
          <w:szCs w:val="24"/>
          <w:lang w:val="es-ES_tradnl"/>
        </w:rPr>
        <w:t xml:space="preserve">Como lo ha establecido la jurisprudencia constitucional y particularmente la sistematización realizada en la </w:t>
      </w:r>
      <w:r w:rsidRPr="00766FA2">
        <w:rPr>
          <w:sz w:val="24"/>
          <w:szCs w:val="24"/>
          <w:lang w:val="es-MX"/>
        </w:rPr>
        <w:t xml:space="preserve">sentencia C-590 de 2005, en los casos en que </w:t>
      </w:r>
      <w:r w:rsidRPr="00766FA2">
        <w:rPr>
          <w:sz w:val="24"/>
          <w:szCs w:val="24"/>
          <w:lang w:val="es-ES_tradnl"/>
        </w:rPr>
        <w:t>la solicitud de amparo se dirige contra una providencia judicial, es pertinente realizar,  primero, un examen de procedibilidad general</w:t>
      </w:r>
      <w:r w:rsidRPr="00766FA2">
        <w:rPr>
          <w:sz w:val="24"/>
          <w:szCs w:val="24"/>
          <w:vertAlign w:val="superscript"/>
          <w:lang w:val="es-ES_tradnl"/>
        </w:rPr>
        <w:footnoteReference w:id="33"/>
      </w:r>
      <w:r w:rsidRPr="00766FA2">
        <w:rPr>
          <w:sz w:val="24"/>
          <w:szCs w:val="24"/>
          <w:lang w:val="es-ES_tradnl"/>
        </w:rPr>
        <w:t xml:space="preserve"> para, luego, en caso de resultar superado dicho estudio, pasar a hacer el pronunciamiento de fondo en el que se resuelva el problema jurídico, en los términos de los defectos aducidos por </w:t>
      </w:r>
      <w:r w:rsidR="00655370">
        <w:rPr>
          <w:sz w:val="24"/>
          <w:szCs w:val="24"/>
          <w:lang w:val="es-ES_tradnl"/>
        </w:rPr>
        <w:t>el accionante</w:t>
      </w:r>
      <w:r w:rsidRPr="00766FA2">
        <w:rPr>
          <w:sz w:val="24"/>
          <w:szCs w:val="24"/>
          <w:lang w:val="es-ES_tradnl"/>
        </w:rPr>
        <w:t xml:space="preserve"> conforme a las causales específicas de procedencia de la acción de tutela contra providencia judicia</w:t>
      </w:r>
      <w:r w:rsidR="00C519F5">
        <w:rPr>
          <w:sz w:val="24"/>
          <w:szCs w:val="24"/>
          <w:lang w:val="es-ES_tradnl"/>
        </w:rPr>
        <w:t>l.</w:t>
      </w:r>
      <w:r w:rsidRPr="00766FA2">
        <w:rPr>
          <w:sz w:val="24"/>
          <w:szCs w:val="24"/>
          <w:lang w:val="es-ES_tradnl"/>
        </w:rPr>
        <w:t xml:space="preserve"> </w:t>
      </w:r>
    </w:p>
    <w:p w14:paraId="4B717F52" w14:textId="77777777" w:rsidR="00C56A73" w:rsidRDefault="00C56A73" w:rsidP="00331291">
      <w:pPr>
        <w:contextualSpacing/>
        <w:rPr>
          <w:sz w:val="24"/>
          <w:szCs w:val="24"/>
          <w:lang w:val="es-ES_tradnl"/>
        </w:rPr>
      </w:pPr>
    </w:p>
    <w:p w14:paraId="5C2E4308" w14:textId="77777777" w:rsidR="00C56A73" w:rsidRDefault="00C56A73" w:rsidP="00331291">
      <w:pPr>
        <w:contextualSpacing/>
        <w:rPr>
          <w:sz w:val="24"/>
          <w:szCs w:val="24"/>
          <w:lang w:val="es-ES_tradnl"/>
        </w:rPr>
      </w:pPr>
      <w:r w:rsidRPr="00766FA2">
        <w:rPr>
          <w:rFonts w:eastAsia="Verdana"/>
          <w:b/>
          <w:sz w:val="24"/>
          <w:szCs w:val="24"/>
          <w:lang w:val="es-ES_tradnl"/>
        </w:rPr>
        <w:t>2.</w:t>
      </w:r>
      <w:r>
        <w:rPr>
          <w:rFonts w:eastAsia="Verdana"/>
          <w:b/>
          <w:sz w:val="24"/>
          <w:szCs w:val="24"/>
          <w:lang w:val="es-ES_tradnl"/>
        </w:rPr>
        <w:t>3</w:t>
      </w:r>
      <w:r w:rsidRPr="00766FA2">
        <w:rPr>
          <w:rFonts w:eastAsia="Verdana"/>
          <w:b/>
          <w:sz w:val="24"/>
          <w:szCs w:val="24"/>
          <w:lang w:val="es-ES_tradnl"/>
        </w:rPr>
        <w:t xml:space="preserve">. </w:t>
      </w:r>
      <w:r w:rsidR="0061287B" w:rsidRPr="0064007B">
        <w:rPr>
          <w:rFonts w:eastAsia="Verdana"/>
          <w:bCs/>
          <w:sz w:val="24"/>
          <w:szCs w:val="24"/>
          <w:lang w:val="es-ES_tradnl"/>
        </w:rPr>
        <w:t xml:space="preserve">La Sala encuentra acreditada </w:t>
      </w:r>
      <w:r w:rsidRPr="00766FA2">
        <w:rPr>
          <w:rFonts w:eastAsia="Verdana"/>
          <w:sz w:val="24"/>
          <w:szCs w:val="24"/>
          <w:lang w:val="es-ES_tradnl"/>
        </w:rPr>
        <w:t>la</w:t>
      </w:r>
      <w:r w:rsidRPr="00766FA2">
        <w:rPr>
          <w:rFonts w:eastAsia="Verdana"/>
          <w:b/>
          <w:sz w:val="24"/>
          <w:szCs w:val="24"/>
          <w:lang w:val="es-ES_tradnl"/>
        </w:rPr>
        <w:t xml:space="preserve"> </w:t>
      </w:r>
      <w:r w:rsidRPr="00766FA2">
        <w:rPr>
          <w:b/>
          <w:sz w:val="24"/>
          <w:szCs w:val="24"/>
          <w:lang w:val="es-ES_tradnl"/>
        </w:rPr>
        <w:t>legitimación</w:t>
      </w:r>
      <w:r w:rsidRPr="00766FA2">
        <w:rPr>
          <w:sz w:val="24"/>
          <w:szCs w:val="24"/>
          <w:lang w:val="es-ES_tradnl"/>
        </w:rPr>
        <w:t xml:space="preserve"> </w:t>
      </w:r>
      <w:r w:rsidRPr="00766FA2">
        <w:rPr>
          <w:b/>
          <w:sz w:val="24"/>
          <w:szCs w:val="24"/>
          <w:lang w:val="es-ES_tradnl"/>
        </w:rPr>
        <w:t>en la causa</w:t>
      </w:r>
      <w:r w:rsidRPr="00766FA2">
        <w:rPr>
          <w:sz w:val="24"/>
          <w:szCs w:val="24"/>
          <w:lang w:val="es-ES_tradnl"/>
        </w:rPr>
        <w:t xml:space="preserve"> </w:t>
      </w:r>
      <w:r w:rsidRPr="00766FA2">
        <w:rPr>
          <w:b/>
          <w:i/>
          <w:sz w:val="24"/>
          <w:szCs w:val="24"/>
          <w:lang w:val="es-ES_tradnl"/>
        </w:rPr>
        <w:t>por activa</w:t>
      </w:r>
      <w:r w:rsidRPr="00766FA2">
        <w:rPr>
          <w:sz w:val="24"/>
          <w:szCs w:val="24"/>
          <w:lang w:val="es-ES_tradnl"/>
        </w:rPr>
        <w:t xml:space="preserve">, </w:t>
      </w:r>
      <w:r w:rsidR="00C25E83">
        <w:rPr>
          <w:sz w:val="24"/>
          <w:szCs w:val="24"/>
          <w:lang w:val="es-ES_tradnl"/>
        </w:rPr>
        <w:t xml:space="preserve">porque </w:t>
      </w:r>
      <w:r w:rsidR="000A0FFC">
        <w:rPr>
          <w:sz w:val="24"/>
          <w:szCs w:val="24"/>
          <w:lang w:val="es-ES_tradnl"/>
        </w:rPr>
        <w:t>el</w:t>
      </w:r>
      <w:r w:rsidR="00BD4003">
        <w:rPr>
          <w:sz w:val="24"/>
          <w:szCs w:val="24"/>
          <w:lang w:val="es-ES_tradnl"/>
        </w:rPr>
        <w:t xml:space="preserve"> </w:t>
      </w:r>
      <w:r w:rsidR="0035048B">
        <w:rPr>
          <w:sz w:val="24"/>
          <w:szCs w:val="24"/>
          <w:lang w:val="es-ES_tradnl"/>
        </w:rPr>
        <w:t>accionante</w:t>
      </w:r>
      <w:r w:rsidR="00BA6108">
        <w:rPr>
          <w:sz w:val="24"/>
          <w:szCs w:val="24"/>
          <w:lang w:val="es-ES_tradnl"/>
        </w:rPr>
        <w:t xml:space="preserve">, </w:t>
      </w:r>
      <w:r w:rsidR="0035048B">
        <w:rPr>
          <w:sz w:val="24"/>
          <w:szCs w:val="24"/>
          <w:lang w:val="es-ES_tradnl"/>
        </w:rPr>
        <w:t xml:space="preserve">es </w:t>
      </w:r>
      <w:r w:rsidR="00752228">
        <w:rPr>
          <w:sz w:val="24"/>
          <w:szCs w:val="24"/>
          <w:lang w:val="es-ES_tradnl"/>
        </w:rPr>
        <w:t xml:space="preserve">el </w:t>
      </w:r>
      <w:r w:rsidR="0035048B">
        <w:rPr>
          <w:sz w:val="24"/>
          <w:szCs w:val="24"/>
          <w:lang w:val="es-ES_tradnl"/>
        </w:rPr>
        <w:t>titular</w:t>
      </w:r>
      <w:r w:rsidRPr="00766FA2">
        <w:rPr>
          <w:sz w:val="24"/>
          <w:szCs w:val="24"/>
          <w:lang w:val="es-ES_tradnl"/>
        </w:rPr>
        <w:t xml:space="preserve"> de los </w:t>
      </w:r>
      <w:r w:rsidRPr="00655744">
        <w:rPr>
          <w:sz w:val="24"/>
          <w:szCs w:val="24"/>
          <w:lang w:val="es-ES_tradnl"/>
        </w:rPr>
        <w:t>derechos</w:t>
      </w:r>
      <w:r w:rsidRPr="00766FA2">
        <w:rPr>
          <w:sz w:val="24"/>
          <w:szCs w:val="24"/>
          <w:lang w:val="es-ES_tradnl"/>
        </w:rPr>
        <w:t xml:space="preserve"> que afirma son vulnerados, en su condición de parte demandante dentro del </w:t>
      </w:r>
      <w:r w:rsidR="00764BE2">
        <w:rPr>
          <w:sz w:val="24"/>
          <w:szCs w:val="24"/>
          <w:lang w:val="es-ES_tradnl"/>
        </w:rPr>
        <w:t>medio de control</w:t>
      </w:r>
      <w:r w:rsidRPr="00766FA2">
        <w:rPr>
          <w:sz w:val="24"/>
          <w:szCs w:val="24"/>
          <w:lang w:val="es-ES_tradnl"/>
        </w:rPr>
        <w:t xml:space="preserve"> objeto de </w:t>
      </w:r>
      <w:r w:rsidR="000705E7">
        <w:rPr>
          <w:sz w:val="24"/>
          <w:szCs w:val="24"/>
          <w:lang w:val="es-ES_tradnl"/>
        </w:rPr>
        <w:t>tutela</w:t>
      </w:r>
      <w:r w:rsidRPr="00766FA2">
        <w:rPr>
          <w:sz w:val="24"/>
          <w:szCs w:val="24"/>
          <w:lang w:val="es-ES_tradnl"/>
        </w:rPr>
        <w:t>, y, por lo tanto, en caso de configurarse los defectos alegados</w:t>
      </w:r>
      <w:r w:rsidR="0061287B">
        <w:rPr>
          <w:sz w:val="24"/>
          <w:szCs w:val="24"/>
          <w:lang w:val="es-ES_tradnl"/>
        </w:rPr>
        <w:t>,</w:t>
      </w:r>
      <w:r w:rsidRPr="00766FA2">
        <w:rPr>
          <w:sz w:val="24"/>
          <w:szCs w:val="24"/>
          <w:lang w:val="es-ES_tradnl"/>
        </w:rPr>
        <w:t xml:space="preserve"> resultarían afectad</w:t>
      </w:r>
      <w:r w:rsidR="00BE6A61">
        <w:rPr>
          <w:sz w:val="24"/>
          <w:szCs w:val="24"/>
          <w:lang w:val="es-ES_tradnl"/>
        </w:rPr>
        <w:t>a</w:t>
      </w:r>
      <w:r w:rsidRPr="00766FA2">
        <w:rPr>
          <w:sz w:val="24"/>
          <w:szCs w:val="24"/>
          <w:lang w:val="es-ES_tradnl"/>
        </w:rPr>
        <w:t xml:space="preserve">s sus </w:t>
      </w:r>
      <w:r>
        <w:rPr>
          <w:sz w:val="24"/>
          <w:szCs w:val="24"/>
          <w:lang w:val="es-ES_tradnl"/>
        </w:rPr>
        <w:t>garantías</w:t>
      </w:r>
      <w:r w:rsidRPr="00766FA2">
        <w:rPr>
          <w:sz w:val="24"/>
          <w:szCs w:val="24"/>
          <w:lang w:val="es-ES_tradnl"/>
        </w:rPr>
        <w:t xml:space="preserve"> al debido proceso y acceso a la administración de justicia.</w:t>
      </w:r>
    </w:p>
    <w:p w14:paraId="75CE665D" w14:textId="77777777" w:rsidR="00C56A73" w:rsidRDefault="00C56A73" w:rsidP="00331291">
      <w:pPr>
        <w:rPr>
          <w:sz w:val="24"/>
          <w:szCs w:val="24"/>
          <w:lang w:val="es-ES_tradnl"/>
        </w:rPr>
      </w:pPr>
    </w:p>
    <w:p w14:paraId="0A3A0389" w14:textId="77777777" w:rsidR="0077393C" w:rsidRDefault="00C56A73" w:rsidP="00331291">
      <w:pPr>
        <w:tabs>
          <w:tab w:val="left" w:pos="0"/>
        </w:tabs>
        <w:rPr>
          <w:sz w:val="24"/>
          <w:szCs w:val="24"/>
          <w:lang w:val="es-ES_tradnl"/>
        </w:rPr>
      </w:pPr>
      <w:r w:rsidRPr="00766FA2">
        <w:rPr>
          <w:sz w:val="24"/>
          <w:szCs w:val="24"/>
          <w:lang w:val="es-ES_tradnl"/>
        </w:rPr>
        <w:t xml:space="preserve">También está probada </w:t>
      </w:r>
      <w:r w:rsidRPr="00766FA2">
        <w:rPr>
          <w:b/>
          <w:sz w:val="24"/>
          <w:szCs w:val="24"/>
          <w:lang w:val="es-ES_tradnl"/>
        </w:rPr>
        <w:t xml:space="preserve">la legitimación en la causa </w:t>
      </w:r>
      <w:r w:rsidRPr="00766FA2">
        <w:rPr>
          <w:b/>
          <w:i/>
          <w:sz w:val="24"/>
          <w:szCs w:val="24"/>
          <w:lang w:val="es-ES_tradnl"/>
        </w:rPr>
        <w:t>por pasiva</w:t>
      </w:r>
      <w:r w:rsidRPr="00766FA2">
        <w:rPr>
          <w:sz w:val="24"/>
          <w:szCs w:val="24"/>
          <w:lang w:val="es-ES_tradnl"/>
        </w:rPr>
        <w:t xml:space="preserve"> porqu</w:t>
      </w:r>
      <w:r w:rsidR="00764BE2">
        <w:rPr>
          <w:sz w:val="24"/>
          <w:szCs w:val="24"/>
          <w:lang w:val="es-ES_tradnl"/>
        </w:rPr>
        <w:t>e</w:t>
      </w:r>
      <w:r w:rsidR="000705E7" w:rsidRPr="000705E7">
        <w:rPr>
          <w:bCs/>
          <w:sz w:val="24"/>
          <w:szCs w:val="24"/>
        </w:rPr>
        <w:t xml:space="preserve"> </w:t>
      </w:r>
      <w:r w:rsidR="000705E7">
        <w:rPr>
          <w:bCs/>
          <w:sz w:val="24"/>
          <w:szCs w:val="24"/>
        </w:rPr>
        <w:t xml:space="preserve">el Tribunal Administrativo de Cundinamarca, Sección Segunda, Subsección </w:t>
      </w:r>
      <w:r w:rsidR="00FB1569">
        <w:rPr>
          <w:bCs/>
          <w:sz w:val="24"/>
          <w:szCs w:val="24"/>
        </w:rPr>
        <w:t>F</w:t>
      </w:r>
      <w:r w:rsidR="00C25E83">
        <w:rPr>
          <w:sz w:val="24"/>
          <w:szCs w:val="24"/>
          <w:lang w:val="es-ES_tradnl"/>
        </w:rPr>
        <w:t>,</w:t>
      </w:r>
      <w:r>
        <w:rPr>
          <w:sz w:val="24"/>
          <w:szCs w:val="24"/>
          <w:lang w:val="es-ES_tradnl"/>
        </w:rPr>
        <w:t xml:space="preserve"> profiri</w:t>
      </w:r>
      <w:r w:rsidR="00BA6108">
        <w:rPr>
          <w:sz w:val="24"/>
          <w:szCs w:val="24"/>
          <w:lang w:val="es-ES_tradnl"/>
        </w:rPr>
        <w:t>ó</w:t>
      </w:r>
      <w:r>
        <w:rPr>
          <w:sz w:val="24"/>
          <w:szCs w:val="24"/>
          <w:lang w:val="es-ES_tradnl"/>
        </w:rPr>
        <w:t xml:space="preserve"> la sentencia</w:t>
      </w:r>
      <w:r w:rsidR="00BA6108">
        <w:rPr>
          <w:sz w:val="24"/>
          <w:szCs w:val="24"/>
          <w:lang w:val="es-ES_tradnl"/>
        </w:rPr>
        <w:t xml:space="preserve"> de</w:t>
      </w:r>
      <w:r>
        <w:rPr>
          <w:sz w:val="24"/>
          <w:szCs w:val="24"/>
          <w:lang w:val="es-ES_tradnl"/>
        </w:rPr>
        <w:t xml:space="preserve"> segunda instancia</w:t>
      </w:r>
      <w:r w:rsidR="00BA6108">
        <w:rPr>
          <w:sz w:val="24"/>
          <w:szCs w:val="24"/>
          <w:lang w:val="es-ES_tradnl"/>
        </w:rPr>
        <w:t xml:space="preserve"> </w:t>
      </w:r>
      <w:r w:rsidRPr="00766FA2">
        <w:rPr>
          <w:sz w:val="24"/>
          <w:szCs w:val="24"/>
          <w:lang w:val="es-ES_tradnl"/>
        </w:rPr>
        <w:t xml:space="preserve">que, según </w:t>
      </w:r>
      <w:r w:rsidR="000A0FFC">
        <w:rPr>
          <w:sz w:val="24"/>
          <w:szCs w:val="24"/>
          <w:lang w:val="es-ES_tradnl"/>
        </w:rPr>
        <w:t>el</w:t>
      </w:r>
      <w:r w:rsidR="000705E7">
        <w:rPr>
          <w:sz w:val="24"/>
          <w:szCs w:val="24"/>
          <w:lang w:val="es-ES_tradnl"/>
        </w:rPr>
        <w:t xml:space="preserve"> </w:t>
      </w:r>
      <w:r w:rsidR="00764BE2">
        <w:rPr>
          <w:sz w:val="24"/>
          <w:szCs w:val="24"/>
          <w:lang w:val="es-ES_tradnl"/>
        </w:rPr>
        <w:t>accionante</w:t>
      </w:r>
      <w:r w:rsidRPr="00766FA2">
        <w:rPr>
          <w:sz w:val="24"/>
          <w:szCs w:val="24"/>
          <w:lang w:val="es-ES_tradnl"/>
        </w:rPr>
        <w:t>, vulne</w:t>
      </w:r>
      <w:r>
        <w:rPr>
          <w:sz w:val="24"/>
          <w:szCs w:val="24"/>
          <w:lang w:val="es-ES_tradnl"/>
        </w:rPr>
        <w:t>r</w:t>
      </w:r>
      <w:r w:rsidR="00BA6108">
        <w:rPr>
          <w:sz w:val="24"/>
          <w:szCs w:val="24"/>
          <w:lang w:val="es-ES_tradnl"/>
        </w:rPr>
        <w:t>ó</w:t>
      </w:r>
      <w:r w:rsidRPr="00766FA2">
        <w:rPr>
          <w:sz w:val="24"/>
          <w:szCs w:val="24"/>
          <w:lang w:val="es-ES_tradnl"/>
        </w:rPr>
        <w:t xml:space="preserve"> sus derechos fundamentales. </w:t>
      </w:r>
    </w:p>
    <w:p w14:paraId="6EA65B16" w14:textId="77777777" w:rsidR="0077393C" w:rsidRDefault="0077393C" w:rsidP="00331291">
      <w:pPr>
        <w:tabs>
          <w:tab w:val="left" w:pos="0"/>
        </w:tabs>
        <w:rPr>
          <w:sz w:val="24"/>
          <w:szCs w:val="24"/>
          <w:lang w:val="es-ES_tradnl"/>
        </w:rPr>
      </w:pPr>
    </w:p>
    <w:p w14:paraId="7F013D4B" w14:textId="77777777" w:rsidR="0085402B" w:rsidRDefault="00032CC4" w:rsidP="0085402B">
      <w:pPr>
        <w:keepNext/>
        <w:spacing w:after="240"/>
        <w:textAlignment w:val="baseline"/>
        <w:rPr>
          <w:rFonts w:eastAsia="Times New Roman"/>
          <w:sz w:val="24"/>
          <w:szCs w:val="24"/>
          <w:lang w:eastAsia="es-CO"/>
        </w:rPr>
      </w:pPr>
      <w:r>
        <w:rPr>
          <w:rFonts w:eastAsia="Times New Roman"/>
          <w:b/>
          <w:bCs/>
          <w:sz w:val="24"/>
          <w:szCs w:val="24"/>
          <w:lang w:eastAsia="es-CO"/>
        </w:rPr>
        <w:t>2</w:t>
      </w:r>
      <w:r w:rsidR="006C4F50">
        <w:rPr>
          <w:rFonts w:eastAsia="Times New Roman"/>
          <w:b/>
          <w:bCs/>
          <w:sz w:val="24"/>
          <w:szCs w:val="24"/>
          <w:lang w:eastAsia="es-CO"/>
        </w:rPr>
        <w:t xml:space="preserve">.4. </w:t>
      </w:r>
      <w:r w:rsidR="00942547">
        <w:rPr>
          <w:sz w:val="24"/>
          <w:szCs w:val="24"/>
        </w:rPr>
        <w:t xml:space="preserve"> </w:t>
      </w:r>
      <w:r w:rsidR="0085402B">
        <w:rPr>
          <w:sz w:val="24"/>
          <w:szCs w:val="24"/>
        </w:rPr>
        <w:t xml:space="preserve">Respecto del </w:t>
      </w:r>
      <w:r w:rsidR="0085402B" w:rsidRPr="0085402B">
        <w:rPr>
          <w:rFonts w:eastAsia="Times New Roman"/>
          <w:sz w:val="24"/>
          <w:szCs w:val="24"/>
          <w:lang w:eastAsia="es-CO"/>
        </w:rPr>
        <w:t xml:space="preserve">requisito de </w:t>
      </w:r>
      <w:r w:rsidR="0085402B" w:rsidRPr="0085402B">
        <w:rPr>
          <w:rFonts w:eastAsia="Times New Roman"/>
          <w:b/>
          <w:bCs/>
          <w:sz w:val="24"/>
          <w:szCs w:val="24"/>
          <w:lang w:eastAsia="es-CO"/>
        </w:rPr>
        <w:t>subsidiariedad</w:t>
      </w:r>
      <w:r w:rsidR="0085402B" w:rsidRPr="0085402B">
        <w:rPr>
          <w:rFonts w:eastAsia="Times New Roman"/>
          <w:sz w:val="24"/>
          <w:szCs w:val="24"/>
          <w:vertAlign w:val="superscript"/>
          <w:lang w:eastAsia="es-CO"/>
        </w:rPr>
        <w:footnoteReference w:id="34"/>
      </w:r>
      <w:r w:rsidR="0085402B" w:rsidRPr="0085402B">
        <w:rPr>
          <w:rFonts w:eastAsia="Times New Roman"/>
          <w:sz w:val="24"/>
          <w:szCs w:val="24"/>
          <w:lang w:eastAsia="es-CO"/>
        </w:rPr>
        <w:t xml:space="preserve">, el artículo 86 superior establece que el mecanismo de amparo “solo procederá cuando el afectado no disponga de otro medio de defensa judicial, salvo que aquella se utilice como mecanismo </w:t>
      </w:r>
      <w:r w:rsidR="0085402B" w:rsidRPr="0085402B">
        <w:rPr>
          <w:rFonts w:eastAsia="Times New Roman"/>
          <w:sz w:val="24"/>
          <w:szCs w:val="24"/>
          <w:lang w:eastAsia="es-CO"/>
        </w:rPr>
        <w:lastRenderedPageBreak/>
        <w:t>transitorio para evitar un perjuicio irremediable”</w:t>
      </w:r>
      <w:r w:rsidR="0085402B" w:rsidRPr="0085402B">
        <w:rPr>
          <w:rFonts w:eastAsia="Times New Roman"/>
          <w:sz w:val="24"/>
          <w:szCs w:val="24"/>
          <w:vertAlign w:val="superscript"/>
          <w:lang w:eastAsia="es-CO"/>
        </w:rPr>
        <w:footnoteReference w:id="35"/>
      </w:r>
      <w:r w:rsidR="0085402B" w:rsidRPr="0085402B">
        <w:rPr>
          <w:rFonts w:eastAsia="Times New Roman"/>
          <w:sz w:val="24"/>
          <w:szCs w:val="24"/>
          <w:lang w:eastAsia="es-CO"/>
        </w:rPr>
        <w:t>. Así mismo, el numeral 1 del artículo 6 del Decreto 2591 de 1991 advierte que “la existencia de dichos medios [judiciales de defensa] será apreciada en concreto, en cuanto a su eficacia, atendiendo las circunstancias en que se encuentra el solicitante”. Ello indica que el juez constitucional deberá verificar que los mecanismos jurisdiccionales con los que cuente una persona sean idóneos para la defensa de sus intereses</w:t>
      </w:r>
      <w:r w:rsidR="0085402B" w:rsidRPr="0085402B">
        <w:rPr>
          <w:rFonts w:eastAsia="Times New Roman"/>
          <w:sz w:val="24"/>
          <w:szCs w:val="24"/>
          <w:vertAlign w:val="superscript"/>
          <w:lang w:eastAsia="es-CO"/>
        </w:rPr>
        <w:footnoteReference w:id="36"/>
      </w:r>
      <w:r w:rsidR="0085402B" w:rsidRPr="0085402B">
        <w:rPr>
          <w:rFonts w:eastAsia="Times New Roman"/>
          <w:sz w:val="24"/>
          <w:szCs w:val="24"/>
          <w:lang w:eastAsia="es-CO"/>
        </w:rPr>
        <w:t>. De lo contrario, la mera existencia de un conducto judicial no será suficiente</w:t>
      </w:r>
      <w:r w:rsidR="0085402B" w:rsidRPr="0085402B">
        <w:rPr>
          <w:rFonts w:eastAsia="Times New Roman"/>
          <w:sz w:val="24"/>
          <w:szCs w:val="24"/>
          <w:vertAlign w:val="superscript"/>
          <w:lang w:eastAsia="es-CO"/>
        </w:rPr>
        <w:footnoteReference w:id="37"/>
      </w:r>
      <w:r w:rsidR="0085402B" w:rsidRPr="0085402B">
        <w:rPr>
          <w:rFonts w:eastAsia="Times New Roman"/>
          <w:sz w:val="24"/>
          <w:szCs w:val="24"/>
          <w:lang w:eastAsia="es-CO"/>
        </w:rPr>
        <w:t xml:space="preserve">. </w:t>
      </w:r>
    </w:p>
    <w:p w14:paraId="6D99726F" w14:textId="77777777" w:rsidR="00D72829" w:rsidRPr="00D72829" w:rsidRDefault="00D72829" w:rsidP="00D72829">
      <w:pPr>
        <w:keepNext/>
        <w:spacing w:after="240"/>
        <w:textAlignment w:val="baseline"/>
        <w:rPr>
          <w:rFonts w:eastAsia="Times New Roman"/>
          <w:sz w:val="24"/>
          <w:szCs w:val="24"/>
          <w:lang w:eastAsia="es-CO"/>
        </w:rPr>
      </w:pPr>
      <w:r w:rsidRPr="00D72829">
        <w:rPr>
          <w:rFonts w:eastAsia="Times New Roman"/>
          <w:bCs/>
          <w:iCs/>
          <w:sz w:val="24"/>
          <w:szCs w:val="24"/>
          <w:lang w:eastAsia="es-CO"/>
        </w:rPr>
        <w:t xml:space="preserve">No obstante, el carácter residual y subsidiario de la acción de tutela hace procedente la intervención del juez constitucional </w:t>
      </w:r>
      <w:r w:rsidRPr="00D72829">
        <w:rPr>
          <w:rFonts w:eastAsia="Times New Roman"/>
          <w:bCs/>
          <w:sz w:val="24"/>
          <w:szCs w:val="24"/>
          <w:lang w:eastAsia="es-CO"/>
        </w:rPr>
        <w:t>si: “(i) el recurso judicial no resulta idóneo o eficaz o, (</w:t>
      </w:r>
      <w:proofErr w:type="spellStart"/>
      <w:r w:rsidRPr="00D72829">
        <w:rPr>
          <w:rFonts w:eastAsia="Times New Roman"/>
          <w:bCs/>
          <w:sz w:val="24"/>
          <w:szCs w:val="24"/>
          <w:lang w:eastAsia="es-CO"/>
        </w:rPr>
        <w:t>ii</w:t>
      </w:r>
      <w:proofErr w:type="spellEnd"/>
      <w:r w:rsidRPr="00D72829">
        <w:rPr>
          <w:rFonts w:eastAsia="Times New Roman"/>
          <w:bCs/>
          <w:sz w:val="24"/>
          <w:szCs w:val="24"/>
          <w:lang w:eastAsia="es-CO"/>
        </w:rPr>
        <w:t>) si bien existe un mecanismo judicial ordinario o extraordinario de dichas características, el demandante quiere evitar la consumación de un perjuicio irremediable”</w:t>
      </w:r>
      <w:r w:rsidRPr="00D72829">
        <w:rPr>
          <w:rFonts w:eastAsia="Times New Roman"/>
          <w:bCs/>
          <w:sz w:val="24"/>
          <w:szCs w:val="24"/>
          <w:vertAlign w:val="superscript"/>
          <w:lang w:eastAsia="es-CO"/>
        </w:rPr>
        <w:footnoteReference w:id="38"/>
      </w:r>
      <w:r w:rsidRPr="00D72829">
        <w:rPr>
          <w:rFonts w:eastAsia="Times New Roman"/>
          <w:bCs/>
          <w:sz w:val="24"/>
          <w:szCs w:val="24"/>
          <w:lang w:eastAsia="es-CO"/>
        </w:rPr>
        <w:t>.</w:t>
      </w:r>
      <w:r w:rsidRPr="00D72829">
        <w:rPr>
          <w:rFonts w:eastAsia="Times New Roman"/>
          <w:sz w:val="24"/>
          <w:szCs w:val="24"/>
          <w:lang w:eastAsia="es-CO"/>
        </w:rPr>
        <w:t xml:space="preserve"> </w:t>
      </w:r>
    </w:p>
    <w:p w14:paraId="32C806D5" w14:textId="77777777" w:rsidR="00C30DE6" w:rsidRDefault="0085402B" w:rsidP="0085402B">
      <w:pPr>
        <w:overflowPunct w:val="0"/>
        <w:autoSpaceDE w:val="0"/>
        <w:autoSpaceDN w:val="0"/>
        <w:adjustRightInd w:val="0"/>
        <w:rPr>
          <w:sz w:val="24"/>
          <w:szCs w:val="24"/>
          <w:lang w:val="es-ES_tradnl"/>
        </w:rPr>
      </w:pPr>
      <w:r w:rsidRPr="0085402B">
        <w:rPr>
          <w:sz w:val="24"/>
          <w:szCs w:val="24"/>
          <w:lang w:val="es-ES_tradnl"/>
        </w:rPr>
        <w:t xml:space="preserve">2.4.1. </w:t>
      </w:r>
      <w:r w:rsidR="00025119" w:rsidRPr="00A8539F">
        <w:rPr>
          <w:sz w:val="24"/>
          <w:szCs w:val="24"/>
          <w:lang w:val="es-ES_tradnl"/>
        </w:rPr>
        <w:t>En el caso concreto</w:t>
      </w:r>
      <w:r w:rsidR="00865E80" w:rsidRPr="00A8539F">
        <w:rPr>
          <w:sz w:val="24"/>
          <w:szCs w:val="24"/>
          <w:lang w:val="es-ES_tradnl"/>
        </w:rPr>
        <w:t>,</w:t>
      </w:r>
      <w:r w:rsidR="00025119" w:rsidRPr="00A8539F">
        <w:rPr>
          <w:sz w:val="24"/>
          <w:szCs w:val="24"/>
          <w:lang w:val="es-ES_tradnl"/>
        </w:rPr>
        <w:t xml:space="preserve"> el accionante cuestion</w:t>
      </w:r>
      <w:r w:rsidR="005D51C1">
        <w:rPr>
          <w:sz w:val="24"/>
          <w:szCs w:val="24"/>
          <w:lang w:val="es-ES_tradnl"/>
        </w:rPr>
        <w:t>ó</w:t>
      </w:r>
      <w:r w:rsidR="00025119" w:rsidRPr="00A8539F">
        <w:rPr>
          <w:sz w:val="24"/>
          <w:szCs w:val="24"/>
          <w:lang w:val="es-ES_tradnl"/>
        </w:rPr>
        <w:t xml:space="preserve"> que el Tribunal Administrativo de Cundinamarca, Sección Segunda, Subsección F </w:t>
      </w:r>
      <w:r w:rsidR="00C30DE6" w:rsidRPr="00A8539F">
        <w:rPr>
          <w:sz w:val="24"/>
          <w:szCs w:val="24"/>
          <w:lang w:val="es-ES_tradnl"/>
        </w:rPr>
        <w:t>en la sentencia objeto de tutela</w:t>
      </w:r>
      <w:r w:rsidR="00C66F8A" w:rsidRPr="00A8539F">
        <w:rPr>
          <w:sz w:val="24"/>
          <w:szCs w:val="24"/>
          <w:lang w:val="es-ES_tradnl"/>
        </w:rPr>
        <w:t xml:space="preserve">, </w:t>
      </w:r>
      <w:r w:rsidR="00105EEB">
        <w:rPr>
          <w:sz w:val="24"/>
          <w:szCs w:val="24"/>
          <w:lang w:val="es-ES_tradnl"/>
        </w:rPr>
        <w:t xml:space="preserve">por un lado, </w:t>
      </w:r>
      <w:r w:rsidR="006C58A7">
        <w:rPr>
          <w:color w:val="000000"/>
          <w:sz w:val="24"/>
          <w:szCs w:val="24"/>
        </w:rPr>
        <w:t>desconoció</w:t>
      </w:r>
      <w:r w:rsidR="006C58A7" w:rsidRPr="00E50658">
        <w:rPr>
          <w:color w:val="000000"/>
          <w:sz w:val="24"/>
          <w:szCs w:val="24"/>
        </w:rPr>
        <w:t xml:space="preserve"> el principio de congruencia procesal </w:t>
      </w:r>
      <w:r w:rsidR="006C58A7">
        <w:rPr>
          <w:color w:val="000000"/>
          <w:sz w:val="24"/>
          <w:szCs w:val="24"/>
        </w:rPr>
        <w:t xml:space="preserve">dado que, </w:t>
      </w:r>
      <w:r w:rsidR="00C30DE6" w:rsidRPr="00A8539F">
        <w:rPr>
          <w:sz w:val="24"/>
          <w:szCs w:val="24"/>
          <w:lang w:val="es-ES_tradnl"/>
        </w:rPr>
        <w:t xml:space="preserve">se pronunció respecto de asuntos que no fueron objetados en el recurso de alzada interpuesto por la Policía Nacional como apelante único y en ese </w:t>
      </w:r>
      <w:r w:rsidR="00105EEB">
        <w:rPr>
          <w:sz w:val="24"/>
          <w:szCs w:val="24"/>
          <w:lang w:val="es-ES_tradnl"/>
        </w:rPr>
        <w:t>sentido</w:t>
      </w:r>
      <w:r w:rsidR="00C66F8A" w:rsidRPr="00A8539F">
        <w:rPr>
          <w:sz w:val="24"/>
          <w:szCs w:val="24"/>
          <w:lang w:val="es-ES_tradnl"/>
        </w:rPr>
        <w:t>,</w:t>
      </w:r>
      <w:r w:rsidR="00C30DE6" w:rsidRPr="00A8539F">
        <w:rPr>
          <w:sz w:val="24"/>
          <w:szCs w:val="24"/>
          <w:lang w:val="es-ES_tradnl"/>
        </w:rPr>
        <w:t xml:space="preserve"> </w:t>
      </w:r>
      <w:r w:rsidR="00A8539F">
        <w:rPr>
          <w:sz w:val="24"/>
          <w:szCs w:val="24"/>
          <w:lang w:val="es-ES_tradnl"/>
        </w:rPr>
        <w:t xml:space="preserve">adujo que, se configuró </w:t>
      </w:r>
      <w:r w:rsidR="00105EEB">
        <w:rPr>
          <w:sz w:val="24"/>
          <w:szCs w:val="24"/>
          <w:lang w:val="es-ES_tradnl"/>
        </w:rPr>
        <w:t>un defecto factico y, por otro lado, porque no tuvo en cuenta el principio de consonancia, dada la falta de motivación de la providencia al revocar decisiones que no fueron cuestionadas</w:t>
      </w:r>
      <w:r w:rsidR="00105EEB" w:rsidRPr="00A8539F">
        <w:rPr>
          <w:sz w:val="24"/>
          <w:szCs w:val="24"/>
          <w:lang w:val="es-ES_tradnl"/>
        </w:rPr>
        <w:t xml:space="preserve"> </w:t>
      </w:r>
      <w:r w:rsidR="00105EEB">
        <w:rPr>
          <w:sz w:val="24"/>
          <w:szCs w:val="24"/>
          <w:lang w:val="es-ES_tradnl"/>
        </w:rPr>
        <w:t>por</w:t>
      </w:r>
      <w:r w:rsidR="00C66F8A" w:rsidRPr="00A8539F">
        <w:rPr>
          <w:sz w:val="24"/>
          <w:szCs w:val="24"/>
          <w:lang w:val="es-ES_tradnl"/>
        </w:rPr>
        <w:t xml:space="preserve"> la Caja de Sueldos </w:t>
      </w:r>
      <w:r w:rsidR="00C66F8A" w:rsidRPr="00A8539F">
        <w:rPr>
          <w:sz w:val="24"/>
          <w:szCs w:val="24"/>
        </w:rPr>
        <w:t>de Retiro de la Policía Nacional que no recurrió la decisión</w:t>
      </w:r>
      <w:r w:rsidR="00105EEB">
        <w:rPr>
          <w:sz w:val="24"/>
          <w:szCs w:val="24"/>
        </w:rPr>
        <w:t xml:space="preserve">, por lo que, era evidente la configuración de </w:t>
      </w:r>
      <w:r w:rsidR="00105EEB">
        <w:rPr>
          <w:sz w:val="24"/>
          <w:szCs w:val="24"/>
          <w:lang w:val="es-ES_tradnl"/>
        </w:rPr>
        <w:t>un defecto procedimental;</w:t>
      </w:r>
      <w:r w:rsidR="006C58A7">
        <w:rPr>
          <w:sz w:val="24"/>
          <w:szCs w:val="24"/>
        </w:rPr>
        <w:t xml:space="preserve"> </w:t>
      </w:r>
      <w:r w:rsidR="00105EEB">
        <w:rPr>
          <w:sz w:val="24"/>
          <w:szCs w:val="24"/>
        </w:rPr>
        <w:t xml:space="preserve">lo que —en conjunto—, </w:t>
      </w:r>
      <w:r w:rsidR="006C58A7">
        <w:rPr>
          <w:sz w:val="24"/>
          <w:szCs w:val="24"/>
        </w:rPr>
        <w:t>vulneró su derecho fundamental al debido proceso y afectó</w:t>
      </w:r>
      <w:r w:rsidR="00C66F8A" w:rsidRPr="00A8539F">
        <w:rPr>
          <w:sz w:val="24"/>
          <w:szCs w:val="24"/>
        </w:rPr>
        <w:t xml:space="preserve"> sus intereses</w:t>
      </w:r>
      <w:r w:rsidR="00C30DE6" w:rsidRPr="00A8539F">
        <w:rPr>
          <w:sz w:val="24"/>
          <w:szCs w:val="24"/>
          <w:lang w:val="es-ES_tradnl"/>
        </w:rPr>
        <w:t>.</w:t>
      </w:r>
    </w:p>
    <w:p w14:paraId="3EBAF29E" w14:textId="77777777" w:rsidR="00105EEB" w:rsidRDefault="00105EEB" w:rsidP="006C58A7">
      <w:pPr>
        <w:overflowPunct w:val="0"/>
        <w:autoSpaceDE w:val="0"/>
        <w:autoSpaceDN w:val="0"/>
        <w:adjustRightInd w:val="0"/>
        <w:rPr>
          <w:sz w:val="24"/>
          <w:szCs w:val="24"/>
          <w:lang w:val="es-ES_tradnl"/>
        </w:rPr>
      </w:pPr>
    </w:p>
    <w:p w14:paraId="24FA7E0D" w14:textId="5F793ADA" w:rsidR="00E46B4B" w:rsidRDefault="00D72829" w:rsidP="0085402B">
      <w:pPr>
        <w:overflowPunct w:val="0"/>
        <w:autoSpaceDE w:val="0"/>
        <w:autoSpaceDN w:val="0"/>
        <w:adjustRightInd w:val="0"/>
        <w:rPr>
          <w:sz w:val="24"/>
          <w:szCs w:val="24"/>
        </w:rPr>
      </w:pPr>
      <w:r w:rsidRPr="00D72829">
        <w:rPr>
          <w:sz w:val="24"/>
          <w:szCs w:val="24"/>
        </w:rPr>
        <w:t>Entonces, más allá de la mención que hizo la parte actora sobre los defectos en los que</w:t>
      </w:r>
      <w:r w:rsidR="00E50658">
        <w:rPr>
          <w:sz w:val="24"/>
          <w:szCs w:val="24"/>
        </w:rPr>
        <w:t>, a su juicio,</w:t>
      </w:r>
      <w:r w:rsidRPr="00D72829">
        <w:rPr>
          <w:sz w:val="24"/>
          <w:szCs w:val="24"/>
        </w:rPr>
        <w:t xml:space="preserve"> incurrió </w:t>
      </w:r>
      <w:r w:rsidR="00E50658">
        <w:rPr>
          <w:sz w:val="24"/>
          <w:szCs w:val="24"/>
        </w:rPr>
        <w:t xml:space="preserve">el </w:t>
      </w:r>
      <w:r w:rsidR="007D3AA0">
        <w:rPr>
          <w:sz w:val="24"/>
          <w:szCs w:val="24"/>
        </w:rPr>
        <w:t>t</w:t>
      </w:r>
      <w:r w:rsidR="00E50658">
        <w:rPr>
          <w:sz w:val="24"/>
          <w:szCs w:val="24"/>
        </w:rPr>
        <w:t xml:space="preserve">ribunal en </w:t>
      </w:r>
      <w:r w:rsidRPr="00D72829">
        <w:rPr>
          <w:sz w:val="24"/>
          <w:szCs w:val="24"/>
        </w:rPr>
        <w:t>el fallo d</w:t>
      </w:r>
      <w:r w:rsidR="00E50658">
        <w:rPr>
          <w:sz w:val="24"/>
          <w:szCs w:val="24"/>
        </w:rPr>
        <w:t xml:space="preserve">el 23 de agosto de 2022, </w:t>
      </w:r>
      <w:r w:rsidRPr="00D72829">
        <w:rPr>
          <w:sz w:val="24"/>
          <w:szCs w:val="24"/>
        </w:rPr>
        <w:t xml:space="preserve">lo que plantea en la acción de tutela es que la autoridad judicial </w:t>
      </w:r>
      <w:r w:rsidR="000A2BAA">
        <w:rPr>
          <w:sz w:val="24"/>
          <w:szCs w:val="24"/>
        </w:rPr>
        <w:t xml:space="preserve">vulneró su derecho fundamental al debido proceso porque </w:t>
      </w:r>
      <w:r w:rsidRPr="00D72829">
        <w:rPr>
          <w:sz w:val="24"/>
          <w:szCs w:val="24"/>
        </w:rPr>
        <w:t xml:space="preserve">desconoció el principio de congruencia, </w:t>
      </w:r>
      <w:r w:rsidR="000A2BAA">
        <w:rPr>
          <w:sz w:val="24"/>
          <w:szCs w:val="24"/>
        </w:rPr>
        <w:t>dado que</w:t>
      </w:r>
      <w:r w:rsidRPr="00D72829">
        <w:rPr>
          <w:sz w:val="24"/>
          <w:szCs w:val="24"/>
        </w:rPr>
        <w:t xml:space="preserve"> el fallo de segunda instancia debe estar en armonía con los argumentos del recurso de apelación, que para el caso concreto se referían a</w:t>
      </w:r>
      <w:r w:rsidR="00E50658">
        <w:rPr>
          <w:sz w:val="24"/>
          <w:szCs w:val="24"/>
        </w:rPr>
        <w:t xml:space="preserve"> la modificación de la hoja de servicios y no a la reliquidación de su asignación de retiro</w:t>
      </w:r>
      <w:r w:rsidRPr="00D72829">
        <w:rPr>
          <w:sz w:val="24"/>
          <w:szCs w:val="24"/>
        </w:rPr>
        <w:t>.</w:t>
      </w:r>
      <w:r w:rsidR="00E46B4B">
        <w:rPr>
          <w:sz w:val="24"/>
          <w:szCs w:val="24"/>
        </w:rPr>
        <w:t xml:space="preserve"> </w:t>
      </w:r>
      <w:r w:rsidRPr="00D72829">
        <w:rPr>
          <w:sz w:val="24"/>
          <w:szCs w:val="24"/>
        </w:rPr>
        <w:t>Al margen de la razonabilidad de este argumento, lo cierto es que esta S</w:t>
      </w:r>
      <w:r w:rsidR="00E50658">
        <w:rPr>
          <w:sz w:val="24"/>
          <w:szCs w:val="24"/>
        </w:rPr>
        <w:t>ala</w:t>
      </w:r>
      <w:r w:rsidRPr="00D72829">
        <w:rPr>
          <w:sz w:val="24"/>
          <w:szCs w:val="24"/>
        </w:rPr>
        <w:t xml:space="preserve">, no es competente para determinar si </w:t>
      </w:r>
      <w:r w:rsidR="00E46B4B">
        <w:rPr>
          <w:sz w:val="24"/>
          <w:szCs w:val="24"/>
        </w:rPr>
        <w:t xml:space="preserve">la sentencia </w:t>
      </w:r>
      <w:r w:rsidR="00875B2A">
        <w:rPr>
          <w:sz w:val="24"/>
          <w:szCs w:val="24"/>
        </w:rPr>
        <w:t>objeto de tutela es incongruente</w:t>
      </w:r>
      <w:r w:rsidRPr="00D72829">
        <w:rPr>
          <w:sz w:val="24"/>
          <w:szCs w:val="24"/>
        </w:rPr>
        <w:t>, ya que tal análisis corresponde al juez natural en instancias del recurso extraordinario de revisión.</w:t>
      </w:r>
      <w:r w:rsidR="00D31898">
        <w:rPr>
          <w:sz w:val="24"/>
          <w:szCs w:val="24"/>
        </w:rPr>
        <w:t xml:space="preserve"> </w:t>
      </w:r>
    </w:p>
    <w:p w14:paraId="38C28CB8" w14:textId="77777777" w:rsidR="00E46B4B" w:rsidRDefault="00E46B4B" w:rsidP="0085402B">
      <w:pPr>
        <w:overflowPunct w:val="0"/>
        <w:autoSpaceDE w:val="0"/>
        <w:autoSpaceDN w:val="0"/>
        <w:adjustRightInd w:val="0"/>
        <w:rPr>
          <w:sz w:val="24"/>
          <w:szCs w:val="24"/>
        </w:rPr>
      </w:pPr>
    </w:p>
    <w:p w14:paraId="1A9D3A13" w14:textId="77777777" w:rsidR="00556329" w:rsidRDefault="00D31898" w:rsidP="0085402B">
      <w:pPr>
        <w:overflowPunct w:val="0"/>
        <w:autoSpaceDE w:val="0"/>
        <w:autoSpaceDN w:val="0"/>
        <w:adjustRightInd w:val="0"/>
        <w:rPr>
          <w:sz w:val="24"/>
          <w:szCs w:val="24"/>
        </w:rPr>
      </w:pPr>
      <w:r w:rsidRPr="00D31898">
        <w:rPr>
          <w:sz w:val="24"/>
          <w:szCs w:val="24"/>
        </w:rPr>
        <w:t xml:space="preserve">Así, la vulneración del principio de congruencia ha sido considerada como una </w:t>
      </w:r>
      <w:r w:rsidR="00A8539F">
        <w:rPr>
          <w:sz w:val="24"/>
          <w:szCs w:val="24"/>
        </w:rPr>
        <w:t xml:space="preserve">causa de </w:t>
      </w:r>
      <w:r w:rsidRPr="00A8539F">
        <w:rPr>
          <w:sz w:val="24"/>
          <w:szCs w:val="24"/>
        </w:rPr>
        <w:t xml:space="preserve">nulidad originada en la sentencia, y </w:t>
      </w:r>
      <w:r w:rsidR="006F3EEE">
        <w:rPr>
          <w:sz w:val="24"/>
          <w:szCs w:val="24"/>
        </w:rPr>
        <w:t>en ese sentido el</w:t>
      </w:r>
      <w:r w:rsidRPr="00A8539F">
        <w:rPr>
          <w:sz w:val="24"/>
          <w:szCs w:val="24"/>
        </w:rPr>
        <w:t xml:space="preserve"> numeral 5 del artículo 250 del CPACA</w:t>
      </w:r>
      <w:r w:rsidR="00BF648D">
        <w:rPr>
          <w:sz w:val="24"/>
          <w:szCs w:val="24"/>
        </w:rPr>
        <w:t xml:space="preserve"> </w:t>
      </w:r>
      <w:r w:rsidRPr="00A8539F">
        <w:rPr>
          <w:sz w:val="24"/>
          <w:szCs w:val="24"/>
        </w:rPr>
        <w:t>prescribe, como causal para</w:t>
      </w:r>
      <w:r w:rsidRPr="00D31898">
        <w:rPr>
          <w:sz w:val="24"/>
          <w:szCs w:val="24"/>
        </w:rPr>
        <w:t xml:space="preserve"> presentar recurso extraordinario de revisión, la existencia de “nulidad originada en la sentencia que puso fin al proceso y contra la que no procede recurso de apelación” por lo que, </w:t>
      </w:r>
      <w:r w:rsidR="00875B2A">
        <w:rPr>
          <w:sz w:val="24"/>
          <w:szCs w:val="24"/>
        </w:rPr>
        <w:t xml:space="preserve">el </w:t>
      </w:r>
      <w:r w:rsidRPr="00D31898">
        <w:rPr>
          <w:sz w:val="24"/>
          <w:szCs w:val="24"/>
        </w:rPr>
        <w:t xml:space="preserve">accionante dispone para debatir sus inconformidades el </w:t>
      </w:r>
      <w:r w:rsidR="006F3EEE">
        <w:rPr>
          <w:sz w:val="24"/>
          <w:szCs w:val="24"/>
        </w:rPr>
        <w:t>mencionado recurso</w:t>
      </w:r>
      <w:r w:rsidRPr="00D31898">
        <w:rPr>
          <w:sz w:val="24"/>
          <w:szCs w:val="24"/>
        </w:rPr>
        <w:t>, circunstancia que también determina la improcedencia de la acción de tutela.</w:t>
      </w:r>
    </w:p>
    <w:p w14:paraId="1CC9AC78" w14:textId="77777777" w:rsidR="00D31898" w:rsidRDefault="00D31898" w:rsidP="0085402B">
      <w:pPr>
        <w:overflowPunct w:val="0"/>
        <w:autoSpaceDE w:val="0"/>
        <w:autoSpaceDN w:val="0"/>
        <w:adjustRightInd w:val="0"/>
        <w:rPr>
          <w:sz w:val="24"/>
          <w:szCs w:val="24"/>
        </w:rPr>
      </w:pPr>
    </w:p>
    <w:p w14:paraId="7FEA2898" w14:textId="77777777" w:rsidR="00D31898" w:rsidRDefault="00297C7E" w:rsidP="0085402B">
      <w:pPr>
        <w:overflowPunct w:val="0"/>
        <w:autoSpaceDE w:val="0"/>
        <w:autoSpaceDN w:val="0"/>
        <w:adjustRightInd w:val="0"/>
        <w:rPr>
          <w:sz w:val="24"/>
          <w:szCs w:val="24"/>
        </w:rPr>
      </w:pPr>
      <w:r>
        <w:rPr>
          <w:sz w:val="24"/>
          <w:szCs w:val="24"/>
          <w:lang w:val="es-ES_tradnl"/>
        </w:rPr>
        <w:lastRenderedPageBreak/>
        <w:t xml:space="preserve">En ese punto es preciso aclarar que, esta Corporación ha indicado que las causales establecidas en la norma mencionada, cuestionan puntualmente irregularidades procesales y probatorias que afectaron la integridad de la decisión y vulneraron los derechos de las partes, de suerte que </w:t>
      </w:r>
      <w:r w:rsidRPr="00297C7E">
        <w:rPr>
          <w:sz w:val="24"/>
          <w:szCs w:val="24"/>
        </w:rPr>
        <w:t>“las causales de los numerales 5 y 8 son de índole procesal, mientras que las causales de los numerales 1, 2, 3, 6 y 7 recaen sobre aspectos que atañen a la validez o insuficiencia de los elementos de prueba que determinaron el sentido de la decisión”</w:t>
      </w:r>
      <w:r w:rsidRPr="00297C7E">
        <w:rPr>
          <w:sz w:val="24"/>
          <w:szCs w:val="24"/>
          <w:vertAlign w:val="superscript"/>
        </w:rPr>
        <w:footnoteReference w:id="39"/>
      </w:r>
      <w:r w:rsidRPr="00297C7E">
        <w:rPr>
          <w:sz w:val="24"/>
          <w:szCs w:val="24"/>
        </w:rPr>
        <w:t>.</w:t>
      </w:r>
      <w:r>
        <w:rPr>
          <w:sz w:val="24"/>
          <w:szCs w:val="24"/>
        </w:rPr>
        <w:t xml:space="preserve"> En ese sentido el recurso extraordinario de revisión en materia </w:t>
      </w:r>
      <w:r w:rsidR="00875B2A">
        <w:rPr>
          <w:sz w:val="24"/>
          <w:szCs w:val="24"/>
        </w:rPr>
        <w:t>contencioso-administrativa</w:t>
      </w:r>
      <w:r>
        <w:rPr>
          <w:sz w:val="24"/>
          <w:szCs w:val="24"/>
        </w:rPr>
        <w:t xml:space="preserve"> se erige como un medio de defensa idóneo y eficaz cuando la vulneración </w:t>
      </w:r>
      <w:r w:rsidR="00637A5F">
        <w:rPr>
          <w:sz w:val="24"/>
          <w:szCs w:val="24"/>
        </w:rPr>
        <w:t xml:space="preserve">del derecho al debido proceso tiene origen en un fallo judicial que se encuentra ejecutoriado. </w:t>
      </w:r>
    </w:p>
    <w:p w14:paraId="5524477A" w14:textId="77777777" w:rsidR="00637A5F" w:rsidRDefault="00637A5F" w:rsidP="0085402B">
      <w:pPr>
        <w:overflowPunct w:val="0"/>
        <w:autoSpaceDE w:val="0"/>
        <w:autoSpaceDN w:val="0"/>
        <w:adjustRightInd w:val="0"/>
        <w:rPr>
          <w:sz w:val="24"/>
          <w:szCs w:val="24"/>
        </w:rPr>
      </w:pPr>
    </w:p>
    <w:p w14:paraId="6BD701B0" w14:textId="77777777" w:rsidR="00637A5F" w:rsidRDefault="00637A5F" w:rsidP="0085402B">
      <w:pPr>
        <w:overflowPunct w:val="0"/>
        <w:autoSpaceDE w:val="0"/>
        <w:autoSpaceDN w:val="0"/>
        <w:adjustRightInd w:val="0"/>
        <w:rPr>
          <w:sz w:val="24"/>
          <w:szCs w:val="24"/>
        </w:rPr>
      </w:pPr>
      <w:r>
        <w:rPr>
          <w:sz w:val="24"/>
          <w:szCs w:val="24"/>
        </w:rPr>
        <w:t>Al respecto la Corte Constitucional ha indicado</w:t>
      </w:r>
      <w:r w:rsidR="000A2BAA">
        <w:rPr>
          <w:sz w:val="24"/>
          <w:szCs w:val="24"/>
        </w:rPr>
        <w:t xml:space="preserve"> que</w:t>
      </w:r>
      <w:r>
        <w:rPr>
          <w:rStyle w:val="Refdenotaalpie"/>
          <w:sz w:val="24"/>
          <w:szCs w:val="24"/>
        </w:rPr>
        <w:footnoteReference w:id="40"/>
      </w:r>
      <w:r>
        <w:rPr>
          <w:sz w:val="24"/>
          <w:szCs w:val="24"/>
        </w:rPr>
        <w:t xml:space="preserve">: </w:t>
      </w:r>
    </w:p>
    <w:p w14:paraId="3268AC22" w14:textId="77777777" w:rsidR="00637A5F" w:rsidRDefault="00637A5F" w:rsidP="0085402B">
      <w:pPr>
        <w:overflowPunct w:val="0"/>
        <w:autoSpaceDE w:val="0"/>
        <w:autoSpaceDN w:val="0"/>
        <w:adjustRightInd w:val="0"/>
        <w:rPr>
          <w:sz w:val="24"/>
          <w:szCs w:val="24"/>
        </w:rPr>
      </w:pPr>
    </w:p>
    <w:p w14:paraId="74A05D1B" w14:textId="77777777" w:rsidR="00637A5F" w:rsidRPr="00637A5F" w:rsidRDefault="00637A5F" w:rsidP="00637A5F">
      <w:pPr>
        <w:overflowPunct w:val="0"/>
        <w:autoSpaceDE w:val="0"/>
        <w:autoSpaceDN w:val="0"/>
        <w:adjustRightInd w:val="0"/>
        <w:ind w:left="708"/>
        <w:rPr>
          <w:sz w:val="22"/>
          <w:szCs w:val="22"/>
          <w:lang w:val="es-ES_tradnl"/>
        </w:rPr>
      </w:pPr>
      <w:r w:rsidRPr="00637A5F">
        <w:rPr>
          <w:sz w:val="22"/>
          <w:szCs w:val="22"/>
          <w:lang w:val="es-MX"/>
        </w:rPr>
        <w:t>“[E]l recurso de revisión constituye un mecanismo idóneo y eficaz de defensa judicial dependiendo de la naturaleza de los derechos invocados por el peticionario, y la cobertura brindada por las causales aplicables al proceso específico. Así, el recurso será eficaz cuando a) la única violación alegada sea el derecho al debido proceso y, eventualmente, la de otros derechos que no tienen carácter fundamental, o b) cuando el derecho fundamental cuya protección se solicita sea susceptible de ser protegido de manera integral dentro del trámite del recurso, porque concurren en él (i) causales de revisión evidentemente dirigidas a salvaguardar dicho derecho, y (ii) en caso de prosperar el recurso, decisiones que restauran de forma suficiente y oportuna el derecho.”</w:t>
      </w:r>
      <w:r w:rsidRPr="00637A5F">
        <w:rPr>
          <w:sz w:val="22"/>
          <w:szCs w:val="22"/>
          <w:vertAlign w:val="superscript"/>
          <w:lang w:val="es-MX"/>
        </w:rPr>
        <w:footnoteReference w:id="41"/>
      </w:r>
    </w:p>
    <w:p w14:paraId="4720BCF5" w14:textId="77777777" w:rsidR="0085402B" w:rsidRDefault="0085402B" w:rsidP="0085402B">
      <w:pPr>
        <w:overflowPunct w:val="0"/>
        <w:autoSpaceDE w:val="0"/>
        <w:autoSpaceDN w:val="0"/>
        <w:adjustRightInd w:val="0"/>
        <w:rPr>
          <w:sz w:val="24"/>
          <w:szCs w:val="24"/>
          <w:lang w:val="es-ES_tradnl"/>
        </w:rPr>
      </w:pPr>
    </w:p>
    <w:p w14:paraId="4DFDEF6D" w14:textId="31E8FE2C" w:rsidR="00875B2A" w:rsidRDefault="007F4F8D" w:rsidP="007F4F8D">
      <w:pPr>
        <w:overflowPunct w:val="0"/>
        <w:autoSpaceDE w:val="0"/>
        <w:autoSpaceDN w:val="0"/>
        <w:adjustRightInd w:val="0"/>
        <w:rPr>
          <w:sz w:val="24"/>
          <w:szCs w:val="24"/>
          <w:lang w:val="es-MX"/>
        </w:rPr>
      </w:pPr>
      <w:r>
        <w:rPr>
          <w:sz w:val="24"/>
          <w:szCs w:val="24"/>
          <w:lang w:val="es-ES_tradnl"/>
        </w:rPr>
        <w:t>En ese contexto</w:t>
      </w:r>
      <w:r w:rsidR="00875B2A">
        <w:rPr>
          <w:sz w:val="24"/>
          <w:szCs w:val="24"/>
          <w:lang w:val="es-ES_tradnl"/>
        </w:rPr>
        <w:t xml:space="preserve">, la misma alta Corporación ha </w:t>
      </w:r>
      <w:r w:rsidR="00481F33">
        <w:rPr>
          <w:sz w:val="24"/>
          <w:szCs w:val="24"/>
          <w:lang w:val="es-ES_tradnl"/>
        </w:rPr>
        <w:t xml:space="preserve">precisado que </w:t>
      </w:r>
      <w:r w:rsidR="00875B2A" w:rsidRPr="00875B2A">
        <w:rPr>
          <w:sz w:val="24"/>
          <w:szCs w:val="24"/>
          <w:lang w:val="es-ES_tradnl"/>
        </w:rPr>
        <w:t>“</w:t>
      </w:r>
      <w:r w:rsidR="00875B2A" w:rsidRPr="00875B2A">
        <w:rPr>
          <w:sz w:val="24"/>
          <w:szCs w:val="24"/>
          <w:lang w:val="es-MX"/>
        </w:rPr>
        <w:t>la acción de tutela se torna improcedente cuando al interior de un proceso contencioso-administrativo se alega la vulneración al debido proceso y este derecho fundamental es susceptible de ser protegido mediante el trámite del recurso extraordinario de revisión”</w:t>
      </w:r>
      <w:r w:rsidR="00875B2A" w:rsidRPr="00875B2A">
        <w:rPr>
          <w:sz w:val="24"/>
          <w:szCs w:val="24"/>
          <w:vertAlign w:val="superscript"/>
          <w:lang w:val="es-MX"/>
        </w:rPr>
        <w:footnoteReference w:id="42"/>
      </w:r>
      <w:r w:rsidR="00875B2A" w:rsidRPr="00875B2A">
        <w:rPr>
          <w:sz w:val="24"/>
          <w:szCs w:val="24"/>
          <w:lang w:val="es-MX"/>
        </w:rPr>
        <w:t>.</w:t>
      </w:r>
    </w:p>
    <w:p w14:paraId="21D6FC12" w14:textId="77777777" w:rsidR="00875B2A" w:rsidRDefault="00875B2A" w:rsidP="007F4F8D">
      <w:pPr>
        <w:overflowPunct w:val="0"/>
        <w:autoSpaceDE w:val="0"/>
        <w:autoSpaceDN w:val="0"/>
        <w:adjustRightInd w:val="0"/>
        <w:rPr>
          <w:sz w:val="24"/>
          <w:szCs w:val="24"/>
          <w:lang w:val="es-MX"/>
        </w:rPr>
      </w:pPr>
    </w:p>
    <w:p w14:paraId="4F90FF5A" w14:textId="77777777" w:rsidR="00A8539F" w:rsidRDefault="002938D0" w:rsidP="007F4F8D">
      <w:pPr>
        <w:overflowPunct w:val="0"/>
        <w:autoSpaceDE w:val="0"/>
        <w:autoSpaceDN w:val="0"/>
        <w:adjustRightInd w:val="0"/>
        <w:rPr>
          <w:sz w:val="24"/>
          <w:szCs w:val="24"/>
        </w:rPr>
      </w:pPr>
      <w:r>
        <w:rPr>
          <w:sz w:val="24"/>
          <w:szCs w:val="24"/>
        </w:rPr>
        <w:t>En suma</w:t>
      </w:r>
      <w:r w:rsidR="00875B2A" w:rsidRPr="00875B2A">
        <w:rPr>
          <w:sz w:val="24"/>
          <w:szCs w:val="24"/>
        </w:rPr>
        <w:t xml:space="preserve">, </w:t>
      </w:r>
      <w:r w:rsidR="007F4F8D">
        <w:rPr>
          <w:sz w:val="24"/>
          <w:szCs w:val="24"/>
        </w:rPr>
        <w:t xml:space="preserve">los cuestionamientos expuestos por el </w:t>
      </w:r>
      <w:r w:rsidR="006F3EEE">
        <w:rPr>
          <w:sz w:val="24"/>
          <w:szCs w:val="24"/>
        </w:rPr>
        <w:t>señor</w:t>
      </w:r>
      <w:r w:rsidR="007F4F8D">
        <w:rPr>
          <w:sz w:val="24"/>
          <w:szCs w:val="24"/>
        </w:rPr>
        <w:t xml:space="preserve"> </w:t>
      </w:r>
      <w:r w:rsidR="007D3AA0">
        <w:rPr>
          <w:sz w:val="24"/>
          <w:szCs w:val="24"/>
        </w:rPr>
        <w:t xml:space="preserve">Reyes Miguel Alvarado Solano, </w:t>
      </w:r>
      <w:r w:rsidR="007F4F8D">
        <w:rPr>
          <w:sz w:val="24"/>
          <w:szCs w:val="24"/>
        </w:rPr>
        <w:t>se subsumen en</w:t>
      </w:r>
      <w:r w:rsidR="0002530A">
        <w:rPr>
          <w:sz w:val="24"/>
          <w:szCs w:val="24"/>
        </w:rPr>
        <w:t xml:space="preserve"> la vulneración del derecho al debido proceso</w:t>
      </w:r>
      <w:r w:rsidR="007D3AA0">
        <w:rPr>
          <w:sz w:val="24"/>
          <w:szCs w:val="24"/>
        </w:rPr>
        <w:t xml:space="preserve"> por infringir el juez del proceso ordinario el principio de congruencia y en este orden, el cargo no supera el </w:t>
      </w:r>
      <w:r w:rsidR="00875B2A" w:rsidRPr="00875B2A">
        <w:rPr>
          <w:sz w:val="24"/>
          <w:szCs w:val="24"/>
        </w:rPr>
        <w:t>requisito de subsidiariedad, comoquiera que</w:t>
      </w:r>
      <w:r w:rsidR="007D3AA0">
        <w:rPr>
          <w:sz w:val="24"/>
          <w:szCs w:val="24"/>
        </w:rPr>
        <w:t xml:space="preserve">, como ya se precisó en párrafos anteriores, el análisis que corresponda efectuar para determinar si existió o no afectación al referido principio, le compete hacerlo al juez del recurso extraordinario de revisión. </w:t>
      </w:r>
    </w:p>
    <w:p w14:paraId="08A0FE1C" w14:textId="77777777" w:rsidR="00A8539F" w:rsidRDefault="00A8539F" w:rsidP="007F4F8D">
      <w:pPr>
        <w:overflowPunct w:val="0"/>
        <w:autoSpaceDE w:val="0"/>
        <w:autoSpaceDN w:val="0"/>
        <w:adjustRightInd w:val="0"/>
        <w:rPr>
          <w:sz w:val="24"/>
          <w:szCs w:val="24"/>
        </w:rPr>
      </w:pPr>
    </w:p>
    <w:p w14:paraId="2341268E" w14:textId="77777777" w:rsidR="00875B2A" w:rsidRPr="0085402B" w:rsidRDefault="007F4F8D" w:rsidP="007F4F8D">
      <w:pPr>
        <w:overflowPunct w:val="0"/>
        <w:autoSpaceDE w:val="0"/>
        <w:autoSpaceDN w:val="0"/>
        <w:adjustRightInd w:val="0"/>
        <w:rPr>
          <w:sz w:val="24"/>
          <w:szCs w:val="24"/>
          <w:lang w:val="es-ES_tradnl"/>
        </w:rPr>
      </w:pPr>
      <w:r>
        <w:rPr>
          <w:sz w:val="24"/>
          <w:szCs w:val="24"/>
        </w:rPr>
        <w:t xml:space="preserve">Por otro lado, el accionante no hizo referencia a ninguna circunstancia particular que hiciera desproporcionado acudir al mecanismo extraordinario de revisión </w:t>
      </w:r>
      <w:r w:rsidR="001E43F4">
        <w:rPr>
          <w:sz w:val="24"/>
          <w:szCs w:val="24"/>
        </w:rPr>
        <w:t>ni</w:t>
      </w:r>
      <w:r>
        <w:rPr>
          <w:sz w:val="24"/>
          <w:szCs w:val="24"/>
        </w:rPr>
        <w:t xml:space="preserve"> </w:t>
      </w:r>
      <w:r w:rsidR="0002530A">
        <w:rPr>
          <w:sz w:val="24"/>
          <w:szCs w:val="24"/>
        </w:rPr>
        <w:t xml:space="preserve">expuso </w:t>
      </w:r>
      <w:r>
        <w:rPr>
          <w:sz w:val="24"/>
          <w:szCs w:val="24"/>
        </w:rPr>
        <w:t>la posible configuración de un perjuicio irremediable que permita la intervención del juez constitucional</w:t>
      </w:r>
      <w:r w:rsidR="0002530A">
        <w:rPr>
          <w:sz w:val="24"/>
          <w:szCs w:val="24"/>
        </w:rPr>
        <w:t xml:space="preserve"> para la protección de los derechos fundamentales invocados</w:t>
      </w:r>
      <w:r>
        <w:rPr>
          <w:sz w:val="24"/>
          <w:szCs w:val="24"/>
        </w:rPr>
        <w:t>.</w:t>
      </w:r>
    </w:p>
    <w:p w14:paraId="1570D9C6" w14:textId="77777777" w:rsidR="0085402B" w:rsidRDefault="0085402B" w:rsidP="0085402B">
      <w:pPr>
        <w:overflowPunct w:val="0"/>
        <w:autoSpaceDE w:val="0"/>
        <w:autoSpaceDN w:val="0"/>
        <w:adjustRightInd w:val="0"/>
        <w:rPr>
          <w:color w:val="4472C4"/>
          <w:sz w:val="24"/>
          <w:szCs w:val="24"/>
          <w:lang w:val="es-ES_tradnl"/>
        </w:rPr>
      </w:pPr>
    </w:p>
    <w:p w14:paraId="255F3FA6" w14:textId="77777777" w:rsidR="007F6F44" w:rsidRDefault="007E407E" w:rsidP="00331291">
      <w:pPr>
        <w:tabs>
          <w:tab w:val="left" w:pos="0"/>
        </w:tabs>
        <w:rPr>
          <w:sz w:val="24"/>
          <w:szCs w:val="24"/>
        </w:rPr>
      </w:pPr>
      <w:r>
        <w:rPr>
          <w:b/>
          <w:bCs/>
          <w:sz w:val="24"/>
          <w:szCs w:val="24"/>
        </w:rPr>
        <w:lastRenderedPageBreak/>
        <w:t xml:space="preserve">2.5. </w:t>
      </w:r>
      <w:r w:rsidR="00C92A30">
        <w:rPr>
          <w:sz w:val="24"/>
          <w:szCs w:val="24"/>
        </w:rPr>
        <w:t>En consecuencia,</w:t>
      </w:r>
      <w:r w:rsidR="007F6F44" w:rsidRPr="00A40147">
        <w:rPr>
          <w:sz w:val="24"/>
          <w:szCs w:val="24"/>
        </w:rPr>
        <w:t xml:space="preserve"> en virtud del estudio antes expuesto, la Sala concluye que la acción de tutela incoada </w:t>
      </w:r>
      <w:r w:rsidR="00C92A30">
        <w:rPr>
          <w:sz w:val="24"/>
          <w:szCs w:val="24"/>
        </w:rPr>
        <w:t xml:space="preserve">por </w:t>
      </w:r>
      <w:r w:rsidR="00BC2C99">
        <w:rPr>
          <w:sz w:val="24"/>
          <w:szCs w:val="24"/>
        </w:rPr>
        <w:t>el señor Reyes Miguel Alvarado Solano</w:t>
      </w:r>
      <w:r w:rsidR="00C92A30">
        <w:rPr>
          <w:sz w:val="24"/>
          <w:szCs w:val="24"/>
        </w:rPr>
        <w:t xml:space="preserve"> en contra de la p</w:t>
      </w:r>
      <w:r w:rsidR="007F6F44" w:rsidRPr="00A40147">
        <w:rPr>
          <w:sz w:val="24"/>
          <w:szCs w:val="24"/>
        </w:rPr>
        <w:t xml:space="preserve">rovidencia proferida por </w:t>
      </w:r>
      <w:r w:rsidR="007F6F44" w:rsidRPr="00A40147">
        <w:rPr>
          <w:rFonts w:eastAsia="Dotum"/>
          <w:sz w:val="24"/>
          <w:szCs w:val="24"/>
        </w:rPr>
        <w:t xml:space="preserve">el Tribunal Administrativo de Cundinamarca, Sección Segunda, Subsección </w:t>
      </w:r>
      <w:r w:rsidR="0085402B">
        <w:rPr>
          <w:rFonts w:eastAsia="Dotum"/>
          <w:sz w:val="24"/>
          <w:szCs w:val="24"/>
        </w:rPr>
        <w:t>F</w:t>
      </w:r>
      <w:r w:rsidR="007F6F44" w:rsidRPr="00A40147">
        <w:rPr>
          <w:rFonts w:eastAsia="Dotum"/>
          <w:sz w:val="24"/>
          <w:szCs w:val="24"/>
        </w:rPr>
        <w:t xml:space="preserve"> de</w:t>
      </w:r>
      <w:r w:rsidR="007F6F44" w:rsidRPr="00A40147">
        <w:rPr>
          <w:color w:val="000000"/>
          <w:sz w:val="24"/>
          <w:szCs w:val="24"/>
        </w:rPr>
        <w:t xml:space="preserve">l </w:t>
      </w:r>
      <w:r w:rsidR="007F4F8D">
        <w:rPr>
          <w:color w:val="000000"/>
          <w:sz w:val="24"/>
          <w:szCs w:val="24"/>
        </w:rPr>
        <w:t>23 de agosto de</w:t>
      </w:r>
      <w:r w:rsidR="007F6F44" w:rsidRPr="00A40147">
        <w:rPr>
          <w:color w:val="000000"/>
          <w:sz w:val="24"/>
          <w:szCs w:val="24"/>
        </w:rPr>
        <w:t xml:space="preserve"> 202</w:t>
      </w:r>
      <w:r w:rsidR="00C92A30">
        <w:rPr>
          <w:color w:val="000000"/>
          <w:sz w:val="24"/>
          <w:szCs w:val="24"/>
        </w:rPr>
        <w:t>2</w:t>
      </w:r>
      <w:r w:rsidR="007F6F44" w:rsidRPr="00A40147">
        <w:rPr>
          <w:sz w:val="24"/>
          <w:szCs w:val="24"/>
        </w:rPr>
        <w:t xml:space="preserve">, no superó el </w:t>
      </w:r>
      <w:r w:rsidR="0085402B">
        <w:rPr>
          <w:sz w:val="24"/>
          <w:szCs w:val="24"/>
        </w:rPr>
        <w:t>requisito de subsidiariedad.</w:t>
      </w:r>
    </w:p>
    <w:p w14:paraId="5219780E" w14:textId="77777777" w:rsidR="005B01FB" w:rsidRPr="005B01FB" w:rsidRDefault="005B01FB" w:rsidP="005B01FB">
      <w:pPr>
        <w:keepNext/>
        <w:spacing w:before="240" w:after="160"/>
        <w:jc w:val="center"/>
        <w:textAlignment w:val="baseline"/>
        <w:rPr>
          <w:rFonts w:eastAsia="Times New Roman"/>
          <w:b/>
          <w:bCs/>
          <w:sz w:val="24"/>
          <w:szCs w:val="24"/>
          <w:shd w:val="clear" w:color="auto" w:fill="FFFFFF"/>
          <w:lang w:val="es-ES"/>
        </w:rPr>
      </w:pPr>
      <w:r w:rsidRPr="005B01FB">
        <w:rPr>
          <w:rFonts w:eastAsia="Times New Roman"/>
          <w:b/>
          <w:bCs/>
          <w:sz w:val="24"/>
          <w:szCs w:val="24"/>
          <w:shd w:val="clear" w:color="auto" w:fill="FFFFFF"/>
          <w:lang w:val="es-ES"/>
        </w:rPr>
        <w:t>III. DECISIÓN</w:t>
      </w:r>
    </w:p>
    <w:p w14:paraId="361F8621" w14:textId="77777777" w:rsidR="00E425BA" w:rsidRPr="00766FA2" w:rsidRDefault="00E425BA" w:rsidP="00331291">
      <w:pPr>
        <w:rPr>
          <w:rFonts w:eastAsia="Times New Roman"/>
          <w:sz w:val="24"/>
          <w:szCs w:val="24"/>
          <w:lang w:eastAsia="es-CO"/>
        </w:rPr>
      </w:pPr>
      <w:r w:rsidRPr="00766FA2">
        <w:rPr>
          <w:rFonts w:eastAsia="Times New Roman"/>
          <w:sz w:val="24"/>
          <w:szCs w:val="24"/>
          <w:lang w:eastAsia="es-CO"/>
        </w:rPr>
        <w:t>En mérito de lo expuesto, el Consejo de Estado en Sala de lo Contencioso Administrativo, Sección Tercera, Subsección C, administrando justicia en nombre de la República y por autoridad de la ley,</w:t>
      </w:r>
    </w:p>
    <w:p w14:paraId="7269800B" w14:textId="77777777" w:rsidR="00E425BA" w:rsidRPr="00766FA2" w:rsidRDefault="00E425BA" w:rsidP="00331291">
      <w:pPr>
        <w:tabs>
          <w:tab w:val="left" w:pos="3109"/>
        </w:tabs>
        <w:rPr>
          <w:sz w:val="24"/>
          <w:szCs w:val="24"/>
        </w:rPr>
      </w:pPr>
    </w:p>
    <w:p w14:paraId="546220F4" w14:textId="77777777" w:rsidR="004D154B" w:rsidRPr="00766FA2" w:rsidRDefault="004D154B" w:rsidP="00331291">
      <w:pPr>
        <w:tabs>
          <w:tab w:val="left" w:pos="851"/>
        </w:tabs>
        <w:jc w:val="center"/>
        <w:rPr>
          <w:rFonts w:eastAsia="Verdana"/>
          <w:b/>
          <w:sz w:val="24"/>
          <w:szCs w:val="24"/>
        </w:rPr>
      </w:pPr>
      <w:r w:rsidRPr="00766FA2">
        <w:rPr>
          <w:rFonts w:eastAsia="Verdana"/>
          <w:b/>
          <w:sz w:val="24"/>
          <w:szCs w:val="24"/>
        </w:rPr>
        <w:t>FALLA</w:t>
      </w:r>
    </w:p>
    <w:p w14:paraId="53970D53" w14:textId="77777777" w:rsidR="004D154B" w:rsidRPr="00766FA2" w:rsidRDefault="004D154B" w:rsidP="00331291">
      <w:pPr>
        <w:tabs>
          <w:tab w:val="left" w:pos="851"/>
        </w:tabs>
        <w:rPr>
          <w:rFonts w:eastAsia="Verdana"/>
          <w:b/>
          <w:sz w:val="24"/>
          <w:szCs w:val="24"/>
        </w:rPr>
      </w:pPr>
    </w:p>
    <w:p w14:paraId="64E71D70" w14:textId="77777777" w:rsidR="00C92A30" w:rsidRDefault="004D154B" w:rsidP="00331291">
      <w:pPr>
        <w:tabs>
          <w:tab w:val="left" w:pos="851"/>
        </w:tabs>
        <w:rPr>
          <w:rFonts w:eastAsia="Verdana"/>
          <w:b/>
          <w:sz w:val="24"/>
          <w:szCs w:val="24"/>
        </w:rPr>
      </w:pPr>
      <w:r w:rsidRPr="007E7476">
        <w:rPr>
          <w:rFonts w:eastAsia="Verdana"/>
          <w:b/>
          <w:sz w:val="24"/>
          <w:szCs w:val="24"/>
        </w:rPr>
        <w:t>PRIMERO:</w:t>
      </w:r>
      <w:r w:rsidR="001D5284" w:rsidRPr="007E7476">
        <w:rPr>
          <w:rFonts w:eastAsia="Verdana"/>
          <w:b/>
          <w:sz w:val="24"/>
          <w:szCs w:val="24"/>
        </w:rPr>
        <w:t xml:space="preserve"> </w:t>
      </w:r>
      <w:r w:rsidR="00C92A30" w:rsidRPr="007E7476">
        <w:rPr>
          <w:rFonts w:eastAsia="Verdana"/>
          <w:b/>
          <w:sz w:val="24"/>
          <w:szCs w:val="24"/>
        </w:rPr>
        <w:t xml:space="preserve">DECLARAR IMPROCEDENTE </w:t>
      </w:r>
      <w:r w:rsidR="00C92A30" w:rsidRPr="007E7476">
        <w:rPr>
          <w:rFonts w:eastAsia="Verdana"/>
          <w:sz w:val="24"/>
          <w:szCs w:val="24"/>
        </w:rPr>
        <w:t>la solicitud de amparo presentada por</w:t>
      </w:r>
      <w:r w:rsidR="00B154E3" w:rsidRPr="00B154E3">
        <w:rPr>
          <w:sz w:val="24"/>
          <w:szCs w:val="24"/>
        </w:rPr>
        <w:t xml:space="preserve"> </w:t>
      </w:r>
      <w:r w:rsidR="007F4F8D">
        <w:rPr>
          <w:sz w:val="24"/>
          <w:szCs w:val="24"/>
        </w:rPr>
        <w:t>Reyes Miguel Alvarado Solano</w:t>
      </w:r>
      <w:r w:rsidR="00C92A30">
        <w:rPr>
          <w:sz w:val="24"/>
          <w:szCs w:val="24"/>
        </w:rPr>
        <w:t xml:space="preserve"> en contra del Tribunal Administrativo de Cundinamarca, Sección Segunda, Subsección </w:t>
      </w:r>
      <w:r w:rsidR="007F4F8D">
        <w:rPr>
          <w:sz w:val="24"/>
          <w:szCs w:val="24"/>
        </w:rPr>
        <w:t>F</w:t>
      </w:r>
      <w:r w:rsidR="00C92A30" w:rsidRPr="00766FA2">
        <w:rPr>
          <w:rFonts w:eastAsia="Verdana"/>
          <w:sz w:val="24"/>
          <w:szCs w:val="24"/>
        </w:rPr>
        <w:t>, por los motivos expuestos en las consideraciones de esta providencia</w:t>
      </w:r>
    </w:p>
    <w:p w14:paraId="11614E4C" w14:textId="77777777" w:rsidR="00477E21" w:rsidRPr="00766FA2" w:rsidRDefault="00477E21" w:rsidP="00331291">
      <w:pPr>
        <w:tabs>
          <w:tab w:val="left" w:pos="851"/>
        </w:tabs>
        <w:rPr>
          <w:rFonts w:eastAsia="Verdana"/>
          <w:sz w:val="24"/>
          <w:szCs w:val="24"/>
        </w:rPr>
      </w:pPr>
    </w:p>
    <w:p w14:paraId="5D056FB5" w14:textId="77777777" w:rsidR="004D154B" w:rsidRDefault="000532C4" w:rsidP="00331291">
      <w:pPr>
        <w:tabs>
          <w:tab w:val="left" w:pos="851"/>
        </w:tabs>
        <w:rPr>
          <w:rFonts w:eastAsia="Verdana"/>
          <w:sz w:val="24"/>
          <w:szCs w:val="24"/>
        </w:rPr>
      </w:pPr>
      <w:r>
        <w:rPr>
          <w:rFonts w:eastAsia="Verdana"/>
          <w:b/>
          <w:sz w:val="24"/>
          <w:szCs w:val="24"/>
        </w:rPr>
        <w:t>SEGUNDO</w:t>
      </w:r>
      <w:r w:rsidR="003020C0" w:rsidRPr="00766FA2">
        <w:rPr>
          <w:rFonts w:eastAsia="Verdana"/>
          <w:b/>
          <w:sz w:val="24"/>
          <w:szCs w:val="24"/>
        </w:rPr>
        <w:t>:</w:t>
      </w:r>
      <w:r w:rsidR="003020C0">
        <w:rPr>
          <w:rFonts w:eastAsia="Verdana"/>
          <w:b/>
          <w:sz w:val="24"/>
          <w:szCs w:val="24"/>
        </w:rPr>
        <w:t xml:space="preserve"> </w:t>
      </w:r>
      <w:r w:rsidR="004D154B" w:rsidRPr="00766FA2">
        <w:rPr>
          <w:rFonts w:eastAsia="Verdana"/>
          <w:b/>
          <w:sz w:val="24"/>
          <w:szCs w:val="24"/>
        </w:rPr>
        <w:t>NOTIFICAR</w:t>
      </w:r>
      <w:r w:rsidR="004D154B" w:rsidRPr="00766FA2">
        <w:rPr>
          <w:rFonts w:eastAsia="Verdana"/>
          <w:sz w:val="24"/>
          <w:szCs w:val="24"/>
        </w:rPr>
        <w:t xml:space="preserve"> a las partes e intervinientes en la forma prevista en el artículo 30 del Decreto Ley 2591 de 1991.</w:t>
      </w:r>
    </w:p>
    <w:p w14:paraId="349B5223" w14:textId="77777777" w:rsidR="00043FEC" w:rsidRPr="00766FA2" w:rsidRDefault="00043FEC" w:rsidP="00331291">
      <w:pPr>
        <w:tabs>
          <w:tab w:val="left" w:pos="851"/>
        </w:tabs>
        <w:rPr>
          <w:rFonts w:eastAsia="Verdana"/>
          <w:sz w:val="24"/>
          <w:szCs w:val="24"/>
        </w:rPr>
      </w:pPr>
    </w:p>
    <w:p w14:paraId="45AAEB52" w14:textId="77777777" w:rsidR="002702B3" w:rsidRPr="00766FA2" w:rsidRDefault="002702B3" w:rsidP="00331291">
      <w:pPr>
        <w:rPr>
          <w:rFonts w:eastAsia="Verdana"/>
          <w:sz w:val="24"/>
          <w:szCs w:val="24"/>
        </w:rPr>
      </w:pPr>
      <w:r>
        <w:rPr>
          <w:rFonts w:eastAsia="Verdana"/>
          <w:b/>
          <w:sz w:val="24"/>
          <w:szCs w:val="24"/>
        </w:rPr>
        <w:t xml:space="preserve">TERCERO: </w:t>
      </w:r>
      <w:r w:rsidRPr="00766FA2">
        <w:rPr>
          <w:rFonts w:eastAsia="Verdana"/>
          <w:b/>
          <w:sz w:val="24"/>
          <w:szCs w:val="24"/>
        </w:rPr>
        <w:t>REMITIR</w:t>
      </w:r>
      <w:r w:rsidRPr="00766FA2">
        <w:rPr>
          <w:rFonts w:eastAsia="Verdana"/>
          <w:sz w:val="24"/>
          <w:szCs w:val="24"/>
        </w:rPr>
        <w:t xml:space="preserve"> la presente providencia, si no fuere impugnada, a la Corte Constitucional para su eventual revisión.</w:t>
      </w:r>
    </w:p>
    <w:p w14:paraId="49128420" w14:textId="77777777" w:rsidR="004D154B" w:rsidRPr="00766FA2" w:rsidRDefault="004D154B" w:rsidP="00331291">
      <w:pPr>
        <w:rPr>
          <w:rFonts w:eastAsia="Verdana"/>
          <w:sz w:val="24"/>
          <w:szCs w:val="24"/>
        </w:rPr>
      </w:pPr>
    </w:p>
    <w:p w14:paraId="6663A992" w14:textId="12EFBB17" w:rsidR="004D154B" w:rsidRDefault="00D005FA" w:rsidP="00331291">
      <w:pPr>
        <w:tabs>
          <w:tab w:val="left" w:pos="709"/>
          <w:tab w:val="left" w:pos="9000"/>
        </w:tabs>
        <w:outlineLvl w:val="6"/>
        <w:rPr>
          <w:rFonts w:eastAsia="Verdana"/>
          <w:b/>
          <w:sz w:val="24"/>
          <w:szCs w:val="24"/>
        </w:rPr>
      </w:pPr>
      <w:r w:rsidRPr="00766FA2">
        <w:rPr>
          <w:rFonts w:eastAsia="Verdana"/>
          <w:b/>
          <w:sz w:val="24"/>
          <w:szCs w:val="24"/>
        </w:rPr>
        <w:t>NOTIFÍQUESE Y CÚMPLASE</w:t>
      </w:r>
    </w:p>
    <w:p w14:paraId="11E90F71" w14:textId="77777777" w:rsidR="00877FFD" w:rsidRPr="00766FA2" w:rsidRDefault="00877FFD" w:rsidP="00331291">
      <w:pPr>
        <w:tabs>
          <w:tab w:val="left" w:pos="709"/>
          <w:tab w:val="left" w:pos="9000"/>
        </w:tabs>
        <w:outlineLvl w:val="6"/>
        <w:rPr>
          <w:rFonts w:eastAsia="Verdana"/>
          <w:b/>
          <w:sz w:val="24"/>
          <w:szCs w:val="24"/>
        </w:rPr>
      </w:pPr>
    </w:p>
    <w:p w14:paraId="186D401A" w14:textId="77777777" w:rsidR="00970282" w:rsidRDefault="00970282" w:rsidP="00FD2404">
      <w:pPr>
        <w:tabs>
          <w:tab w:val="left" w:pos="709"/>
          <w:tab w:val="left" w:pos="9000"/>
        </w:tabs>
        <w:outlineLvl w:val="6"/>
        <w:rPr>
          <w:rFonts w:eastAsia="Verdana"/>
          <w:b/>
          <w:sz w:val="24"/>
          <w:szCs w:val="24"/>
        </w:rPr>
      </w:pPr>
    </w:p>
    <w:p w14:paraId="3240D4CD" w14:textId="77777777" w:rsidR="004D154B" w:rsidRPr="00766FA2" w:rsidRDefault="00C368D9" w:rsidP="00331291">
      <w:pPr>
        <w:jc w:val="center"/>
        <w:rPr>
          <w:rFonts w:eastAsia="Verdana"/>
          <w:b/>
          <w:sz w:val="24"/>
          <w:szCs w:val="24"/>
        </w:rPr>
      </w:pPr>
      <w:r>
        <w:rPr>
          <w:rFonts w:eastAsia="Verdana"/>
          <w:b/>
          <w:sz w:val="24"/>
          <w:szCs w:val="24"/>
        </w:rPr>
        <w:t>NICOLÁS YEPES CORRALES</w:t>
      </w:r>
    </w:p>
    <w:p w14:paraId="7C308E84" w14:textId="77777777" w:rsidR="004D154B" w:rsidRPr="00766FA2" w:rsidRDefault="00E65D59" w:rsidP="00331291">
      <w:pPr>
        <w:jc w:val="center"/>
        <w:rPr>
          <w:rFonts w:eastAsia="Verdana"/>
          <w:b/>
          <w:sz w:val="24"/>
          <w:szCs w:val="24"/>
        </w:rPr>
      </w:pPr>
      <w:r>
        <w:rPr>
          <w:rFonts w:eastAsia="Verdana"/>
          <w:b/>
          <w:sz w:val="24"/>
          <w:szCs w:val="24"/>
        </w:rPr>
        <w:t>Presidente de Sala</w:t>
      </w:r>
    </w:p>
    <w:p w14:paraId="6DD85A2F" w14:textId="77777777" w:rsidR="004D154B" w:rsidRPr="00766FA2" w:rsidRDefault="004D154B" w:rsidP="00331291">
      <w:pPr>
        <w:jc w:val="center"/>
        <w:rPr>
          <w:rFonts w:eastAsia="Verdana"/>
          <w:b/>
          <w:sz w:val="24"/>
          <w:szCs w:val="24"/>
        </w:rPr>
      </w:pPr>
    </w:p>
    <w:p w14:paraId="20089D36" w14:textId="77777777" w:rsidR="00ED43C8" w:rsidRDefault="00ED43C8" w:rsidP="00331291">
      <w:pPr>
        <w:jc w:val="center"/>
        <w:rPr>
          <w:rFonts w:eastAsia="Verdana"/>
          <w:b/>
          <w:sz w:val="24"/>
          <w:szCs w:val="24"/>
        </w:rPr>
      </w:pPr>
    </w:p>
    <w:p w14:paraId="0583D5E5" w14:textId="77777777" w:rsidR="00E65D59" w:rsidRPr="00766FA2" w:rsidRDefault="00C368D9" w:rsidP="00331291">
      <w:pPr>
        <w:jc w:val="center"/>
        <w:rPr>
          <w:rFonts w:eastAsia="Verdana"/>
          <w:b/>
          <w:sz w:val="24"/>
          <w:szCs w:val="24"/>
        </w:rPr>
      </w:pPr>
      <w:r>
        <w:rPr>
          <w:rFonts w:eastAsia="Verdana"/>
          <w:b/>
          <w:sz w:val="24"/>
          <w:szCs w:val="24"/>
        </w:rPr>
        <w:t>JAIME ENRIQUE RODRÍGUEZ NAVAS</w:t>
      </w:r>
    </w:p>
    <w:p w14:paraId="2DB16B4A" w14:textId="77777777" w:rsidR="00E65D59" w:rsidRDefault="00E65D59" w:rsidP="00331291">
      <w:pPr>
        <w:jc w:val="center"/>
        <w:rPr>
          <w:rFonts w:eastAsia="Verdana"/>
          <w:b/>
          <w:sz w:val="24"/>
          <w:szCs w:val="24"/>
        </w:rPr>
      </w:pPr>
      <w:r>
        <w:rPr>
          <w:rFonts w:eastAsia="Verdana"/>
          <w:b/>
          <w:sz w:val="24"/>
          <w:szCs w:val="24"/>
        </w:rPr>
        <w:t>Magistrado</w:t>
      </w:r>
    </w:p>
    <w:p w14:paraId="0A6DB919" w14:textId="77777777" w:rsidR="00FA6271" w:rsidRDefault="00FA6271" w:rsidP="00331291">
      <w:pPr>
        <w:jc w:val="center"/>
        <w:rPr>
          <w:rFonts w:eastAsia="Verdana"/>
          <w:b/>
          <w:sz w:val="24"/>
          <w:szCs w:val="24"/>
        </w:rPr>
      </w:pPr>
    </w:p>
    <w:p w14:paraId="2E62A4F0" w14:textId="77777777" w:rsidR="00AC16D7" w:rsidRDefault="00AC16D7" w:rsidP="00331291">
      <w:pPr>
        <w:jc w:val="center"/>
        <w:rPr>
          <w:rFonts w:eastAsia="Verdana"/>
          <w:b/>
          <w:sz w:val="24"/>
          <w:szCs w:val="24"/>
        </w:rPr>
      </w:pPr>
    </w:p>
    <w:p w14:paraId="195E4F26" w14:textId="77777777" w:rsidR="004D154B" w:rsidRPr="00766FA2" w:rsidRDefault="00C368D9" w:rsidP="00331291">
      <w:pPr>
        <w:tabs>
          <w:tab w:val="center" w:pos="4420"/>
          <w:tab w:val="right" w:pos="8840"/>
        </w:tabs>
        <w:jc w:val="center"/>
        <w:rPr>
          <w:rFonts w:eastAsia="Verdana"/>
          <w:b/>
          <w:sz w:val="24"/>
          <w:szCs w:val="24"/>
        </w:rPr>
      </w:pPr>
      <w:r>
        <w:rPr>
          <w:rFonts w:eastAsia="Verdana"/>
          <w:b/>
          <w:sz w:val="24"/>
          <w:szCs w:val="24"/>
        </w:rPr>
        <w:t>GUILLERMO SÁNCHEZ LUQUE</w:t>
      </w:r>
    </w:p>
    <w:p w14:paraId="520F34FA" w14:textId="77777777" w:rsidR="004D154B" w:rsidRDefault="004D154B" w:rsidP="00331291">
      <w:pPr>
        <w:jc w:val="center"/>
        <w:rPr>
          <w:rFonts w:eastAsia="Verdana"/>
          <w:b/>
          <w:sz w:val="24"/>
          <w:szCs w:val="24"/>
        </w:rPr>
      </w:pPr>
      <w:r w:rsidRPr="00AC16D7">
        <w:rPr>
          <w:rFonts w:eastAsia="Verdana"/>
          <w:b/>
          <w:sz w:val="24"/>
          <w:szCs w:val="24"/>
        </w:rPr>
        <w:t>Magistrado</w:t>
      </w:r>
    </w:p>
    <w:p w14:paraId="2C70424C" w14:textId="77777777" w:rsidR="00743E0D" w:rsidRDefault="00743E0D" w:rsidP="00331291">
      <w:pPr>
        <w:jc w:val="center"/>
        <w:rPr>
          <w:rFonts w:eastAsia="Verdana"/>
          <w:b/>
          <w:sz w:val="24"/>
          <w:szCs w:val="24"/>
        </w:rPr>
      </w:pPr>
      <w:r w:rsidRPr="00743E0D">
        <w:rPr>
          <w:rFonts w:eastAsia="Verdana"/>
          <w:b/>
          <w:sz w:val="24"/>
          <w:szCs w:val="24"/>
        </w:rPr>
        <w:t>Aclaración de voto Cfr. Rad. 11001-03-15-000-2019-00022-00</w:t>
      </w:r>
    </w:p>
    <w:p w14:paraId="69AC3187" w14:textId="77777777" w:rsidR="00996C3F" w:rsidRDefault="00996C3F" w:rsidP="00331291">
      <w:pPr>
        <w:jc w:val="center"/>
        <w:rPr>
          <w:rFonts w:eastAsia="Verdana"/>
          <w:b/>
          <w:sz w:val="24"/>
          <w:szCs w:val="24"/>
        </w:rPr>
      </w:pPr>
    </w:p>
    <w:p w14:paraId="0DF4F2AB" w14:textId="35020A5D" w:rsidR="00996C3F" w:rsidRPr="00481F33" w:rsidRDefault="00996C3F" w:rsidP="00481F33">
      <w:pPr>
        <w:rPr>
          <w:rFonts w:eastAsia="Verdana"/>
          <w:bCs/>
        </w:rPr>
      </w:pPr>
      <w:r w:rsidRPr="00481F33">
        <w:rPr>
          <w:rFonts w:eastAsia="Verdana"/>
          <w:bCs/>
        </w:rPr>
        <w:t>D</w:t>
      </w:r>
      <w:bookmarkStart w:id="2" w:name="_GoBack"/>
      <w:bookmarkEnd w:id="2"/>
      <w:r w:rsidRPr="00481F33">
        <w:rPr>
          <w:rFonts w:eastAsia="Verdana"/>
          <w:bCs/>
        </w:rPr>
        <w:t>SR</w:t>
      </w:r>
    </w:p>
    <w:sectPr w:rsidR="00996C3F" w:rsidRPr="00481F33" w:rsidSect="00E553FD">
      <w:headerReference w:type="default" r:id="rId11"/>
      <w:footerReference w:type="default" r:id="rId12"/>
      <w:headerReference w:type="first" r:id="rId13"/>
      <w:footerReference w:type="first" r:id="rId14"/>
      <w:pgSz w:w="12242" w:h="18722" w:code="119"/>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DC7D6" w14:textId="77777777" w:rsidR="003757D0" w:rsidRDefault="003757D0" w:rsidP="00117091">
      <w:r>
        <w:separator/>
      </w:r>
    </w:p>
  </w:endnote>
  <w:endnote w:type="continuationSeparator" w:id="0">
    <w:p w14:paraId="50D22C77" w14:textId="77777777" w:rsidR="003757D0" w:rsidRDefault="003757D0"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487668" w14:paraId="5A5BA2AE" w14:textId="77777777" w:rsidTr="00B6429B">
      <w:trPr>
        <w:jc w:val="right"/>
      </w:trPr>
      <w:tc>
        <w:tcPr>
          <w:tcW w:w="4795" w:type="dxa"/>
          <w:vAlign w:val="center"/>
        </w:tcPr>
        <w:p w14:paraId="1EF34655" w14:textId="77777777"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14:paraId="75DDFB93" w14:textId="77777777"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6009284B" w14:textId="77777777" w:rsidR="00487668" w:rsidRPr="00B6429B" w:rsidRDefault="00487668" w:rsidP="00B6429B">
          <w:pPr>
            <w:pStyle w:val="Piedepgina"/>
            <w:jc w:val="center"/>
          </w:pPr>
          <w:r w:rsidRPr="00B6429B">
            <w:fldChar w:fldCharType="begin"/>
          </w:r>
          <w:r>
            <w:instrText>PAGE</w:instrText>
          </w:r>
          <w:r w:rsidRPr="00B6429B">
            <w:instrText xml:space="preserve">   \* MERGEFORMAT</w:instrText>
          </w:r>
          <w:r w:rsidRPr="00B6429B">
            <w:fldChar w:fldCharType="separate"/>
          </w:r>
          <w:r w:rsidR="003D16B2" w:rsidRPr="003D16B2">
            <w:rPr>
              <w:noProof/>
              <w:lang w:val="es-ES"/>
            </w:rPr>
            <w:t>2</w:t>
          </w:r>
          <w:r w:rsidRPr="00B6429B">
            <w:fldChar w:fldCharType="end"/>
          </w:r>
        </w:p>
      </w:tc>
    </w:tr>
  </w:tbl>
  <w:p w14:paraId="087CDA76" w14:textId="77777777" w:rsidR="00487668" w:rsidRPr="008C0DBE" w:rsidRDefault="00487668"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487668" w14:paraId="7E075317" w14:textId="77777777" w:rsidTr="00B6429B">
      <w:trPr>
        <w:jc w:val="right"/>
      </w:trPr>
      <w:tc>
        <w:tcPr>
          <w:tcW w:w="4795" w:type="dxa"/>
          <w:vAlign w:val="center"/>
        </w:tcPr>
        <w:p w14:paraId="1537F1B3" w14:textId="77777777"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14:paraId="1E402CE8" w14:textId="77777777"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1F0781B2" w14:textId="77777777" w:rsidR="00487668" w:rsidRPr="00B6429B" w:rsidRDefault="00487668">
          <w:pPr>
            <w:pStyle w:val="Piedepgina"/>
            <w:jc w:val="center"/>
          </w:pPr>
          <w:r w:rsidRPr="00B6429B">
            <w:fldChar w:fldCharType="begin"/>
          </w:r>
          <w:r>
            <w:instrText>PAGE</w:instrText>
          </w:r>
          <w:r w:rsidRPr="00B6429B">
            <w:instrText xml:space="preserve">   \* MERGEFORMAT</w:instrText>
          </w:r>
          <w:r w:rsidRPr="00B6429B">
            <w:fldChar w:fldCharType="separate"/>
          </w:r>
          <w:r w:rsidR="003D16B2" w:rsidRPr="003D16B2">
            <w:rPr>
              <w:noProof/>
              <w:lang w:val="es-ES"/>
            </w:rPr>
            <w:t>1</w:t>
          </w:r>
          <w:r w:rsidRPr="00B6429B">
            <w:fldChar w:fldCharType="end"/>
          </w:r>
        </w:p>
      </w:tc>
    </w:tr>
  </w:tbl>
  <w:p w14:paraId="7A0B99DB" w14:textId="77777777" w:rsidR="00487668" w:rsidRDefault="00487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9066A" w14:textId="77777777" w:rsidR="003757D0" w:rsidRDefault="003757D0" w:rsidP="00117091">
      <w:r>
        <w:separator/>
      </w:r>
    </w:p>
  </w:footnote>
  <w:footnote w:type="continuationSeparator" w:id="0">
    <w:p w14:paraId="251C46EB" w14:textId="77777777" w:rsidR="003757D0" w:rsidRDefault="003757D0" w:rsidP="00117091">
      <w:r>
        <w:continuationSeparator/>
      </w:r>
    </w:p>
  </w:footnote>
  <w:footnote w:id="1">
    <w:p w14:paraId="0F809DE5" w14:textId="77777777" w:rsidR="00743E0D" w:rsidRDefault="00743E0D" w:rsidP="00743E0D">
      <w:pPr>
        <w:pStyle w:val="Textonotapie"/>
      </w:pPr>
      <w:r>
        <w:rPr>
          <w:rStyle w:val="Refdenotaalpie"/>
        </w:rPr>
        <w:footnoteRef/>
      </w:r>
      <w:r>
        <w:t xml:space="preserve"> Folios 10 y 11 del archivo electrónico ubicado en el índice 2 del expediente digital del aplicativo SAMAI, identificado con certificado:</w:t>
      </w:r>
      <w:r w:rsidRPr="00BC2385">
        <w:rPr>
          <w:rFonts w:eastAsia="Times New Roman"/>
          <w:sz w:val="24"/>
          <w:szCs w:val="24"/>
        </w:rPr>
        <w:t xml:space="preserve"> </w:t>
      </w:r>
      <w:r w:rsidRPr="00BC2385">
        <w:t>DE669C171029ECBF BF333F5209CACB21 C39ABE3DF110A485 B19C24ADABF15966</w:t>
      </w:r>
      <w:r>
        <w:t>.</w:t>
      </w:r>
    </w:p>
  </w:footnote>
  <w:footnote w:id="2">
    <w:p w14:paraId="543603C7" w14:textId="77777777" w:rsidR="004C5699" w:rsidRDefault="004C5699">
      <w:pPr>
        <w:pStyle w:val="Textonotapie"/>
      </w:pPr>
      <w:r>
        <w:rPr>
          <w:rStyle w:val="Refdenotaalpie"/>
        </w:rPr>
        <w:footnoteRef/>
      </w:r>
      <w:r>
        <w:t xml:space="preserve"> Archivo electrónico del expediente digital de tutela, ubicado en el índice 13 del aplicativo SAMAI identificado con certificado </w:t>
      </w:r>
      <w:r w:rsidRPr="005D542C">
        <w:t>CCEC8F13DAE2AEC8 11416D634DCE8188 8131F0F95117D5D7 823C1123B39F93DC</w:t>
      </w:r>
      <w:r>
        <w:t>. Ver también archivo electrónico identificado con certificado:</w:t>
      </w:r>
      <w:r w:rsidRPr="005D542C">
        <w:t xml:space="preserve"> 90D0E4D5B978E7FF 930C2F25C4DD4F90 E73A418A1374264A 16D3D1748FC170F8</w:t>
      </w:r>
      <w:r>
        <w:t>.</w:t>
      </w:r>
    </w:p>
  </w:footnote>
  <w:footnote w:id="3">
    <w:p w14:paraId="373BBBDD" w14:textId="77777777" w:rsidR="004C5699" w:rsidRDefault="004C5699">
      <w:pPr>
        <w:pStyle w:val="Textonotapie"/>
      </w:pPr>
      <w:r>
        <w:rPr>
          <w:rStyle w:val="Refdenotaalpie"/>
        </w:rPr>
        <w:footnoteRef/>
      </w:r>
      <w:r>
        <w:t xml:space="preserve"> Folios 14 a 16 del archivo electrónico del expediente digital de tutela, ubicado en el índice 13 del aplicativo SAMAI identificado con certificado </w:t>
      </w:r>
      <w:r w:rsidRPr="005D542C">
        <w:t>CCEC8F13DAE2AEC8 11416D634DCE8188 8131F0F95117D5D7 823C1123B39F93DC</w:t>
      </w:r>
      <w:r>
        <w:t>.</w:t>
      </w:r>
    </w:p>
  </w:footnote>
  <w:footnote w:id="4">
    <w:p w14:paraId="09A2ED92" w14:textId="77777777" w:rsidR="005D542C" w:rsidRDefault="005D542C">
      <w:pPr>
        <w:pStyle w:val="Textonotapie"/>
      </w:pPr>
      <w:r>
        <w:rPr>
          <w:rStyle w:val="Refdenotaalpie"/>
        </w:rPr>
        <w:footnoteRef/>
      </w:r>
      <w:r>
        <w:t xml:space="preserve"> Folios 6 a 7 del archivo electrónico del expediente digital de tutela, ubicado en el índice 13 del aplicativo SAMAI identificado con certificado </w:t>
      </w:r>
      <w:r w:rsidRPr="005D542C">
        <w:t>CCEC8F13DAE2AEC8 11416D634DCE8188 8131F0F95117D5D7 823C1123B39F93DC</w:t>
      </w:r>
      <w:r>
        <w:t>.</w:t>
      </w:r>
    </w:p>
  </w:footnote>
  <w:footnote w:id="5">
    <w:p w14:paraId="4A80BD2D" w14:textId="77777777" w:rsidR="004C5699" w:rsidRDefault="004C5699">
      <w:pPr>
        <w:pStyle w:val="Textonotapie"/>
      </w:pPr>
      <w:r>
        <w:rPr>
          <w:rStyle w:val="Refdenotaalpie"/>
        </w:rPr>
        <w:footnoteRef/>
      </w:r>
      <w:r>
        <w:t xml:space="preserve"> Folios 10 a 11 del archivo electrónico del expediente digital de tutela, ubicado en el índice 13 del aplicativo SAMAI identificado con certificado </w:t>
      </w:r>
      <w:r w:rsidRPr="005D542C">
        <w:t>CCEC8F13DAE2AEC8 11416D634DCE8188 8131F0F95117D5D7 823C1123B39F93DC</w:t>
      </w:r>
      <w:r>
        <w:t>.</w:t>
      </w:r>
    </w:p>
  </w:footnote>
  <w:footnote w:id="6">
    <w:p w14:paraId="47E63798" w14:textId="77777777" w:rsidR="004C5699" w:rsidRDefault="004C5699">
      <w:pPr>
        <w:pStyle w:val="Textonotapie"/>
      </w:pPr>
      <w:r>
        <w:rPr>
          <w:rStyle w:val="Refdenotaalpie"/>
        </w:rPr>
        <w:footnoteRef/>
      </w:r>
      <w:r>
        <w:t xml:space="preserve"> Folios 20 a 21 del archivo electrónico del expediente digital de tutela, ubicado en el índice 13 del aplicativo SAMAI identificado con certificado </w:t>
      </w:r>
      <w:r w:rsidRPr="005D542C">
        <w:t>CCEC8F13DAE2AEC8 11416D634DCE8188 8131F0F95117D5D7 823C1123B39F93DC</w:t>
      </w:r>
      <w:r>
        <w:t>.</w:t>
      </w:r>
    </w:p>
  </w:footnote>
  <w:footnote w:id="7">
    <w:p w14:paraId="65EFB0A9" w14:textId="77777777" w:rsidR="004C5699" w:rsidRDefault="004C5699">
      <w:pPr>
        <w:pStyle w:val="Textonotapie"/>
      </w:pPr>
      <w:r>
        <w:rPr>
          <w:rStyle w:val="Refdenotaalpie"/>
        </w:rPr>
        <w:footnoteRef/>
      </w:r>
      <w:r>
        <w:t xml:space="preserve"> Folios 24 a 27 del archivo electrónico del expediente digital de tutela, ubicado en el índice 13 del aplicativo SAMAI identificado con certificado </w:t>
      </w:r>
      <w:r w:rsidRPr="005D542C">
        <w:t>CCEC8F13DAE2AEC8 11416D634DCE8188 8131F0F95117D5D7 823C1123B39F93DC</w:t>
      </w:r>
      <w:r>
        <w:t>.</w:t>
      </w:r>
    </w:p>
  </w:footnote>
  <w:footnote w:id="8">
    <w:p w14:paraId="3759398F" w14:textId="77777777" w:rsidR="00946125" w:rsidRDefault="00946125">
      <w:pPr>
        <w:pStyle w:val="Textonotapie"/>
      </w:pPr>
      <w:r>
        <w:rPr>
          <w:rStyle w:val="Refdenotaalpie"/>
        </w:rPr>
        <w:footnoteRef/>
      </w:r>
      <w:r>
        <w:t xml:space="preserve"> Folio 28 del archivo electrónico del expediente digital de tutela, ubicado en el índice 13 del aplicativo SAMAI identificado con certificado </w:t>
      </w:r>
      <w:r w:rsidRPr="005D542C">
        <w:t>CCEC8F13DAE2AEC8 11416D634DCE8188 8131F0F95117D5D7 823C1123B39F93DC</w:t>
      </w:r>
      <w:r>
        <w:t>.</w:t>
      </w:r>
    </w:p>
  </w:footnote>
  <w:footnote w:id="9">
    <w:p w14:paraId="7501E795" w14:textId="77777777" w:rsidR="00946125" w:rsidRDefault="00946125">
      <w:pPr>
        <w:pStyle w:val="Textonotapie"/>
      </w:pPr>
      <w:r>
        <w:rPr>
          <w:rStyle w:val="Refdenotaalpie"/>
        </w:rPr>
        <w:footnoteRef/>
      </w:r>
      <w:r>
        <w:t xml:space="preserve"> Folios </w:t>
      </w:r>
      <w:r w:rsidR="006873EC">
        <w:t xml:space="preserve">30 a 35 del archivo electrónico del expediente digital de tutela, ubicado en el índice 13 del aplicativo SAMAI identificado con certificado </w:t>
      </w:r>
      <w:r w:rsidR="006873EC" w:rsidRPr="005D542C">
        <w:t>CCEC8F13DAE2AEC8 11416D634DCE8188 8131F0F95117D5D7 823C1123B39F93DC</w:t>
      </w:r>
      <w:r w:rsidR="006873EC">
        <w:t>.</w:t>
      </w:r>
    </w:p>
  </w:footnote>
  <w:footnote w:id="10">
    <w:p w14:paraId="651E27A7" w14:textId="77777777" w:rsidR="00C30A4D" w:rsidRDefault="00C30A4D">
      <w:pPr>
        <w:pStyle w:val="Textonotapie"/>
      </w:pPr>
      <w:r>
        <w:rPr>
          <w:rStyle w:val="Refdenotaalpie"/>
        </w:rPr>
        <w:footnoteRef/>
      </w:r>
      <w:r>
        <w:t xml:space="preserve"> Folios 36 a 38 del archivo electrónico del expediente digital de tutela, ubicado en el índice 13 del aplicativo SAMAI identificado con certificado </w:t>
      </w:r>
      <w:r w:rsidRPr="005D542C">
        <w:t>CCEC8F13DAE2AEC8 11416D634DCE8188 8131F0F95117D5D7 823C1123B39F93DC</w:t>
      </w:r>
      <w:r>
        <w:t>.</w:t>
      </w:r>
    </w:p>
  </w:footnote>
  <w:footnote w:id="11">
    <w:p w14:paraId="50E41A7E" w14:textId="77777777" w:rsidR="00C30A4D" w:rsidRDefault="00C30A4D">
      <w:pPr>
        <w:pStyle w:val="Textonotapie"/>
      </w:pPr>
      <w:r>
        <w:rPr>
          <w:rStyle w:val="Refdenotaalpie"/>
        </w:rPr>
        <w:footnoteRef/>
      </w:r>
      <w:r>
        <w:t xml:space="preserve"> Folios 40 a 43 del archivo electrónico del expediente digital de tutela, ubicado en el índice 13 del aplicativo SAMAI identificado con certificado </w:t>
      </w:r>
      <w:r w:rsidRPr="005D542C">
        <w:t>CCEC8F13DAE2AEC8 11416D634DCE8188 8131F0F95117D5D7 823C1123B39F93DC</w:t>
      </w:r>
      <w:r>
        <w:t>.</w:t>
      </w:r>
    </w:p>
  </w:footnote>
  <w:footnote w:id="12">
    <w:p w14:paraId="59D93208" w14:textId="77777777" w:rsidR="00C30A4D" w:rsidRDefault="00C30A4D">
      <w:pPr>
        <w:pStyle w:val="Textonotapie"/>
      </w:pPr>
      <w:r>
        <w:rPr>
          <w:rStyle w:val="Refdenotaalpie"/>
        </w:rPr>
        <w:footnoteRef/>
      </w:r>
      <w:r>
        <w:t xml:space="preserve"> Folios 44 a </w:t>
      </w:r>
      <w:r w:rsidR="00C66577">
        <w:t xml:space="preserve">46 del archivo electrónico del expediente digital de tutela, ubicado en el índice 13 del aplicativo SAMAI identificado con certificado </w:t>
      </w:r>
      <w:r w:rsidR="00C66577" w:rsidRPr="005D542C">
        <w:t>CCEC8F13DAE2AEC8 11416D634DCE8188 8131F0F95117D5D7 823C1123B39F93DC</w:t>
      </w:r>
      <w:r w:rsidR="00C66577">
        <w:t>.</w:t>
      </w:r>
    </w:p>
  </w:footnote>
  <w:footnote w:id="13">
    <w:p w14:paraId="7C614A13" w14:textId="77777777" w:rsidR="00ED088C" w:rsidRDefault="00ED088C">
      <w:pPr>
        <w:pStyle w:val="Textonotapie"/>
      </w:pPr>
      <w:r>
        <w:rPr>
          <w:rStyle w:val="Refdenotaalpie"/>
        </w:rPr>
        <w:footnoteRef/>
      </w:r>
      <w:r w:rsidR="00A8216A">
        <w:t xml:space="preserve"> Folios 144 a 159 del archivo electrónico del expediente digital de tutela, ubicado en el índice 13 del aplicativo SAMAI identificado con certificado </w:t>
      </w:r>
      <w:r w:rsidR="00A8216A" w:rsidRPr="005D542C">
        <w:t>CCEC8F13DAE2AEC8 11416D634DCE8188 8131F0F95117D5D7 823C1123B39F93DC</w:t>
      </w:r>
      <w:r w:rsidR="00A8216A">
        <w:t>.</w:t>
      </w:r>
    </w:p>
  </w:footnote>
  <w:footnote w:id="14">
    <w:p w14:paraId="3B63ADB1" w14:textId="77777777" w:rsidR="00192781" w:rsidRDefault="00192781">
      <w:pPr>
        <w:pStyle w:val="Textonotapie"/>
      </w:pPr>
      <w:r>
        <w:rPr>
          <w:rStyle w:val="Refdenotaalpie"/>
        </w:rPr>
        <w:footnoteRef/>
      </w:r>
      <w:r>
        <w:t xml:space="preserve"> “Artículo 78: Prima de Academia Superior de Policía. Los Oficiales de la Policía Nacional, con título de Oficial Diplomado en Academia Superior de Policía, tendrán derecho a una prima mensual equivalente al veinte por ciento (20%) del sueldo básico.”.</w:t>
      </w:r>
    </w:p>
  </w:footnote>
  <w:footnote w:id="15">
    <w:p w14:paraId="7A0B43A0" w14:textId="77777777" w:rsidR="00E41290" w:rsidRDefault="00E41290">
      <w:pPr>
        <w:pStyle w:val="Textonotapie"/>
      </w:pPr>
      <w:r>
        <w:rPr>
          <w:rStyle w:val="Refdenotaalpie"/>
        </w:rPr>
        <w:footnoteRef/>
      </w:r>
      <w:r>
        <w:t xml:space="preserve"> Folios 174 a 178 del archivo electrónico del expediente digital de tutela, ubicado en el índice 13 del aplicativo SAMAI identificado con certificado </w:t>
      </w:r>
      <w:r w:rsidRPr="005D542C">
        <w:t>CCEC8F13DAE2AEC8 11416D634DCE8188 8131F0F95117D5D7 823C1123B39F93DC</w:t>
      </w:r>
      <w:r>
        <w:t>.</w:t>
      </w:r>
    </w:p>
  </w:footnote>
  <w:footnote w:id="16">
    <w:p w14:paraId="1D2E59A6" w14:textId="77777777" w:rsidR="0014259F" w:rsidRDefault="0014259F">
      <w:pPr>
        <w:pStyle w:val="Textonotapie"/>
      </w:pPr>
      <w:r>
        <w:rPr>
          <w:rStyle w:val="Refdenotaalpie"/>
        </w:rPr>
        <w:footnoteRef/>
      </w:r>
      <w:r>
        <w:t xml:space="preserve"> Folios 23 a 38 del archivo electrónico del expediente digital de tutela, ubicado en el índice 13 del aplicativo SAMAI identificado con certificado </w:t>
      </w:r>
      <w:r w:rsidR="00942860" w:rsidRPr="00942860">
        <w:t>561E5C10551F64D1 82FACEDBA745175F A021CE0C6834F80D 375A93D3B94ABA53</w:t>
      </w:r>
      <w:r w:rsidR="00942860">
        <w:t>.</w:t>
      </w:r>
    </w:p>
  </w:footnote>
  <w:footnote w:id="17">
    <w:p w14:paraId="1631E6FC" w14:textId="77777777" w:rsidR="00617453" w:rsidRDefault="00617453" w:rsidP="00FC7871">
      <w:pPr>
        <w:pStyle w:val="Textonotapie"/>
      </w:pPr>
      <w:r>
        <w:rPr>
          <w:rStyle w:val="Refdenotaalpie"/>
        </w:rPr>
        <w:footnoteRef/>
      </w:r>
      <w:r>
        <w:t xml:space="preserve"> </w:t>
      </w:r>
      <w:bookmarkStart w:id="0" w:name="128"/>
      <w:r>
        <w:t>“</w:t>
      </w:r>
      <w:r w:rsidRPr="00DE1A3B">
        <w:t xml:space="preserve">Artículo </w:t>
      </w:r>
      <w:bookmarkEnd w:id="0"/>
      <w:r w:rsidR="00FC7871">
        <w:t>13. En desarrollo de la presente Ley el Gobierno Nacional establecerá una escala gradual porcentual para nivelar la remuneración del personal activo y retirado de la fuerza pública de conformidad con los principios establecidos en el artículo 2</w:t>
      </w:r>
      <w:r w:rsidRPr="00617453">
        <w:t>.</w:t>
      </w:r>
      <w:r>
        <w:t>”.</w:t>
      </w:r>
    </w:p>
  </w:footnote>
  <w:footnote w:id="18">
    <w:p w14:paraId="1377156F" w14:textId="77777777" w:rsidR="00EA1CBD" w:rsidRDefault="00EA1CBD">
      <w:pPr>
        <w:pStyle w:val="Textonotapie"/>
      </w:pPr>
      <w:r>
        <w:rPr>
          <w:rStyle w:val="Refdenotaalpie"/>
        </w:rPr>
        <w:footnoteRef/>
      </w:r>
      <w:r>
        <w:t xml:space="preserve"> Consejo de Estado, sentencia de tutela del 6 de julio de 2017, expediente con radicado número 11001-03-15-000-2017-01420-00.</w:t>
      </w:r>
    </w:p>
  </w:footnote>
  <w:footnote w:id="19">
    <w:p w14:paraId="5A7E0C87" w14:textId="77777777" w:rsidR="00EA1CBD" w:rsidRDefault="00EA1CBD">
      <w:pPr>
        <w:pStyle w:val="Textonotapie"/>
      </w:pPr>
      <w:r>
        <w:rPr>
          <w:rStyle w:val="Refdenotaalpie"/>
        </w:rPr>
        <w:footnoteRef/>
      </w:r>
      <w:r>
        <w:t xml:space="preserve"> Consejo de Estado, sentencia del 25 de octubre de 2018, expediente con radicado número 11001-03-15-000-2018-02843-00.</w:t>
      </w:r>
    </w:p>
  </w:footnote>
  <w:footnote w:id="20">
    <w:p w14:paraId="30B382A4" w14:textId="77777777" w:rsidR="00EA1CBD" w:rsidRDefault="00EA1CBD">
      <w:pPr>
        <w:pStyle w:val="Textonotapie"/>
      </w:pPr>
      <w:r>
        <w:rPr>
          <w:rStyle w:val="Refdenotaalpie"/>
        </w:rPr>
        <w:footnoteRef/>
      </w:r>
      <w:r>
        <w:t xml:space="preserve"> Consejo de Estado, sentencia del 28 de octubre de 2021, expediente con radicado número 52001-23-33-000-2015-00060-01. </w:t>
      </w:r>
    </w:p>
  </w:footnote>
  <w:footnote w:id="21">
    <w:p w14:paraId="71A7A11F" w14:textId="77777777" w:rsidR="00475DBD" w:rsidRPr="00475DBD" w:rsidRDefault="00475DBD" w:rsidP="00C417A6">
      <w:pPr>
        <w:pStyle w:val="Textonotapie"/>
        <w:rPr>
          <w:lang w:val="es-MX"/>
        </w:rPr>
      </w:pPr>
      <w:r>
        <w:rPr>
          <w:rStyle w:val="Refdenotaalpie"/>
        </w:rPr>
        <w:footnoteRef/>
      </w:r>
      <w:r>
        <w:t xml:space="preserve"> Folio</w:t>
      </w:r>
      <w:r w:rsidR="00F1524D">
        <w:t xml:space="preserve"> </w:t>
      </w:r>
      <w:r w:rsidR="007A72C1">
        <w:t>1</w:t>
      </w:r>
      <w:r w:rsidR="005E5CD3" w:rsidRPr="005E5CD3">
        <w:t xml:space="preserve"> </w:t>
      </w:r>
      <w:r w:rsidR="005E5CD3">
        <w:t xml:space="preserve">del archivo electrónico que contiene el escrito de tuta y sus anexos, </w:t>
      </w:r>
      <w:r w:rsidR="00911F09">
        <w:t xml:space="preserve">ubicado en el índice 2 del expediente digital del aplicativo SAMAI, </w:t>
      </w:r>
      <w:r w:rsidR="005E5CD3">
        <w:t xml:space="preserve">identificado con certificado: </w:t>
      </w:r>
      <w:r w:rsidR="007A72C1" w:rsidRPr="007A72C1">
        <w:t>DE669C171029ECBF BF333F5209CACB21 C39ABE3DF110A485 B19C24ADABF15966</w:t>
      </w:r>
      <w:r w:rsidR="007A72C1">
        <w:t>.</w:t>
      </w:r>
    </w:p>
  </w:footnote>
  <w:footnote w:id="22">
    <w:p w14:paraId="46DD1068" w14:textId="77777777" w:rsidR="00EB37E2" w:rsidRDefault="00EB37E2" w:rsidP="00C417A6">
      <w:pPr>
        <w:pStyle w:val="Textonotapie"/>
      </w:pPr>
      <w:r>
        <w:rPr>
          <w:rStyle w:val="Refdenotaalpie"/>
        </w:rPr>
        <w:footnoteRef/>
      </w:r>
      <w:r>
        <w:t xml:space="preserve"> </w:t>
      </w:r>
      <w:r w:rsidRPr="00EB37E2">
        <w:t>Esta es una trascripción literal. Los errores, erratas, mayúsculas y énfasis forman parte del texto original.</w:t>
      </w:r>
    </w:p>
  </w:footnote>
  <w:footnote w:id="23">
    <w:p w14:paraId="29CB4039" w14:textId="77777777" w:rsidR="000B0B7C" w:rsidRDefault="000B0B7C">
      <w:pPr>
        <w:pStyle w:val="Textonotapie"/>
      </w:pPr>
      <w:r>
        <w:rPr>
          <w:rStyle w:val="Refdenotaalpie"/>
        </w:rPr>
        <w:footnoteRef/>
      </w:r>
      <w:r>
        <w:t xml:space="preserve"> El accionante citó varios apartes de la sentencia para sustentar su inconformidad.</w:t>
      </w:r>
    </w:p>
  </w:footnote>
  <w:footnote w:id="24">
    <w:p w14:paraId="756B8765" w14:textId="77777777" w:rsidR="000B0B7C" w:rsidRDefault="000B0B7C">
      <w:pPr>
        <w:pStyle w:val="Textonotapie"/>
      </w:pPr>
      <w:r>
        <w:rPr>
          <w:rStyle w:val="Refdenotaalpie"/>
        </w:rPr>
        <w:footnoteRef/>
      </w:r>
      <w:r>
        <w:t xml:space="preserve"> </w:t>
      </w:r>
      <w:r w:rsidRPr="000B0B7C">
        <w:t>Esta es una trascripción literal. Los errores, erratas, mayúsculas y énfasis forman parte del texto original.</w:t>
      </w:r>
    </w:p>
  </w:footnote>
  <w:footnote w:id="25">
    <w:p w14:paraId="393632D7" w14:textId="77777777" w:rsidR="006B0386" w:rsidRDefault="006B0386">
      <w:pPr>
        <w:pStyle w:val="Textonotapie"/>
      </w:pPr>
      <w:r>
        <w:rPr>
          <w:rStyle w:val="Refdenotaalpie"/>
        </w:rPr>
        <w:footnoteRef/>
      </w:r>
      <w:r>
        <w:t xml:space="preserve"> </w:t>
      </w:r>
      <w:r w:rsidR="000B0B7C" w:rsidRPr="000B0B7C">
        <w:t>Esta es una trascripción literal. Los errores, erratas, mayúsculas y énfasis forman parte del texto original.</w:t>
      </w:r>
    </w:p>
  </w:footnote>
  <w:footnote w:id="26">
    <w:p w14:paraId="6F493366" w14:textId="77777777" w:rsidR="000B0B7C" w:rsidRPr="000B0B7C" w:rsidRDefault="000B0B7C">
      <w:pPr>
        <w:pStyle w:val="Textonotapie"/>
        <w:rPr>
          <w:lang w:val="es-MX"/>
        </w:rPr>
      </w:pPr>
      <w:r>
        <w:rPr>
          <w:rStyle w:val="Refdenotaalpie"/>
        </w:rPr>
        <w:footnoteRef/>
      </w:r>
      <w:r>
        <w:t xml:space="preserve"> Folio 8 del archivo electrónico que contiene el escrito de tuta y sus anexos, ubicado en el índice 2 del expediente digital del aplicativo SAMAI, identificado con certificado: </w:t>
      </w:r>
      <w:r w:rsidRPr="007A72C1">
        <w:t>DE669C171029ECBF BF333F5209CACB21 C39ABE3DF110A485 B19C24ADABF15966</w:t>
      </w:r>
      <w:r>
        <w:t xml:space="preserve">. </w:t>
      </w:r>
      <w:r w:rsidRPr="000B0B7C">
        <w:t>Esta es una trascripción literal. Los errores, erratas, mayúsculas y énfasis forman parte del texto original.</w:t>
      </w:r>
    </w:p>
  </w:footnote>
  <w:footnote w:id="27">
    <w:p w14:paraId="6645D354" w14:textId="77777777" w:rsidR="00020B48" w:rsidRDefault="00020B48" w:rsidP="00C417A6">
      <w:pPr>
        <w:pStyle w:val="Textonotapie"/>
      </w:pPr>
      <w:r>
        <w:rPr>
          <w:rStyle w:val="Refdenotaalpie"/>
        </w:rPr>
        <w:footnoteRef/>
      </w:r>
      <w:r>
        <w:t xml:space="preserve"> Archivo electrónico, identificado con certificado:</w:t>
      </w:r>
      <w:r w:rsidR="00B3135A" w:rsidRPr="00B3135A">
        <w:t xml:space="preserve"> B4DC619CA9DA8A34 9BE21182AD76978A 2B8D9D74D8B9C4FE CF8D14C28C601CD0</w:t>
      </w:r>
      <w:r w:rsidR="001E4567">
        <w:t>.</w:t>
      </w:r>
    </w:p>
  </w:footnote>
  <w:footnote w:id="28">
    <w:p w14:paraId="1FC92059" w14:textId="77777777" w:rsidR="003D06C8" w:rsidRDefault="003D06C8">
      <w:pPr>
        <w:pStyle w:val="Textonotapie"/>
      </w:pPr>
      <w:r>
        <w:rPr>
          <w:rStyle w:val="Refdenotaalpie"/>
        </w:rPr>
        <w:footnoteRef/>
      </w:r>
      <w:r>
        <w:t xml:space="preserve"> Archivos electrónicos ubicados en el índice 13 del expediente digital de tutela del aplicativo SAMAI, identificados con certificados </w:t>
      </w:r>
      <w:r w:rsidRPr="003D06C8">
        <w:t>90D0E4D5B978E7FF 930C2F25C4DD4F90 E73A418A1374264A 16D3D1748FC170F8</w:t>
      </w:r>
      <w:r>
        <w:t xml:space="preserve">, </w:t>
      </w:r>
      <w:r w:rsidRPr="003D06C8">
        <w:t>CCEC8F13DAE2AEC8 11416D634DCE8188 8131F0F95117D5D7 823C1123B39F93DC</w:t>
      </w:r>
      <w:r>
        <w:t xml:space="preserve">, </w:t>
      </w:r>
      <w:r w:rsidRPr="003D06C8">
        <w:t>561E5C10551F64D1 82FACEDBA745175F A021CE0C6834F80D 375A93D3B94ABA53</w:t>
      </w:r>
      <w:r w:rsidR="00894DC2">
        <w:t xml:space="preserve">, </w:t>
      </w:r>
      <w:r w:rsidR="00894DC2" w:rsidRPr="00894DC2">
        <w:t>16DEBAE7FED91801 7F8E5E419C539E7F 0FCC3D0596F8D5E6 39770B6CEF156EB8</w:t>
      </w:r>
      <w:r w:rsidR="00894DC2">
        <w:t xml:space="preserve">, </w:t>
      </w:r>
      <w:r w:rsidR="00894DC2" w:rsidRPr="00894DC2">
        <w:t>E1E3678DE4774770 9A92EF6120D23197 1539E3260A389FE3 2864C4A9D0BD28F0</w:t>
      </w:r>
      <w:r w:rsidR="00894DC2">
        <w:t xml:space="preserve">, </w:t>
      </w:r>
      <w:r w:rsidR="00894DC2" w:rsidRPr="00894DC2">
        <w:t>CCEC8F13DAE2AEC8 11416D634DCE8188 8131F0F95117D5D7 823C1123B39F93DC</w:t>
      </w:r>
      <w:r w:rsidR="00894DC2">
        <w:t xml:space="preserve"> y </w:t>
      </w:r>
      <w:r w:rsidR="00894DC2" w:rsidRPr="00894DC2">
        <w:t>61A32D8385CF0F66 0FC2F76A4606C812 E70732118BC772C8 11BC62088174D8</w:t>
      </w:r>
      <w:r w:rsidR="00894DC2">
        <w:t>.</w:t>
      </w:r>
    </w:p>
  </w:footnote>
  <w:footnote w:id="29">
    <w:p w14:paraId="01EAC037" w14:textId="77777777" w:rsidR="00480491" w:rsidRDefault="00480491">
      <w:pPr>
        <w:pStyle w:val="Textonotapie"/>
      </w:pPr>
      <w:r>
        <w:rPr>
          <w:rStyle w:val="Refdenotaalpie"/>
        </w:rPr>
        <w:footnoteRef/>
      </w:r>
      <w:r>
        <w:t xml:space="preserve"> </w:t>
      </w:r>
      <w:r>
        <w:rPr>
          <w:lang w:val="es-ES"/>
        </w:rPr>
        <w:t>Archivo</w:t>
      </w:r>
      <w:r w:rsidR="00894DC2">
        <w:rPr>
          <w:lang w:val="es-ES"/>
        </w:rPr>
        <w:t>s</w:t>
      </w:r>
      <w:r>
        <w:rPr>
          <w:lang w:val="es-ES"/>
        </w:rPr>
        <w:t xml:space="preserve"> electrónico</w:t>
      </w:r>
      <w:r w:rsidR="00894DC2">
        <w:rPr>
          <w:lang w:val="es-ES"/>
        </w:rPr>
        <w:t>s ubicados en el índice 16 del expediente digital de tutela del aplicativo SAMAI,</w:t>
      </w:r>
      <w:r>
        <w:rPr>
          <w:lang w:val="es-ES"/>
        </w:rPr>
        <w:t xml:space="preserve"> identificado</w:t>
      </w:r>
      <w:r w:rsidR="00894DC2">
        <w:rPr>
          <w:lang w:val="es-ES"/>
        </w:rPr>
        <w:t>s</w:t>
      </w:r>
      <w:r>
        <w:rPr>
          <w:lang w:val="es-ES"/>
        </w:rPr>
        <w:t xml:space="preserve"> con certificado</w:t>
      </w:r>
      <w:r w:rsidR="00894DC2">
        <w:rPr>
          <w:lang w:val="es-ES"/>
        </w:rPr>
        <w:t>s</w:t>
      </w:r>
      <w:r>
        <w:rPr>
          <w:lang w:val="es-ES"/>
        </w:rPr>
        <w:t>:</w:t>
      </w:r>
      <w:r w:rsidR="00894DC2">
        <w:rPr>
          <w:lang w:val="es-ES"/>
        </w:rPr>
        <w:t xml:space="preserve"> </w:t>
      </w:r>
      <w:r w:rsidR="00894DC2" w:rsidRPr="00894DC2">
        <w:rPr>
          <w:lang w:val="es-ES"/>
        </w:rPr>
        <w:t>55BCBF3B8EE11133 FF94F09AAEE2EA64 CCE467BE5FA10B64 5EA7758623A91B02</w:t>
      </w:r>
      <w:r w:rsidR="00894DC2">
        <w:rPr>
          <w:lang w:val="es-ES"/>
        </w:rPr>
        <w:t xml:space="preserve"> y </w:t>
      </w:r>
      <w:r w:rsidR="00894DC2" w:rsidRPr="00894DC2">
        <w:rPr>
          <w:lang w:val="es-ES"/>
        </w:rPr>
        <w:t>09194E901EF81AC6 71FB1659A3A8F109 E101233082B1BD67 CEF4456D1DD58F62</w:t>
      </w:r>
      <w:r>
        <w:t>.</w:t>
      </w:r>
    </w:p>
  </w:footnote>
  <w:footnote w:id="30">
    <w:p w14:paraId="25DCB534" w14:textId="77777777" w:rsidR="00782EAD" w:rsidRDefault="00782EAD">
      <w:pPr>
        <w:pStyle w:val="Textonotapie"/>
      </w:pPr>
      <w:r>
        <w:rPr>
          <w:rStyle w:val="Refdenotaalpie"/>
        </w:rPr>
        <w:footnoteRef/>
      </w:r>
      <w:r>
        <w:t xml:space="preserve"> Archivo</w:t>
      </w:r>
      <w:r w:rsidR="00B775D0">
        <w:t>s</w:t>
      </w:r>
      <w:r>
        <w:t xml:space="preserve"> electrónico</w:t>
      </w:r>
      <w:r w:rsidR="00B775D0">
        <w:t xml:space="preserve">s ubicados en el índice 15 del expediente digital de tutela del aplicativo SAMAI, </w:t>
      </w:r>
      <w:r>
        <w:t>identificado</w:t>
      </w:r>
      <w:r w:rsidR="00B775D0">
        <w:t>s</w:t>
      </w:r>
      <w:r>
        <w:t xml:space="preserve"> con certificado</w:t>
      </w:r>
      <w:r w:rsidR="00B775D0">
        <w:t>s</w:t>
      </w:r>
      <w:r>
        <w:t>:</w:t>
      </w:r>
      <w:r w:rsidR="00B775D0">
        <w:t xml:space="preserve"> </w:t>
      </w:r>
      <w:r w:rsidR="00B775D0" w:rsidRPr="00B775D0">
        <w:t>929F31A0802D980D DC0BDC27A985955D E6D79A455DE7987A 5B573B2D44DE7BE7</w:t>
      </w:r>
      <w:r w:rsidR="00B775D0">
        <w:t xml:space="preserve">, </w:t>
      </w:r>
      <w:r w:rsidR="00B775D0" w:rsidRPr="00B775D0">
        <w:t>C1A2D6C4C6C19456 6467D7CFF8E73696 A260773D7B04BE2D B4C45F42591F4233</w:t>
      </w:r>
      <w:r w:rsidR="00B775D0">
        <w:t xml:space="preserve">, </w:t>
      </w:r>
      <w:r w:rsidR="00B775D0" w:rsidRPr="00B775D0">
        <w:t>3EDA5C737B3CB6EA C264473960114EFD 55E164BFBA93DCC9 3B7BD3A775C60C01</w:t>
      </w:r>
      <w:r w:rsidR="00B775D0">
        <w:t xml:space="preserve">, </w:t>
      </w:r>
      <w:r w:rsidR="00B775D0" w:rsidRPr="00B775D0">
        <w:t>D450A3C69C6410A3 931F318657C8F7EA 65A8BA9AE637938D 34B2830D13910D31</w:t>
      </w:r>
      <w:r w:rsidR="00B775D0">
        <w:t xml:space="preserve">, </w:t>
      </w:r>
      <w:r w:rsidR="00B775D0" w:rsidRPr="00B775D0">
        <w:t>EDF0C53BC03E7DF1 9E3FE2EFCF7AC3DE 347F7057B9E54EDF 62AED657A35B57C7</w:t>
      </w:r>
      <w:r w:rsidR="00B775D0">
        <w:t xml:space="preserve"> y </w:t>
      </w:r>
      <w:r w:rsidR="00B775D0" w:rsidRPr="00B775D0">
        <w:t>8B621ED24C84A80E EE53F7080C529A1A 93294C7A7393D22C 0280E507E98655A8</w:t>
      </w:r>
      <w:r>
        <w:t>.</w:t>
      </w:r>
    </w:p>
  </w:footnote>
  <w:footnote w:id="31">
    <w:p w14:paraId="1F2060B7" w14:textId="77777777" w:rsidR="0064087B" w:rsidRDefault="0064087B">
      <w:pPr>
        <w:pStyle w:val="Textonotapie"/>
      </w:pPr>
      <w:r>
        <w:rPr>
          <w:rStyle w:val="Refdenotaalpie"/>
        </w:rPr>
        <w:footnoteRef/>
      </w:r>
      <w:r>
        <w:t xml:space="preserve"> Folio 2 del archivo electrónico ubicado en el índice 16 del expediente digital de tutela del aplicativo SAMAI, identificado con certificado </w:t>
      </w:r>
      <w:r w:rsidRPr="0064087B">
        <w:t>09194E901EF81AC6 71FB1659A3A8F109 E101233082B1BD67 CEF4456D1DD58F62</w:t>
      </w:r>
      <w:r>
        <w:t xml:space="preserve">. </w:t>
      </w:r>
      <w:r w:rsidRPr="0064087B">
        <w:t>Esta es una trascripción literal. Los errores, erratas, mayúsculas y énfasis forman parte del texto original.</w:t>
      </w:r>
    </w:p>
  </w:footnote>
  <w:footnote w:id="32">
    <w:p w14:paraId="382B0846" w14:textId="77777777" w:rsidR="00C13434" w:rsidRDefault="00C13434">
      <w:pPr>
        <w:pStyle w:val="Textonotapie"/>
      </w:pPr>
      <w:r>
        <w:rPr>
          <w:rStyle w:val="Refdenotaalpie"/>
        </w:rPr>
        <w:footnoteRef/>
      </w:r>
      <w:r>
        <w:t xml:space="preserve"> Archivos electrónicos ubicados en el índice 15 del expediente digital de tutela del aplicativo SAMAI, identificados con certificados </w:t>
      </w:r>
      <w:r w:rsidRPr="00C13434">
        <w:t>929F31A0802D980D DC0BDC27A985955D E6D79A455DE7987A 5B573B2D44DE7BE7</w:t>
      </w:r>
      <w:r>
        <w:t xml:space="preserve"> y </w:t>
      </w:r>
      <w:r w:rsidRPr="00C13434">
        <w:t>C1A2D6C4C6C19456 6467D7CFF8E73696 A260773D7B04BE2D B4C45F42591F4233</w:t>
      </w:r>
      <w:r>
        <w:t>.</w:t>
      </w:r>
    </w:p>
  </w:footnote>
  <w:footnote w:id="33">
    <w:p w14:paraId="65E93D52" w14:textId="77777777" w:rsidR="00487668" w:rsidRPr="00584E1D" w:rsidRDefault="00487668" w:rsidP="00AD2F7F">
      <w:r w:rsidRPr="003B55CC">
        <w:rPr>
          <w:rStyle w:val="Refdenotaalpie"/>
          <w:sz w:val="20"/>
          <w:szCs w:val="20"/>
        </w:rPr>
        <w:footnoteRef/>
      </w:r>
      <w:r w:rsidRPr="003B55CC">
        <w:rPr>
          <w:sz w:val="20"/>
          <w:szCs w:val="20"/>
        </w:rPr>
        <w:t xml:space="preserve"> </w:t>
      </w:r>
      <w:r w:rsidRPr="003B55CC">
        <w:rPr>
          <w:rFonts w:eastAsia="Times New Roman"/>
          <w:bCs/>
          <w:sz w:val="20"/>
          <w:szCs w:val="20"/>
          <w:lang w:eastAsia="es-ES"/>
        </w:rPr>
        <w:t>Antes que todo es necesario (i) verificar la legitimación en la causa como una exigencia preliminar en cualquier acción de amparo, para, posteriormente, pasar a constatar los demás requisitos generales de procedibilidad, en los siguientes términos: (</w:t>
      </w:r>
      <w:proofErr w:type="spellStart"/>
      <w:r w:rsidRPr="003B55CC">
        <w:rPr>
          <w:rFonts w:eastAsia="Times New Roman"/>
          <w:bCs/>
          <w:sz w:val="20"/>
          <w:szCs w:val="20"/>
          <w:lang w:eastAsia="es-ES"/>
        </w:rPr>
        <w:t>ii</w:t>
      </w:r>
      <w:proofErr w:type="spellEnd"/>
      <w:r w:rsidRPr="003B55CC">
        <w:rPr>
          <w:rFonts w:eastAsia="Times New Roman"/>
          <w:bCs/>
          <w:sz w:val="20"/>
          <w:szCs w:val="20"/>
          <w:lang w:eastAsia="es-ES"/>
        </w:rPr>
        <w:t>) que en la solicitud de tutela se expresen de manera clara los hechos y los fundamentos de la afectación de derechos que se imputa a la decisión judicial; (</w:t>
      </w:r>
      <w:proofErr w:type="spellStart"/>
      <w:r w:rsidRPr="003B55CC">
        <w:rPr>
          <w:rFonts w:eastAsia="Times New Roman"/>
          <w:bCs/>
          <w:sz w:val="20"/>
          <w:szCs w:val="20"/>
          <w:lang w:eastAsia="es-ES"/>
        </w:rPr>
        <w:t>iii</w:t>
      </w:r>
      <w:proofErr w:type="spellEnd"/>
      <w:r w:rsidRPr="003B55CC">
        <w:rPr>
          <w:rFonts w:eastAsia="Times New Roman"/>
          <w:bCs/>
          <w:sz w:val="20"/>
          <w:szCs w:val="20"/>
          <w:lang w:eastAsia="es-ES"/>
        </w:rPr>
        <w:t>) que la cuestión que se discute tenga relevancia constitucional; (</w:t>
      </w:r>
      <w:proofErr w:type="spellStart"/>
      <w:r w:rsidRPr="003B55CC">
        <w:rPr>
          <w:rFonts w:eastAsia="Times New Roman"/>
          <w:bCs/>
          <w:sz w:val="20"/>
          <w:szCs w:val="20"/>
          <w:lang w:eastAsia="es-ES"/>
        </w:rPr>
        <w:t>iv</w:t>
      </w:r>
      <w:proofErr w:type="spellEnd"/>
      <w:r w:rsidRPr="003B55CC">
        <w:rPr>
          <w:rFonts w:eastAsia="Times New Roman"/>
          <w:bCs/>
          <w:sz w:val="20"/>
          <w:szCs w:val="20"/>
          <w:lang w:eastAsia="es-ES"/>
        </w:rPr>
        <w:t>)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w:t>
      </w:r>
      <w:proofErr w:type="spellStart"/>
      <w:r w:rsidRPr="003B55CC">
        <w:rPr>
          <w:rFonts w:eastAsia="Times New Roman"/>
          <w:bCs/>
          <w:sz w:val="20"/>
          <w:szCs w:val="20"/>
          <w:lang w:eastAsia="es-ES"/>
        </w:rPr>
        <w:t>vii</w:t>
      </w:r>
      <w:proofErr w:type="spellEnd"/>
      <w:r w:rsidRPr="003B55CC">
        <w:rPr>
          <w:rFonts w:eastAsia="Times New Roman"/>
          <w:bCs/>
          <w:sz w:val="20"/>
          <w:szCs w:val="20"/>
          <w:lang w:eastAsia="es-ES"/>
        </w:rPr>
        <w:t>) no procede elevar una solicitud de amparo contra decisiones proferidas dentro de procesos de tutela.</w:t>
      </w:r>
    </w:p>
  </w:footnote>
  <w:footnote w:id="34">
    <w:p w14:paraId="3FE24F1A" w14:textId="77777777" w:rsidR="0085402B" w:rsidRDefault="0085402B" w:rsidP="0085402B">
      <w:pPr>
        <w:pStyle w:val="Textonotapie"/>
      </w:pPr>
      <w:r>
        <w:rPr>
          <w:vertAlign w:val="superscript"/>
        </w:rPr>
        <w:footnoteRef/>
      </w:r>
      <w:r>
        <w:t xml:space="preserve"> </w:t>
      </w:r>
      <w:r>
        <w:rPr>
          <w:shd w:val="clear" w:color="auto" w:fill="FFFFFF"/>
        </w:rPr>
        <w:t>Corte Constitucional, s</w:t>
      </w:r>
      <w:r w:rsidRPr="00E0596F">
        <w:rPr>
          <w:shd w:val="clear" w:color="auto" w:fill="FFFFFF"/>
        </w:rPr>
        <w:t>entencias T-013 de 1992 y T-134 de 1994.</w:t>
      </w:r>
    </w:p>
  </w:footnote>
  <w:footnote w:id="35">
    <w:p w14:paraId="680169E4" w14:textId="77777777" w:rsidR="0085402B" w:rsidRDefault="0085402B" w:rsidP="0085402B">
      <w:pPr>
        <w:pStyle w:val="Textonotapie"/>
      </w:pPr>
      <w:r>
        <w:rPr>
          <w:vertAlign w:val="superscript"/>
        </w:rPr>
        <w:footnoteRef/>
      </w:r>
      <w:r>
        <w:t xml:space="preserve"> </w:t>
      </w:r>
      <w:r>
        <w:rPr>
          <w:lang w:val="es-MX"/>
        </w:rPr>
        <w:t>Constitución Política de 1991, artículo 86.</w:t>
      </w:r>
    </w:p>
  </w:footnote>
  <w:footnote w:id="36">
    <w:p w14:paraId="19483AAE" w14:textId="77777777" w:rsidR="0085402B" w:rsidRDefault="0085402B" w:rsidP="0085402B">
      <w:pPr>
        <w:pStyle w:val="Textonotapie"/>
      </w:pPr>
      <w:r>
        <w:rPr>
          <w:vertAlign w:val="superscript"/>
        </w:rPr>
        <w:footnoteRef/>
      </w:r>
      <w:r>
        <w:t xml:space="preserve"> </w:t>
      </w:r>
      <w:r w:rsidRPr="00E0596F">
        <w:t>Corte Constitucional. Sentencias T-414 de 1992, T-436 de 2009 y SU-712 de 2013. </w:t>
      </w:r>
    </w:p>
  </w:footnote>
  <w:footnote w:id="37">
    <w:p w14:paraId="02FFD971" w14:textId="77777777" w:rsidR="0085402B" w:rsidRDefault="0085402B" w:rsidP="0085402B">
      <w:pPr>
        <w:pStyle w:val="Textonotapie"/>
      </w:pPr>
      <w:r>
        <w:rPr>
          <w:vertAlign w:val="superscript"/>
        </w:rPr>
        <w:footnoteRef/>
      </w:r>
      <w:r>
        <w:t xml:space="preserve"> </w:t>
      </w:r>
      <w:r w:rsidRPr="00E0596F">
        <w:t xml:space="preserve">Esto mismo fue considerado por esta Sala en el siguiente fallo: Consejo de Estado, Sala de lo Contencioso Administrativo, Sección Tercera, Subsección C. Sentencia del 16 de marzo de 2020, Expediente </w:t>
      </w:r>
      <w:r>
        <w:t>con número de radicado</w:t>
      </w:r>
      <w:r w:rsidRPr="00E0596F">
        <w:t xml:space="preserve"> 2019-4563-01. </w:t>
      </w:r>
    </w:p>
  </w:footnote>
  <w:footnote w:id="38">
    <w:p w14:paraId="2C456851" w14:textId="77777777" w:rsidR="00D72829" w:rsidRDefault="00D72829" w:rsidP="00D72829">
      <w:pPr>
        <w:pStyle w:val="Textonotapie"/>
        <w:rPr>
          <w:i/>
          <w:iCs/>
        </w:rPr>
      </w:pPr>
      <w:r>
        <w:rPr>
          <w:rStyle w:val="Refdenotaalpie"/>
        </w:rPr>
        <w:footnoteRef/>
      </w:r>
      <w:r>
        <w:t xml:space="preserve"> </w:t>
      </w:r>
      <w:r>
        <w:rPr>
          <w:i/>
          <w:iCs/>
        </w:rPr>
        <w:t>Ibid.</w:t>
      </w:r>
    </w:p>
  </w:footnote>
  <w:footnote w:id="39">
    <w:p w14:paraId="7DBFC1F8" w14:textId="77777777" w:rsidR="00297C7E" w:rsidRDefault="00297C7E" w:rsidP="00297C7E">
      <w:pPr>
        <w:pStyle w:val="Textonotapie"/>
      </w:pPr>
      <w:r w:rsidRPr="001B2D39">
        <w:rPr>
          <w:vertAlign w:val="superscript"/>
        </w:rPr>
        <w:footnoteRef/>
      </w:r>
      <w:r w:rsidRPr="001B2D39">
        <w:t xml:space="preserve"> Consejo de Estado, Sala Cuarta Especial de Decisión, sentencia del 7 de febrero de 2017, rad</w:t>
      </w:r>
      <w:r>
        <w:t xml:space="preserve">icado número </w:t>
      </w:r>
      <w:r w:rsidRPr="001B2D39">
        <w:t>11001-03-15-000-2013-02042-00(REV)</w:t>
      </w:r>
      <w:r>
        <w:t>.</w:t>
      </w:r>
    </w:p>
  </w:footnote>
  <w:footnote w:id="40">
    <w:p w14:paraId="40813012" w14:textId="77777777" w:rsidR="00637A5F" w:rsidRDefault="00637A5F">
      <w:pPr>
        <w:pStyle w:val="Textonotapie"/>
      </w:pPr>
      <w:r>
        <w:rPr>
          <w:rStyle w:val="Refdenotaalpie"/>
        </w:rPr>
        <w:footnoteRef/>
      </w:r>
      <w:r>
        <w:t xml:space="preserve"> </w:t>
      </w:r>
      <w:r w:rsidRPr="00637A5F">
        <w:t>Corte Constitucional, Sentencia T-649 de 2011</w:t>
      </w:r>
      <w:r>
        <w:t>. Ver también</w:t>
      </w:r>
      <w:r w:rsidRPr="00637A5F">
        <w:t xml:space="preserve"> las sentencias T-553 de 2012, T-553 de 2012; T-713 de 2013, SU-263 de 2015</w:t>
      </w:r>
      <w:r>
        <w:t xml:space="preserve"> </w:t>
      </w:r>
      <w:r w:rsidRPr="00637A5F">
        <w:t>y SU-210 de 2017.</w:t>
      </w:r>
      <w:r w:rsidR="000A2BAA" w:rsidRPr="000A2BAA">
        <w:rPr>
          <w:lang w:val="es-MX"/>
        </w:rPr>
        <w:t xml:space="preserve"> </w:t>
      </w:r>
      <w:r w:rsidR="000A2BAA">
        <w:rPr>
          <w:lang w:val="es-MX"/>
        </w:rPr>
        <w:t>Ver también Corte Constitucional, sentencia SU-026 de 2021.</w:t>
      </w:r>
    </w:p>
  </w:footnote>
  <w:footnote w:id="41">
    <w:p w14:paraId="371DE873" w14:textId="77777777" w:rsidR="00637A5F" w:rsidRDefault="00637A5F" w:rsidP="00637A5F">
      <w:pPr>
        <w:pStyle w:val="Textonotapie"/>
      </w:pPr>
      <w:r w:rsidRPr="00557100">
        <w:rPr>
          <w:vertAlign w:val="superscript"/>
        </w:rPr>
        <w:footnoteRef/>
      </w:r>
      <w:r w:rsidRPr="00557100">
        <w:t xml:space="preserve"> </w:t>
      </w:r>
      <w:r w:rsidR="00875B2A" w:rsidRPr="00875B2A">
        <w:t>Esta es una trascripción literal. Los errores, erratas, mayúsculas y énfasis forman parte del texto original.</w:t>
      </w:r>
    </w:p>
  </w:footnote>
  <w:footnote w:id="42">
    <w:p w14:paraId="116B4950" w14:textId="77777777" w:rsidR="00875B2A" w:rsidRDefault="00875B2A" w:rsidP="00875B2A">
      <w:pPr>
        <w:pStyle w:val="Textonotapie"/>
      </w:pPr>
      <w:r w:rsidRPr="001608A7">
        <w:rPr>
          <w:vertAlign w:val="superscript"/>
        </w:rPr>
        <w:footnoteRef/>
      </w:r>
      <w:r w:rsidRPr="001608A7">
        <w:t xml:space="preserve"> </w:t>
      </w:r>
      <w:r w:rsidRPr="001608A7">
        <w:rPr>
          <w:lang w:val="es-MX"/>
        </w:rPr>
        <w:t>Corte Constitucional, Sentencia SU-263 de 2015</w:t>
      </w:r>
      <w:r>
        <w:rPr>
          <w:lang w:val="es-MX"/>
        </w:rPr>
        <w:t>.</w:t>
      </w:r>
      <w:r w:rsidR="00A8539F">
        <w:rPr>
          <w:lang w:val="es-MX"/>
        </w:rPr>
        <w:t xml:space="preserve"> Ver también Corte Constitucional, sentencia SU-026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7BA85" w14:textId="56459763" w:rsidR="00487668" w:rsidRPr="008F2BC8" w:rsidRDefault="00877FFD">
    <w:pPr>
      <w:pStyle w:val="Encabezado"/>
    </w:pPr>
    <w:r w:rsidRPr="008F2BC8">
      <w:rPr>
        <w:noProof/>
      </w:rPr>
      <w:drawing>
        <wp:anchor distT="0" distB="0" distL="114300" distR="114300" simplePos="0" relativeHeight="251658240" behindDoc="0" locked="0" layoutInCell="1" allowOverlap="1" wp14:anchorId="08B67DF8" wp14:editId="128A149D">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B57E9" w14:textId="77777777" w:rsidR="00487668" w:rsidRPr="008F2BC8" w:rsidRDefault="00487668">
    <w:pPr>
      <w:pStyle w:val="Encabezado"/>
    </w:pPr>
  </w:p>
  <w:p w14:paraId="3F884615" w14:textId="51CDB0A7" w:rsidR="00487668" w:rsidRPr="008F2BC8" w:rsidRDefault="00877FFD">
    <w:pPr>
      <w:pStyle w:val="Encabezado"/>
    </w:pPr>
    <w:r w:rsidRPr="008F2BC8">
      <w:rPr>
        <w:noProof/>
        <w:sz w:val="20"/>
        <w:szCs w:val="20"/>
        <w:lang w:eastAsia="es-ES"/>
      </w:rPr>
      <mc:AlternateContent>
        <mc:Choice Requires="wps">
          <w:drawing>
            <wp:anchor distT="0" distB="0" distL="114300" distR="114300" simplePos="0" relativeHeight="251657216" behindDoc="0" locked="0" layoutInCell="1" allowOverlap="1" wp14:anchorId="5C0B4D03" wp14:editId="0BA19B41">
              <wp:simplePos x="0" y="0"/>
              <wp:positionH relativeFrom="column">
                <wp:posOffset>1379855</wp:posOffset>
              </wp:positionH>
              <wp:positionV relativeFrom="paragraph">
                <wp:posOffset>60325</wp:posOffset>
              </wp:positionV>
              <wp:extent cx="5400040" cy="0"/>
              <wp:effectExtent l="17780" t="12700" r="11430" b="158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55EB265" id="_x0000_t32" coordsize="21600,21600" o:spt="32" o:oned="t" path="m,l21600,21600e" filled="f">
              <v:path arrowok="t" fillok="f" o:connecttype="none"/>
              <o:lock v:ext="edit" shapetype="t"/>
            </v:shapetype>
            <v:shape id="AutoShape 3" o:spid="_x0000_s1026" type="#_x0000_t32" style="position:absolute;margin-left:108.65pt;margin-top:4.75pt;width:42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69F5758F" w14:textId="77777777" w:rsidR="00487668" w:rsidRPr="0037377A" w:rsidRDefault="00487668" w:rsidP="0054069D">
    <w:pPr>
      <w:pStyle w:val="Encabezado"/>
      <w:jc w:val="right"/>
      <w:rPr>
        <w:i/>
        <w:iCs/>
        <w:sz w:val="20"/>
        <w:szCs w:val="20"/>
      </w:rPr>
    </w:pPr>
    <w:r w:rsidRPr="0037377A">
      <w:rPr>
        <w:i/>
        <w:iCs/>
        <w:sz w:val="20"/>
        <w:szCs w:val="20"/>
      </w:rPr>
      <w:t>Radicado: 11001-03-15-000-202</w:t>
    </w:r>
    <w:r w:rsidR="00C357E2" w:rsidRPr="0037377A">
      <w:rPr>
        <w:i/>
        <w:iCs/>
        <w:sz w:val="20"/>
        <w:szCs w:val="20"/>
      </w:rPr>
      <w:t>2</w:t>
    </w:r>
    <w:r w:rsidRPr="0037377A">
      <w:rPr>
        <w:i/>
        <w:iCs/>
        <w:sz w:val="20"/>
        <w:szCs w:val="20"/>
      </w:rPr>
      <w:t>-</w:t>
    </w:r>
    <w:r w:rsidR="00C357E2" w:rsidRPr="0037377A">
      <w:rPr>
        <w:i/>
        <w:iCs/>
        <w:sz w:val="20"/>
        <w:szCs w:val="20"/>
      </w:rPr>
      <w:t>0</w:t>
    </w:r>
    <w:r w:rsidR="003C6863">
      <w:rPr>
        <w:i/>
        <w:iCs/>
        <w:sz w:val="20"/>
        <w:szCs w:val="20"/>
      </w:rPr>
      <w:t>5349</w:t>
    </w:r>
    <w:r w:rsidRPr="0037377A">
      <w:rPr>
        <w:i/>
        <w:iCs/>
        <w:sz w:val="20"/>
        <w:szCs w:val="20"/>
      </w:rPr>
      <w:t>-</w:t>
    </w:r>
    <w:r w:rsidR="00C357E2" w:rsidRPr="0037377A">
      <w:rPr>
        <w:i/>
        <w:iCs/>
        <w:sz w:val="20"/>
        <w:szCs w:val="20"/>
      </w:rPr>
      <w:t>00</w:t>
    </w:r>
  </w:p>
  <w:p w14:paraId="08ABE3C4" w14:textId="77777777" w:rsidR="00487668" w:rsidRDefault="00487668" w:rsidP="008F2BC8">
    <w:pPr>
      <w:pStyle w:val="Encabezado"/>
      <w:tabs>
        <w:tab w:val="clear" w:pos="4252"/>
        <w:tab w:val="center" w:pos="3828"/>
      </w:tabs>
      <w:jc w:val="right"/>
      <w:rPr>
        <w:i/>
        <w:iCs/>
        <w:sz w:val="20"/>
        <w:szCs w:val="20"/>
      </w:rPr>
    </w:pPr>
    <w:r w:rsidRPr="0037377A">
      <w:rPr>
        <w:i/>
        <w:iCs/>
        <w:sz w:val="20"/>
        <w:szCs w:val="20"/>
      </w:rPr>
      <w:tab/>
    </w:r>
    <w:r w:rsidRPr="0037377A">
      <w:rPr>
        <w:i/>
        <w:iCs/>
        <w:sz w:val="20"/>
        <w:szCs w:val="20"/>
      </w:rPr>
      <w:tab/>
      <w:t xml:space="preserve">Accionante: </w:t>
    </w:r>
    <w:r w:rsidR="003C6863">
      <w:rPr>
        <w:i/>
        <w:iCs/>
        <w:sz w:val="20"/>
        <w:szCs w:val="20"/>
      </w:rPr>
      <w:t>Reyes Miguel Alvarado Solano</w:t>
    </w:r>
  </w:p>
  <w:p w14:paraId="454D907F" w14:textId="77777777" w:rsidR="00B84199" w:rsidRDefault="00B84199" w:rsidP="008F2BC8">
    <w:pPr>
      <w:pStyle w:val="Encabezado"/>
      <w:tabs>
        <w:tab w:val="clear" w:pos="4252"/>
        <w:tab w:val="center" w:pos="3828"/>
      </w:tabs>
      <w:jc w:val="right"/>
      <w:rPr>
        <w:i/>
        <w:iCs/>
        <w:sz w:val="20"/>
        <w:szCs w:val="20"/>
      </w:rPr>
    </w:pPr>
  </w:p>
  <w:p w14:paraId="4BAD3E1D" w14:textId="77777777" w:rsidR="00B84199" w:rsidRDefault="00B84199" w:rsidP="008F2BC8">
    <w:pPr>
      <w:pStyle w:val="Encabezado"/>
      <w:tabs>
        <w:tab w:val="clear" w:pos="4252"/>
        <w:tab w:val="center" w:pos="3828"/>
      </w:tabs>
      <w:jc w:val="right"/>
      <w:rPr>
        <w:i/>
        <w:iCs/>
        <w:sz w:val="20"/>
        <w:szCs w:val="20"/>
      </w:rPr>
    </w:pPr>
  </w:p>
  <w:p w14:paraId="5034C08A" w14:textId="77777777" w:rsidR="00B84199" w:rsidRPr="0037377A" w:rsidRDefault="00B84199" w:rsidP="008F2BC8">
    <w:pPr>
      <w:pStyle w:val="Encabezado"/>
      <w:tabs>
        <w:tab w:val="clear" w:pos="4252"/>
        <w:tab w:val="center" w:pos="3828"/>
      </w:tabs>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90C3" w14:textId="50EB4FAA" w:rsidR="004608E4" w:rsidRDefault="004608E4" w:rsidP="00C357E2">
    <w:pPr>
      <w:pStyle w:val="Encabezado"/>
    </w:pPr>
  </w:p>
  <w:p w14:paraId="7E0B6B5E" w14:textId="408D8AB8" w:rsidR="00C357E2" w:rsidRPr="008F2BC8" w:rsidRDefault="00C357E2" w:rsidP="00C357E2">
    <w:pPr>
      <w:pStyle w:val="Encabezado"/>
    </w:pPr>
  </w:p>
  <w:p w14:paraId="1722EFF5" w14:textId="110F8FF6" w:rsidR="00C357E2" w:rsidRPr="008F2BC8" w:rsidRDefault="00E553FD" w:rsidP="00C357E2">
    <w:pPr>
      <w:pStyle w:val="Encabezado"/>
    </w:pPr>
    <w:r>
      <w:rPr>
        <w:noProof/>
      </w:rPr>
      <w:drawing>
        <wp:anchor distT="0" distB="0" distL="114300" distR="114300" simplePos="0" relativeHeight="251656192" behindDoc="0" locked="0" layoutInCell="1" allowOverlap="1" wp14:anchorId="38965597" wp14:editId="0C62B88D">
          <wp:simplePos x="0" y="0"/>
          <wp:positionH relativeFrom="column">
            <wp:posOffset>-474980</wp:posOffset>
          </wp:positionH>
          <wp:positionV relativeFrom="paragraph">
            <wp:posOffset>127000</wp:posOffset>
          </wp:positionV>
          <wp:extent cx="1238250" cy="115252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FFD" w:rsidRPr="008F2BC8">
      <w:rPr>
        <w:noProof/>
        <w:sz w:val="20"/>
        <w:szCs w:val="20"/>
        <w:lang w:eastAsia="es-ES"/>
      </w:rPr>
      <mc:AlternateContent>
        <mc:Choice Requires="wps">
          <w:drawing>
            <wp:anchor distT="0" distB="0" distL="114300" distR="114300" simplePos="0" relativeHeight="251659264" behindDoc="0" locked="0" layoutInCell="1" allowOverlap="1" wp14:anchorId="7A5E521A" wp14:editId="7E73D8EE">
              <wp:simplePos x="0" y="0"/>
              <wp:positionH relativeFrom="column">
                <wp:posOffset>1379855</wp:posOffset>
              </wp:positionH>
              <wp:positionV relativeFrom="paragraph">
                <wp:posOffset>60325</wp:posOffset>
              </wp:positionV>
              <wp:extent cx="5400040" cy="0"/>
              <wp:effectExtent l="17780" t="12700" r="1143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CA72419" id="_x0000_t32" coordsize="21600,21600" o:spt="32" o:oned="t" path="m,l21600,21600e" filled="f">
              <v:path arrowok="t" fillok="f" o:connecttype="none"/>
              <o:lock v:ext="edit" shapetype="t"/>
            </v:shapetype>
            <v:shape id="AutoShape 1"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325C58C1" w14:textId="77777777" w:rsidR="00C357E2" w:rsidRPr="00C357E2" w:rsidRDefault="00C357E2" w:rsidP="00C357E2">
    <w:pPr>
      <w:pStyle w:val="Encabezado"/>
      <w:jc w:val="right"/>
      <w:rPr>
        <w:i/>
        <w:iCs/>
        <w:sz w:val="20"/>
        <w:szCs w:val="20"/>
      </w:rPr>
    </w:pPr>
    <w:r w:rsidRPr="00C357E2">
      <w:rPr>
        <w:i/>
        <w:iCs/>
        <w:sz w:val="20"/>
        <w:szCs w:val="20"/>
      </w:rPr>
      <w:t>Radicado: 11001-03-15-000-2022-0</w:t>
    </w:r>
    <w:r w:rsidR="00647CF6">
      <w:rPr>
        <w:i/>
        <w:iCs/>
        <w:sz w:val="20"/>
        <w:szCs w:val="20"/>
      </w:rPr>
      <w:t>5349</w:t>
    </w:r>
    <w:r w:rsidRPr="00C357E2">
      <w:rPr>
        <w:i/>
        <w:iCs/>
        <w:sz w:val="20"/>
        <w:szCs w:val="20"/>
      </w:rPr>
      <w:t>-00</w:t>
    </w:r>
  </w:p>
  <w:p w14:paraId="1BC5BA49" w14:textId="1BFE2062" w:rsidR="00C357E2" w:rsidRDefault="00C357E2" w:rsidP="00C357E2">
    <w:pPr>
      <w:pStyle w:val="Encabezado"/>
      <w:tabs>
        <w:tab w:val="clear" w:pos="4252"/>
        <w:tab w:val="center" w:pos="3828"/>
      </w:tabs>
      <w:jc w:val="right"/>
      <w:rPr>
        <w:i/>
        <w:iCs/>
        <w:sz w:val="20"/>
        <w:szCs w:val="20"/>
      </w:rPr>
    </w:pPr>
    <w:r w:rsidRPr="00C357E2">
      <w:rPr>
        <w:i/>
        <w:iCs/>
        <w:sz w:val="20"/>
        <w:szCs w:val="20"/>
      </w:rPr>
      <w:tab/>
    </w:r>
    <w:r w:rsidRPr="00C357E2">
      <w:rPr>
        <w:i/>
        <w:iCs/>
        <w:sz w:val="20"/>
        <w:szCs w:val="20"/>
      </w:rPr>
      <w:tab/>
      <w:t xml:space="preserve">Accionante: </w:t>
    </w:r>
    <w:r w:rsidR="00647CF6">
      <w:rPr>
        <w:i/>
        <w:iCs/>
        <w:sz w:val="20"/>
        <w:szCs w:val="20"/>
      </w:rPr>
      <w:t>Reyes Miguel Alvarado Solano</w:t>
    </w:r>
  </w:p>
  <w:p w14:paraId="7F2D03AD" w14:textId="77777777" w:rsidR="00877FFD" w:rsidRPr="00C357E2" w:rsidRDefault="00877FFD" w:rsidP="00C357E2">
    <w:pPr>
      <w:pStyle w:val="Encabezado"/>
      <w:tabs>
        <w:tab w:val="clear" w:pos="4252"/>
        <w:tab w:val="center" w:pos="3828"/>
      </w:tabs>
      <w:jc w:val="right"/>
      <w:rPr>
        <w:i/>
        <w:iCs/>
        <w:sz w:val="20"/>
        <w:szCs w:val="20"/>
      </w:rPr>
    </w:pPr>
  </w:p>
  <w:p w14:paraId="0B8831A7" w14:textId="77777777" w:rsidR="00487668" w:rsidRPr="007F276C" w:rsidRDefault="00487668" w:rsidP="00743E0D">
    <w:pPr>
      <w:pStyle w:val="Cuadrculamedia21"/>
    </w:pPr>
    <w:r w:rsidRPr="007F276C">
      <w:t>CONSEJO DE ESTADO</w:t>
    </w:r>
  </w:p>
  <w:p w14:paraId="02E590D0" w14:textId="77777777" w:rsidR="00487668" w:rsidRPr="007F276C" w:rsidRDefault="00487668" w:rsidP="00743E0D">
    <w:pPr>
      <w:pStyle w:val="Cuadrculamedia21"/>
    </w:pPr>
    <w:r w:rsidRPr="007F276C">
      <w:t>SALA DE LO CONTENCIOSO ADMINISTRATIVO</w:t>
    </w:r>
  </w:p>
  <w:p w14:paraId="3BF1376E" w14:textId="77777777" w:rsidR="00C357E2" w:rsidRDefault="00487668" w:rsidP="00743E0D">
    <w:pPr>
      <w:pStyle w:val="Cuadrculamedia21"/>
    </w:pPr>
    <w:r w:rsidRPr="007F276C">
      <w:t xml:space="preserve">SECCIÓN TERCERA </w:t>
    </w:r>
  </w:p>
  <w:p w14:paraId="2FE855D3" w14:textId="77777777" w:rsidR="00487668" w:rsidRPr="007F276C" w:rsidRDefault="00487668" w:rsidP="00743E0D">
    <w:pPr>
      <w:pStyle w:val="Cuadrculamedia21"/>
    </w:pPr>
    <w:r w:rsidRPr="007F276C">
      <w:t>SUBSECCIÓN C</w:t>
    </w:r>
  </w:p>
  <w:p w14:paraId="7F31487B" w14:textId="77777777" w:rsidR="00487668" w:rsidRDefault="00487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CCA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1E16"/>
    <w:multiLevelType w:val="multilevel"/>
    <w:tmpl w:val="4D122B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CB5147"/>
    <w:multiLevelType w:val="multilevel"/>
    <w:tmpl w:val="A912AA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6C0FB9"/>
    <w:multiLevelType w:val="hybridMultilevel"/>
    <w:tmpl w:val="CB503E30"/>
    <w:lvl w:ilvl="0" w:tplc="035AF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3F3CE1"/>
    <w:multiLevelType w:val="hybridMultilevel"/>
    <w:tmpl w:val="CF800098"/>
    <w:lvl w:ilvl="0" w:tplc="0568CC3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374F73"/>
    <w:multiLevelType w:val="multilevel"/>
    <w:tmpl w:val="5956C4BA"/>
    <w:lvl w:ilvl="0">
      <w:start w:val="1"/>
      <w:numFmt w:val="upperRoman"/>
      <w:pStyle w:val="Ttulo1"/>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1054609"/>
    <w:multiLevelType w:val="hybridMultilevel"/>
    <w:tmpl w:val="7EB44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CB1E67"/>
    <w:multiLevelType w:val="multilevel"/>
    <w:tmpl w:val="333A86F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BE690B"/>
    <w:multiLevelType w:val="multilevel"/>
    <w:tmpl w:val="1CF8B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05859C9"/>
    <w:multiLevelType w:val="hybridMultilevel"/>
    <w:tmpl w:val="9684BFE6"/>
    <w:lvl w:ilvl="0" w:tplc="61E0643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6689694C"/>
    <w:multiLevelType w:val="multilevel"/>
    <w:tmpl w:val="0F22109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7"/>
  </w:num>
  <w:num w:numId="6">
    <w:abstractNumId w:val="15"/>
  </w:num>
  <w:num w:numId="7">
    <w:abstractNumId w:val="9"/>
  </w:num>
  <w:num w:numId="8">
    <w:abstractNumId w:val="4"/>
  </w:num>
  <w:num w:numId="9">
    <w:abstractNumId w:val="8"/>
  </w:num>
  <w:num w:numId="10">
    <w:abstractNumId w:val="0"/>
  </w:num>
  <w:num w:numId="11">
    <w:abstractNumId w:val="10"/>
  </w:num>
  <w:num w:numId="12">
    <w:abstractNumId w:val="11"/>
  </w:num>
  <w:num w:numId="13">
    <w:abstractNumId w:val="2"/>
  </w:num>
  <w:num w:numId="14">
    <w:abstractNumId w:val="14"/>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0F4B"/>
    <w:rsid w:val="000066C8"/>
    <w:rsid w:val="00006D3C"/>
    <w:rsid w:val="00010688"/>
    <w:rsid w:val="000106D3"/>
    <w:rsid w:val="0001267B"/>
    <w:rsid w:val="00015649"/>
    <w:rsid w:val="00015EB8"/>
    <w:rsid w:val="00017CB3"/>
    <w:rsid w:val="00020B48"/>
    <w:rsid w:val="0002230D"/>
    <w:rsid w:val="00025119"/>
    <w:rsid w:val="0002530A"/>
    <w:rsid w:val="00025F2A"/>
    <w:rsid w:val="0003218E"/>
    <w:rsid w:val="000323B1"/>
    <w:rsid w:val="00032CC4"/>
    <w:rsid w:val="00033574"/>
    <w:rsid w:val="000339D1"/>
    <w:rsid w:val="00034785"/>
    <w:rsid w:val="000377E5"/>
    <w:rsid w:val="00037AA7"/>
    <w:rsid w:val="0004084C"/>
    <w:rsid w:val="00040DFC"/>
    <w:rsid w:val="0004392F"/>
    <w:rsid w:val="00043FEC"/>
    <w:rsid w:val="00044E8C"/>
    <w:rsid w:val="00044EDE"/>
    <w:rsid w:val="000532C4"/>
    <w:rsid w:val="000533DC"/>
    <w:rsid w:val="000544A6"/>
    <w:rsid w:val="00054798"/>
    <w:rsid w:val="0005568F"/>
    <w:rsid w:val="00056556"/>
    <w:rsid w:val="000572B4"/>
    <w:rsid w:val="000578D4"/>
    <w:rsid w:val="000579DD"/>
    <w:rsid w:val="0006102E"/>
    <w:rsid w:val="00061B93"/>
    <w:rsid w:val="00062FA2"/>
    <w:rsid w:val="000630B1"/>
    <w:rsid w:val="00063412"/>
    <w:rsid w:val="00065B86"/>
    <w:rsid w:val="000705E7"/>
    <w:rsid w:val="0007138A"/>
    <w:rsid w:val="000717E4"/>
    <w:rsid w:val="000728E0"/>
    <w:rsid w:val="00073869"/>
    <w:rsid w:val="00073CBC"/>
    <w:rsid w:val="000748B2"/>
    <w:rsid w:val="00074933"/>
    <w:rsid w:val="00076779"/>
    <w:rsid w:val="00080E08"/>
    <w:rsid w:val="000838D8"/>
    <w:rsid w:val="00083B8F"/>
    <w:rsid w:val="00084808"/>
    <w:rsid w:val="00085770"/>
    <w:rsid w:val="000867E4"/>
    <w:rsid w:val="00087A06"/>
    <w:rsid w:val="000904D2"/>
    <w:rsid w:val="00090A6A"/>
    <w:rsid w:val="00094D65"/>
    <w:rsid w:val="00094E7B"/>
    <w:rsid w:val="000950CA"/>
    <w:rsid w:val="00095CA3"/>
    <w:rsid w:val="00096FEC"/>
    <w:rsid w:val="000A0D21"/>
    <w:rsid w:val="000A0FFC"/>
    <w:rsid w:val="000A2728"/>
    <w:rsid w:val="000A29B4"/>
    <w:rsid w:val="000A2BAA"/>
    <w:rsid w:val="000A511D"/>
    <w:rsid w:val="000A59A9"/>
    <w:rsid w:val="000A7BB5"/>
    <w:rsid w:val="000B036D"/>
    <w:rsid w:val="000B0B7C"/>
    <w:rsid w:val="000B4981"/>
    <w:rsid w:val="000B6087"/>
    <w:rsid w:val="000B67FA"/>
    <w:rsid w:val="000C082B"/>
    <w:rsid w:val="000C089F"/>
    <w:rsid w:val="000C2B43"/>
    <w:rsid w:val="000C3815"/>
    <w:rsid w:val="000C59BB"/>
    <w:rsid w:val="000C5DB7"/>
    <w:rsid w:val="000C64FB"/>
    <w:rsid w:val="000C7B4F"/>
    <w:rsid w:val="000D0BCC"/>
    <w:rsid w:val="000D0E41"/>
    <w:rsid w:val="000D320D"/>
    <w:rsid w:val="000D32DB"/>
    <w:rsid w:val="000D37F2"/>
    <w:rsid w:val="000D501C"/>
    <w:rsid w:val="000D51DF"/>
    <w:rsid w:val="000D5563"/>
    <w:rsid w:val="000D5627"/>
    <w:rsid w:val="000D77CC"/>
    <w:rsid w:val="000E2D62"/>
    <w:rsid w:val="000E35C9"/>
    <w:rsid w:val="000E3B37"/>
    <w:rsid w:val="000E638B"/>
    <w:rsid w:val="000E6EB3"/>
    <w:rsid w:val="000E6FDE"/>
    <w:rsid w:val="000E71BE"/>
    <w:rsid w:val="000F1EB8"/>
    <w:rsid w:val="000F4977"/>
    <w:rsid w:val="000F7516"/>
    <w:rsid w:val="00100EA1"/>
    <w:rsid w:val="00101CAF"/>
    <w:rsid w:val="0010255B"/>
    <w:rsid w:val="00105352"/>
    <w:rsid w:val="00105A9B"/>
    <w:rsid w:val="00105EEB"/>
    <w:rsid w:val="001069EE"/>
    <w:rsid w:val="00107650"/>
    <w:rsid w:val="001078B5"/>
    <w:rsid w:val="00112A4A"/>
    <w:rsid w:val="00113E35"/>
    <w:rsid w:val="00115FDF"/>
    <w:rsid w:val="00116B58"/>
    <w:rsid w:val="00117091"/>
    <w:rsid w:val="00121C89"/>
    <w:rsid w:val="001239F2"/>
    <w:rsid w:val="0012691C"/>
    <w:rsid w:val="0012748A"/>
    <w:rsid w:val="00127C92"/>
    <w:rsid w:val="00131347"/>
    <w:rsid w:val="001314F6"/>
    <w:rsid w:val="0013198F"/>
    <w:rsid w:val="00133F91"/>
    <w:rsid w:val="00135F64"/>
    <w:rsid w:val="00137C16"/>
    <w:rsid w:val="00142470"/>
    <w:rsid w:val="0014251B"/>
    <w:rsid w:val="0014259F"/>
    <w:rsid w:val="00142D88"/>
    <w:rsid w:val="00143C53"/>
    <w:rsid w:val="00150C6D"/>
    <w:rsid w:val="00151EAB"/>
    <w:rsid w:val="0015393C"/>
    <w:rsid w:val="001556F7"/>
    <w:rsid w:val="00155E78"/>
    <w:rsid w:val="0015765B"/>
    <w:rsid w:val="00163D47"/>
    <w:rsid w:val="00163FC6"/>
    <w:rsid w:val="00164218"/>
    <w:rsid w:val="00166623"/>
    <w:rsid w:val="00166AF6"/>
    <w:rsid w:val="00167F33"/>
    <w:rsid w:val="00167FA0"/>
    <w:rsid w:val="00170DDA"/>
    <w:rsid w:val="0017246D"/>
    <w:rsid w:val="00175E25"/>
    <w:rsid w:val="00177834"/>
    <w:rsid w:val="00180591"/>
    <w:rsid w:val="0018628C"/>
    <w:rsid w:val="00186DA6"/>
    <w:rsid w:val="001874CE"/>
    <w:rsid w:val="00190D5F"/>
    <w:rsid w:val="00191101"/>
    <w:rsid w:val="0019115B"/>
    <w:rsid w:val="00192781"/>
    <w:rsid w:val="00194A69"/>
    <w:rsid w:val="00194CD0"/>
    <w:rsid w:val="00194F24"/>
    <w:rsid w:val="001953E0"/>
    <w:rsid w:val="00196FB8"/>
    <w:rsid w:val="001976F2"/>
    <w:rsid w:val="001A11AB"/>
    <w:rsid w:val="001A1C96"/>
    <w:rsid w:val="001A2023"/>
    <w:rsid w:val="001A3D27"/>
    <w:rsid w:val="001A43CB"/>
    <w:rsid w:val="001A6593"/>
    <w:rsid w:val="001B1E5A"/>
    <w:rsid w:val="001B2292"/>
    <w:rsid w:val="001B291F"/>
    <w:rsid w:val="001B2B62"/>
    <w:rsid w:val="001B5D50"/>
    <w:rsid w:val="001B6E23"/>
    <w:rsid w:val="001B7A86"/>
    <w:rsid w:val="001C111A"/>
    <w:rsid w:val="001C1197"/>
    <w:rsid w:val="001C208B"/>
    <w:rsid w:val="001C2B53"/>
    <w:rsid w:val="001C3C1F"/>
    <w:rsid w:val="001D0C82"/>
    <w:rsid w:val="001D149A"/>
    <w:rsid w:val="001D3A9C"/>
    <w:rsid w:val="001D46D4"/>
    <w:rsid w:val="001D4C64"/>
    <w:rsid w:val="001D4D53"/>
    <w:rsid w:val="001D4E62"/>
    <w:rsid w:val="001D5085"/>
    <w:rsid w:val="001D520B"/>
    <w:rsid w:val="001D5284"/>
    <w:rsid w:val="001D5360"/>
    <w:rsid w:val="001D5816"/>
    <w:rsid w:val="001D5BEB"/>
    <w:rsid w:val="001D7328"/>
    <w:rsid w:val="001D797E"/>
    <w:rsid w:val="001E093B"/>
    <w:rsid w:val="001E1C28"/>
    <w:rsid w:val="001E3D69"/>
    <w:rsid w:val="001E43F4"/>
    <w:rsid w:val="001E4567"/>
    <w:rsid w:val="001E556F"/>
    <w:rsid w:val="001E7758"/>
    <w:rsid w:val="001F0392"/>
    <w:rsid w:val="001F5705"/>
    <w:rsid w:val="001F633B"/>
    <w:rsid w:val="001F77D1"/>
    <w:rsid w:val="001F7C0F"/>
    <w:rsid w:val="00200294"/>
    <w:rsid w:val="00201170"/>
    <w:rsid w:val="00201EC3"/>
    <w:rsid w:val="00204033"/>
    <w:rsid w:val="0020519A"/>
    <w:rsid w:val="00207157"/>
    <w:rsid w:val="002119B6"/>
    <w:rsid w:val="00212973"/>
    <w:rsid w:val="0021314C"/>
    <w:rsid w:val="002141FD"/>
    <w:rsid w:val="00214D23"/>
    <w:rsid w:val="002217FF"/>
    <w:rsid w:val="002230E3"/>
    <w:rsid w:val="002232C9"/>
    <w:rsid w:val="00223E9A"/>
    <w:rsid w:val="0022445F"/>
    <w:rsid w:val="00226235"/>
    <w:rsid w:val="00226ADA"/>
    <w:rsid w:val="002279AE"/>
    <w:rsid w:val="00227D3B"/>
    <w:rsid w:val="00231A2E"/>
    <w:rsid w:val="002344BB"/>
    <w:rsid w:val="0023490B"/>
    <w:rsid w:val="00234E4B"/>
    <w:rsid w:val="002409A5"/>
    <w:rsid w:val="00243BD7"/>
    <w:rsid w:val="00244530"/>
    <w:rsid w:val="00244AF1"/>
    <w:rsid w:val="00245128"/>
    <w:rsid w:val="00245887"/>
    <w:rsid w:val="0024589F"/>
    <w:rsid w:val="00246239"/>
    <w:rsid w:val="00246900"/>
    <w:rsid w:val="002475E4"/>
    <w:rsid w:val="002477CB"/>
    <w:rsid w:val="00247915"/>
    <w:rsid w:val="00251B26"/>
    <w:rsid w:val="00252780"/>
    <w:rsid w:val="00252E6D"/>
    <w:rsid w:val="00254098"/>
    <w:rsid w:val="0026512F"/>
    <w:rsid w:val="0026676B"/>
    <w:rsid w:val="002702B3"/>
    <w:rsid w:val="0027215E"/>
    <w:rsid w:val="00272D09"/>
    <w:rsid w:val="00273C24"/>
    <w:rsid w:val="00277643"/>
    <w:rsid w:val="00277CF8"/>
    <w:rsid w:val="00277D24"/>
    <w:rsid w:val="00280A9A"/>
    <w:rsid w:val="00280D5D"/>
    <w:rsid w:val="00281090"/>
    <w:rsid w:val="00281874"/>
    <w:rsid w:val="00284B3D"/>
    <w:rsid w:val="0028665C"/>
    <w:rsid w:val="0028766A"/>
    <w:rsid w:val="00290C0B"/>
    <w:rsid w:val="002938D0"/>
    <w:rsid w:val="00293B93"/>
    <w:rsid w:val="00294381"/>
    <w:rsid w:val="0029456B"/>
    <w:rsid w:val="00294CD3"/>
    <w:rsid w:val="002951D4"/>
    <w:rsid w:val="00295C5E"/>
    <w:rsid w:val="00296DA2"/>
    <w:rsid w:val="0029751A"/>
    <w:rsid w:val="00297C7E"/>
    <w:rsid w:val="002A15E7"/>
    <w:rsid w:val="002A1AD0"/>
    <w:rsid w:val="002A3AAE"/>
    <w:rsid w:val="002A4456"/>
    <w:rsid w:val="002A4957"/>
    <w:rsid w:val="002A5BF4"/>
    <w:rsid w:val="002A5FA2"/>
    <w:rsid w:val="002A6F38"/>
    <w:rsid w:val="002B0171"/>
    <w:rsid w:val="002B0237"/>
    <w:rsid w:val="002B2800"/>
    <w:rsid w:val="002B4ADA"/>
    <w:rsid w:val="002B4F1D"/>
    <w:rsid w:val="002B6116"/>
    <w:rsid w:val="002C12BC"/>
    <w:rsid w:val="002C2D4A"/>
    <w:rsid w:val="002C3528"/>
    <w:rsid w:val="002C4C50"/>
    <w:rsid w:val="002C4D69"/>
    <w:rsid w:val="002D0958"/>
    <w:rsid w:val="002D0B70"/>
    <w:rsid w:val="002D1497"/>
    <w:rsid w:val="002D480B"/>
    <w:rsid w:val="002D746F"/>
    <w:rsid w:val="002E1978"/>
    <w:rsid w:val="002E1BE0"/>
    <w:rsid w:val="002E26CF"/>
    <w:rsid w:val="002E54EC"/>
    <w:rsid w:val="002F07CE"/>
    <w:rsid w:val="002F150F"/>
    <w:rsid w:val="002F1BC1"/>
    <w:rsid w:val="002F1F0F"/>
    <w:rsid w:val="002F2F02"/>
    <w:rsid w:val="002F4032"/>
    <w:rsid w:val="002F79F7"/>
    <w:rsid w:val="00301FA1"/>
    <w:rsid w:val="003020C0"/>
    <w:rsid w:val="003038B0"/>
    <w:rsid w:val="00303D86"/>
    <w:rsid w:val="0030517E"/>
    <w:rsid w:val="00305C95"/>
    <w:rsid w:val="00306EC5"/>
    <w:rsid w:val="00306FA0"/>
    <w:rsid w:val="003073BB"/>
    <w:rsid w:val="003078A7"/>
    <w:rsid w:val="003100E9"/>
    <w:rsid w:val="0031042D"/>
    <w:rsid w:val="00310497"/>
    <w:rsid w:val="00312FE1"/>
    <w:rsid w:val="00314691"/>
    <w:rsid w:val="0031514A"/>
    <w:rsid w:val="00321706"/>
    <w:rsid w:val="0032296F"/>
    <w:rsid w:val="00322E59"/>
    <w:rsid w:val="00323AEA"/>
    <w:rsid w:val="003251BB"/>
    <w:rsid w:val="003265D1"/>
    <w:rsid w:val="00330F01"/>
    <w:rsid w:val="00331291"/>
    <w:rsid w:val="00331CD4"/>
    <w:rsid w:val="00333BB9"/>
    <w:rsid w:val="003405D4"/>
    <w:rsid w:val="0034160C"/>
    <w:rsid w:val="003429A2"/>
    <w:rsid w:val="00343708"/>
    <w:rsid w:val="00344DC6"/>
    <w:rsid w:val="003458AA"/>
    <w:rsid w:val="00347D1F"/>
    <w:rsid w:val="0035048B"/>
    <w:rsid w:val="0035132E"/>
    <w:rsid w:val="0035169E"/>
    <w:rsid w:val="0035535E"/>
    <w:rsid w:val="00360658"/>
    <w:rsid w:val="00361478"/>
    <w:rsid w:val="00362441"/>
    <w:rsid w:val="0036381B"/>
    <w:rsid w:val="00363A5B"/>
    <w:rsid w:val="00364CBF"/>
    <w:rsid w:val="003669F6"/>
    <w:rsid w:val="00371800"/>
    <w:rsid w:val="003732C9"/>
    <w:rsid w:val="0037377A"/>
    <w:rsid w:val="00374674"/>
    <w:rsid w:val="00375411"/>
    <w:rsid w:val="003757D0"/>
    <w:rsid w:val="00376A85"/>
    <w:rsid w:val="00382258"/>
    <w:rsid w:val="00382BEE"/>
    <w:rsid w:val="00383425"/>
    <w:rsid w:val="00383839"/>
    <w:rsid w:val="00384507"/>
    <w:rsid w:val="003851B1"/>
    <w:rsid w:val="00385291"/>
    <w:rsid w:val="003859A8"/>
    <w:rsid w:val="0038741E"/>
    <w:rsid w:val="003878D1"/>
    <w:rsid w:val="00387BBC"/>
    <w:rsid w:val="00391ADC"/>
    <w:rsid w:val="00393F0D"/>
    <w:rsid w:val="00394A69"/>
    <w:rsid w:val="00394F97"/>
    <w:rsid w:val="003950F9"/>
    <w:rsid w:val="003A12C4"/>
    <w:rsid w:val="003A3E01"/>
    <w:rsid w:val="003A4293"/>
    <w:rsid w:val="003A481A"/>
    <w:rsid w:val="003A4A2A"/>
    <w:rsid w:val="003A4EDE"/>
    <w:rsid w:val="003B127E"/>
    <w:rsid w:val="003B184C"/>
    <w:rsid w:val="003B2096"/>
    <w:rsid w:val="003B3194"/>
    <w:rsid w:val="003B326D"/>
    <w:rsid w:val="003B3B90"/>
    <w:rsid w:val="003B4515"/>
    <w:rsid w:val="003B490B"/>
    <w:rsid w:val="003B55CC"/>
    <w:rsid w:val="003B6F7D"/>
    <w:rsid w:val="003C0BAD"/>
    <w:rsid w:val="003C1541"/>
    <w:rsid w:val="003C38F4"/>
    <w:rsid w:val="003C3E0C"/>
    <w:rsid w:val="003C4A9F"/>
    <w:rsid w:val="003C5D81"/>
    <w:rsid w:val="003C6863"/>
    <w:rsid w:val="003C6C41"/>
    <w:rsid w:val="003D06C8"/>
    <w:rsid w:val="003D152B"/>
    <w:rsid w:val="003D16B2"/>
    <w:rsid w:val="003D1B94"/>
    <w:rsid w:val="003D23A5"/>
    <w:rsid w:val="003D345C"/>
    <w:rsid w:val="003D3679"/>
    <w:rsid w:val="003D3FA0"/>
    <w:rsid w:val="003D4284"/>
    <w:rsid w:val="003D478E"/>
    <w:rsid w:val="003D4B4A"/>
    <w:rsid w:val="003D5234"/>
    <w:rsid w:val="003D6C21"/>
    <w:rsid w:val="003D6E1D"/>
    <w:rsid w:val="003D7F00"/>
    <w:rsid w:val="003E02F0"/>
    <w:rsid w:val="003E249A"/>
    <w:rsid w:val="003E28C7"/>
    <w:rsid w:val="003F1C08"/>
    <w:rsid w:val="003F245D"/>
    <w:rsid w:val="003F25F6"/>
    <w:rsid w:val="003F28D5"/>
    <w:rsid w:val="003F2BA3"/>
    <w:rsid w:val="003F4EE1"/>
    <w:rsid w:val="003F62E9"/>
    <w:rsid w:val="003F637F"/>
    <w:rsid w:val="003F7284"/>
    <w:rsid w:val="003F7FF5"/>
    <w:rsid w:val="00402998"/>
    <w:rsid w:val="00404DFD"/>
    <w:rsid w:val="0040598E"/>
    <w:rsid w:val="00406FAF"/>
    <w:rsid w:val="0041034E"/>
    <w:rsid w:val="0041099C"/>
    <w:rsid w:val="0041151F"/>
    <w:rsid w:val="004160F5"/>
    <w:rsid w:val="0041653B"/>
    <w:rsid w:val="004168CB"/>
    <w:rsid w:val="004168D4"/>
    <w:rsid w:val="00417556"/>
    <w:rsid w:val="004209AE"/>
    <w:rsid w:val="004211FA"/>
    <w:rsid w:val="00424723"/>
    <w:rsid w:val="00424E52"/>
    <w:rsid w:val="00425617"/>
    <w:rsid w:val="00425724"/>
    <w:rsid w:val="00427C7D"/>
    <w:rsid w:val="0043026E"/>
    <w:rsid w:val="00430389"/>
    <w:rsid w:val="004307F7"/>
    <w:rsid w:val="00430D89"/>
    <w:rsid w:val="004328DF"/>
    <w:rsid w:val="00432AF1"/>
    <w:rsid w:val="00432E47"/>
    <w:rsid w:val="00433406"/>
    <w:rsid w:val="00433BF9"/>
    <w:rsid w:val="004346B2"/>
    <w:rsid w:val="00436B5D"/>
    <w:rsid w:val="00440004"/>
    <w:rsid w:val="00441773"/>
    <w:rsid w:val="00443EDC"/>
    <w:rsid w:val="0044471A"/>
    <w:rsid w:val="0044599A"/>
    <w:rsid w:val="00446ACF"/>
    <w:rsid w:val="00447956"/>
    <w:rsid w:val="00451832"/>
    <w:rsid w:val="00451926"/>
    <w:rsid w:val="00451C2F"/>
    <w:rsid w:val="00452492"/>
    <w:rsid w:val="00454A84"/>
    <w:rsid w:val="004608E4"/>
    <w:rsid w:val="00460924"/>
    <w:rsid w:val="004609F0"/>
    <w:rsid w:val="00460EEB"/>
    <w:rsid w:val="004628BA"/>
    <w:rsid w:val="00463D52"/>
    <w:rsid w:val="004641A1"/>
    <w:rsid w:val="004644C8"/>
    <w:rsid w:val="0046547B"/>
    <w:rsid w:val="0046558C"/>
    <w:rsid w:val="00465702"/>
    <w:rsid w:val="00465CAE"/>
    <w:rsid w:val="00465EC3"/>
    <w:rsid w:val="00466C6A"/>
    <w:rsid w:val="00470291"/>
    <w:rsid w:val="0047256F"/>
    <w:rsid w:val="004750B3"/>
    <w:rsid w:val="004753A1"/>
    <w:rsid w:val="00475DBD"/>
    <w:rsid w:val="0047637C"/>
    <w:rsid w:val="00477299"/>
    <w:rsid w:val="00477E21"/>
    <w:rsid w:val="00480491"/>
    <w:rsid w:val="004814FF"/>
    <w:rsid w:val="00481F33"/>
    <w:rsid w:val="004849BB"/>
    <w:rsid w:val="00485422"/>
    <w:rsid w:val="004857F6"/>
    <w:rsid w:val="00486880"/>
    <w:rsid w:val="00487668"/>
    <w:rsid w:val="00490FA5"/>
    <w:rsid w:val="00491910"/>
    <w:rsid w:val="004935D3"/>
    <w:rsid w:val="00493A68"/>
    <w:rsid w:val="004947D8"/>
    <w:rsid w:val="00497735"/>
    <w:rsid w:val="00497FEA"/>
    <w:rsid w:val="004A1D38"/>
    <w:rsid w:val="004A20CF"/>
    <w:rsid w:val="004A40D6"/>
    <w:rsid w:val="004A4EB6"/>
    <w:rsid w:val="004A58C2"/>
    <w:rsid w:val="004A59A4"/>
    <w:rsid w:val="004A59E5"/>
    <w:rsid w:val="004A5A17"/>
    <w:rsid w:val="004A5B80"/>
    <w:rsid w:val="004A6B18"/>
    <w:rsid w:val="004B5456"/>
    <w:rsid w:val="004B7438"/>
    <w:rsid w:val="004B7B9D"/>
    <w:rsid w:val="004C1707"/>
    <w:rsid w:val="004C5699"/>
    <w:rsid w:val="004C5EE6"/>
    <w:rsid w:val="004D1106"/>
    <w:rsid w:val="004D154B"/>
    <w:rsid w:val="004D15B8"/>
    <w:rsid w:val="004D21E1"/>
    <w:rsid w:val="004D2CC1"/>
    <w:rsid w:val="004D3BAD"/>
    <w:rsid w:val="004D3CA1"/>
    <w:rsid w:val="004D4910"/>
    <w:rsid w:val="004D4C9C"/>
    <w:rsid w:val="004D5983"/>
    <w:rsid w:val="004D5CEB"/>
    <w:rsid w:val="004D63F2"/>
    <w:rsid w:val="004D7D67"/>
    <w:rsid w:val="004D7FC3"/>
    <w:rsid w:val="004E08D9"/>
    <w:rsid w:val="004E3D73"/>
    <w:rsid w:val="004E4BFA"/>
    <w:rsid w:val="004E536D"/>
    <w:rsid w:val="004E5B52"/>
    <w:rsid w:val="004E5D3F"/>
    <w:rsid w:val="004E75FE"/>
    <w:rsid w:val="004F1945"/>
    <w:rsid w:val="004F48ED"/>
    <w:rsid w:val="004F5109"/>
    <w:rsid w:val="004F6210"/>
    <w:rsid w:val="004F6888"/>
    <w:rsid w:val="004F7046"/>
    <w:rsid w:val="00500269"/>
    <w:rsid w:val="005012B2"/>
    <w:rsid w:val="00501997"/>
    <w:rsid w:val="00501A82"/>
    <w:rsid w:val="00501A9B"/>
    <w:rsid w:val="005023A1"/>
    <w:rsid w:val="005035C5"/>
    <w:rsid w:val="005051C0"/>
    <w:rsid w:val="0050585D"/>
    <w:rsid w:val="00505946"/>
    <w:rsid w:val="00505D13"/>
    <w:rsid w:val="00507CFA"/>
    <w:rsid w:val="00507FF2"/>
    <w:rsid w:val="0051461E"/>
    <w:rsid w:val="00514693"/>
    <w:rsid w:val="005163AB"/>
    <w:rsid w:val="00517B65"/>
    <w:rsid w:val="005219F4"/>
    <w:rsid w:val="00522073"/>
    <w:rsid w:val="00522ADE"/>
    <w:rsid w:val="00523253"/>
    <w:rsid w:val="005252AA"/>
    <w:rsid w:val="005257C4"/>
    <w:rsid w:val="0052688D"/>
    <w:rsid w:val="00530A8F"/>
    <w:rsid w:val="00530BC4"/>
    <w:rsid w:val="00530CAD"/>
    <w:rsid w:val="005328C0"/>
    <w:rsid w:val="0053455E"/>
    <w:rsid w:val="00536A71"/>
    <w:rsid w:val="00537260"/>
    <w:rsid w:val="00537586"/>
    <w:rsid w:val="00537CB1"/>
    <w:rsid w:val="005402C8"/>
    <w:rsid w:val="0054069D"/>
    <w:rsid w:val="005409BA"/>
    <w:rsid w:val="00546FC1"/>
    <w:rsid w:val="005470DD"/>
    <w:rsid w:val="00551E8E"/>
    <w:rsid w:val="00556329"/>
    <w:rsid w:val="0055703D"/>
    <w:rsid w:val="00560EE3"/>
    <w:rsid w:val="00561F19"/>
    <w:rsid w:val="00563B26"/>
    <w:rsid w:val="00563C3E"/>
    <w:rsid w:val="00564A92"/>
    <w:rsid w:val="00565E0E"/>
    <w:rsid w:val="005666FB"/>
    <w:rsid w:val="00566726"/>
    <w:rsid w:val="0056780E"/>
    <w:rsid w:val="00570F57"/>
    <w:rsid w:val="0057102D"/>
    <w:rsid w:val="00572F17"/>
    <w:rsid w:val="005740D3"/>
    <w:rsid w:val="0057415A"/>
    <w:rsid w:val="00580125"/>
    <w:rsid w:val="00581228"/>
    <w:rsid w:val="00581C86"/>
    <w:rsid w:val="00584538"/>
    <w:rsid w:val="00584E1D"/>
    <w:rsid w:val="00585CA2"/>
    <w:rsid w:val="00586ED2"/>
    <w:rsid w:val="005A0F53"/>
    <w:rsid w:val="005A1A1C"/>
    <w:rsid w:val="005A1F68"/>
    <w:rsid w:val="005A2D69"/>
    <w:rsid w:val="005A358C"/>
    <w:rsid w:val="005A4387"/>
    <w:rsid w:val="005A540B"/>
    <w:rsid w:val="005A5CBD"/>
    <w:rsid w:val="005A6A94"/>
    <w:rsid w:val="005B01FB"/>
    <w:rsid w:val="005B0E44"/>
    <w:rsid w:val="005B1F2A"/>
    <w:rsid w:val="005B2E8D"/>
    <w:rsid w:val="005B3C0A"/>
    <w:rsid w:val="005B40C0"/>
    <w:rsid w:val="005B4D4F"/>
    <w:rsid w:val="005B5061"/>
    <w:rsid w:val="005B5FEB"/>
    <w:rsid w:val="005B6503"/>
    <w:rsid w:val="005B6DC3"/>
    <w:rsid w:val="005C1026"/>
    <w:rsid w:val="005C3769"/>
    <w:rsid w:val="005C4B7C"/>
    <w:rsid w:val="005C5864"/>
    <w:rsid w:val="005C668D"/>
    <w:rsid w:val="005D04AB"/>
    <w:rsid w:val="005D1618"/>
    <w:rsid w:val="005D1791"/>
    <w:rsid w:val="005D51C1"/>
    <w:rsid w:val="005D542C"/>
    <w:rsid w:val="005E308C"/>
    <w:rsid w:val="005E38B6"/>
    <w:rsid w:val="005E5CD3"/>
    <w:rsid w:val="005E7503"/>
    <w:rsid w:val="005F0AEA"/>
    <w:rsid w:val="005F0FE1"/>
    <w:rsid w:val="005F29B4"/>
    <w:rsid w:val="00605483"/>
    <w:rsid w:val="0061012D"/>
    <w:rsid w:val="0061044B"/>
    <w:rsid w:val="0061280A"/>
    <w:rsid w:val="0061287B"/>
    <w:rsid w:val="006146CC"/>
    <w:rsid w:val="00615162"/>
    <w:rsid w:val="006159CA"/>
    <w:rsid w:val="00616FC2"/>
    <w:rsid w:val="00617453"/>
    <w:rsid w:val="00620178"/>
    <w:rsid w:val="00621F3E"/>
    <w:rsid w:val="006229C0"/>
    <w:rsid w:val="00622F0A"/>
    <w:rsid w:val="00624369"/>
    <w:rsid w:val="0062526D"/>
    <w:rsid w:val="00627683"/>
    <w:rsid w:val="00632FF0"/>
    <w:rsid w:val="00633A9D"/>
    <w:rsid w:val="006343E1"/>
    <w:rsid w:val="006371BF"/>
    <w:rsid w:val="00637A5F"/>
    <w:rsid w:val="0064007B"/>
    <w:rsid w:val="0064087B"/>
    <w:rsid w:val="00642070"/>
    <w:rsid w:val="00643802"/>
    <w:rsid w:val="0064412F"/>
    <w:rsid w:val="0064417A"/>
    <w:rsid w:val="006460A7"/>
    <w:rsid w:val="00646C07"/>
    <w:rsid w:val="00647CF6"/>
    <w:rsid w:val="00647D1C"/>
    <w:rsid w:val="0065073C"/>
    <w:rsid w:val="006517F3"/>
    <w:rsid w:val="00651F05"/>
    <w:rsid w:val="0065354E"/>
    <w:rsid w:val="00655370"/>
    <w:rsid w:val="00655744"/>
    <w:rsid w:val="00657B4E"/>
    <w:rsid w:val="006615F2"/>
    <w:rsid w:val="00662D21"/>
    <w:rsid w:val="00662DEB"/>
    <w:rsid w:val="00663267"/>
    <w:rsid w:val="00664A8F"/>
    <w:rsid w:val="006663BB"/>
    <w:rsid w:val="00667692"/>
    <w:rsid w:val="00670737"/>
    <w:rsid w:val="006708A2"/>
    <w:rsid w:val="00673B1F"/>
    <w:rsid w:val="006753B8"/>
    <w:rsid w:val="00680AB5"/>
    <w:rsid w:val="00680F18"/>
    <w:rsid w:val="00681B59"/>
    <w:rsid w:val="00682D32"/>
    <w:rsid w:val="006834E4"/>
    <w:rsid w:val="00685672"/>
    <w:rsid w:val="00685BEE"/>
    <w:rsid w:val="0068691A"/>
    <w:rsid w:val="006873EC"/>
    <w:rsid w:val="00690875"/>
    <w:rsid w:val="00693D8B"/>
    <w:rsid w:val="00693E5F"/>
    <w:rsid w:val="006967EF"/>
    <w:rsid w:val="00696A73"/>
    <w:rsid w:val="006A5086"/>
    <w:rsid w:val="006A5AD9"/>
    <w:rsid w:val="006A69A0"/>
    <w:rsid w:val="006A7934"/>
    <w:rsid w:val="006B0341"/>
    <w:rsid w:val="006B0386"/>
    <w:rsid w:val="006B1918"/>
    <w:rsid w:val="006B6CC3"/>
    <w:rsid w:val="006C45D6"/>
    <w:rsid w:val="006C49C5"/>
    <w:rsid w:val="006C4F50"/>
    <w:rsid w:val="006C58A7"/>
    <w:rsid w:val="006D079E"/>
    <w:rsid w:val="006D22EB"/>
    <w:rsid w:val="006D3DEA"/>
    <w:rsid w:val="006D4799"/>
    <w:rsid w:val="006D53CC"/>
    <w:rsid w:val="006D53E7"/>
    <w:rsid w:val="006D5D94"/>
    <w:rsid w:val="006D688A"/>
    <w:rsid w:val="006E4729"/>
    <w:rsid w:val="006F058B"/>
    <w:rsid w:val="006F0A46"/>
    <w:rsid w:val="006F0C48"/>
    <w:rsid w:val="006F2DA5"/>
    <w:rsid w:val="006F35CA"/>
    <w:rsid w:val="006F3EEE"/>
    <w:rsid w:val="006F4D56"/>
    <w:rsid w:val="006F5429"/>
    <w:rsid w:val="006F5F58"/>
    <w:rsid w:val="006F6047"/>
    <w:rsid w:val="0070023E"/>
    <w:rsid w:val="00701EC8"/>
    <w:rsid w:val="007023BA"/>
    <w:rsid w:val="00702E30"/>
    <w:rsid w:val="00704868"/>
    <w:rsid w:val="00710B8F"/>
    <w:rsid w:val="00711697"/>
    <w:rsid w:val="0071191A"/>
    <w:rsid w:val="00712839"/>
    <w:rsid w:val="00715820"/>
    <w:rsid w:val="007175CF"/>
    <w:rsid w:val="0072475A"/>
    <w:rsid w:val="007260F6"/>
    <w:rsid w:val="00726578"/>
    <w:rsid w:val="0073021D"/>
    <w:rsid w:val="00733387"/>
    <w:rsid w:val="0073363B"/>
    <w:rsid w:val="00735D35"/>
    <w:rsid w:val="0073700D"/>
    <w:rsid w:val="00741CF9"/>
    <w:rsid w:val="0074235D"/>
    <w:rsid w:val="00742632"/>
    <w:rsid w:val="007434DC"/>
    <w:rsid w:val="007438D1"/>
    <w:rsid w:val="00743E0D"/>
    <w:rsid w:val="00745D63"/>
    <w:rsid w:val="00746E9B"/>
    <w:rsid w:val="00751493"/>
    <w:rsid w:val="007520E6"/>
    <w:rsid w:val="00752228"/>
    <w:rsid w:val="00752B48"/>
    <w:rsid w:val="00752E1B"/>
    <w:rsid w:val="00755665"/>
    <w:rsid w:val="00760DAF"/>
    <w:rsid w:val="00761CC4"/>
    <w:rsid w:val="00764BE2"/>
    <w:rsid w:val="0076670D"/>
    <w:rsid w:val="00766FA2"/>
    <w:rsid w:val="0077097F"/>
    <w:rsid w:val="00771778"/>
    <w:rsid w:val="00772232"/>
    <w:rsid w:val="0077393C"/>
    <w:rsid w:val="00773A85"/>
    <w:rsid w:val="00773BDC"/>
    <w:rsid w:val="00774E58"/>
    <w:rsid w:val="00775293"/>
    <w:rsid w:val="00777396"/>
    <w:rsid w:val="007804A1"/>
    <w:rsid w:val="00780B03"/>
    <w:rsid w:val="00780CC5"/>
    <w:rsid w:val="007810E5"/>
    <w:rsid w:val="00782219"/>
    <w:rsid w:val="00782EAD"/>
    <w:rsid w:val="0078453B"/>
    <w:rsid w:val="00784E5E"/>
    <w:rsid w:val="00785FD5"/>
    <w:rsid w:val="007866D3"/>
    <w:rsid w:val="00786D01"/>
    <w:rsid w:val="00790209"/>
    <w:rsid w:val="00790867"/>
    <w:rsid w:val="0079603E"/>
    <w:rsid w:val="007A1D0D"/>
    <w:rsid w:val="007A66C1"/>
    <w:rsid w:val="007A72C1"/>
    <w:rsid w:val="007B2378"/>
    <w:rsid w:val="007B3A25"/>
    <w:rsid w:val="007B4E2D"/>
    <w:rsid w:val="007C0389"/>
    <w:rsid w:val="007C0B4C"/>
    <w:rsid w:val="007C0D46"/>
    <w:rsid w:val="007C1E23"/>
    <w:rsid w:val="007C6CC4"/>
    <w:rsid w:val="007C7E78"/>
    <w:rsid w:val="007D02C6"/>
    <w:rsid w:val="007D1834"/>
    <w:rsid w:val="007D3AA0"/>
    <w:rsid w:val="007D3BE9"/>
    <w:rsid w:val="007D4A96"/>
    <w:rsid w:val="007D71D0"/>
    <w:rsid w:val="007E0F9C"/>
    <w:rsid w:val="007E1A7A"/>
    <w:rsid w:val="007E321C"/>
    <w:rsid w:val="007E345E"/>
    <w:rsid w:val="007E407E"/>
    <w:rsid w:val="007E5521"/>
    <w:rsid w:val="007E7476"/>
    <w:rsid w:val="007F1F60"/>
    <w:rsid w:val="007F276C"/>
    <w:rsid w:val="007F2B6F"/>
    <w:rsid w:val="007F2D28"/>
    <w:rsid w:val="007F3540"/>
    <w:rsid w:val="007F4F8D"/>
    <w:rsid w:val="007F6F44"/>
    <w:rsid w:val="007F6FD5"/>
    <w:rsid w:val="00803E57"/>
    <w:rsid w:val="00806B4A"/>
    <w:rsid w:val="00807448"/>
    <w:rsid w:val="00807E29"/>
    <w:rsid w:val="00811F70"/>
    <w:rsid w:val="00813098"/>
    <w:rsid w:val="0081381C"/>
    <w:rsid w:val="00815A0D"/>
    <w:rsid w:val="0081787A"/>
    <w:rsid w:val="00817A38"/>
    <w:rsid w:val="00822EDC"/>
    <w:rsid w:val="00823E1F"/>
    <w:rsid w:val="00824118"/>
    <w:rsid w:val="008245F8"/>
    <w:rsid w:val="00824802"/>
    <w:rsid w:val="008338A7"/>
    <w:rsid w:val="00835345"/>
    <w:rsid w:val="00837790"/>
    <w:rsid w:val="00840FBE"/>
    <w:rsid w:val="00844598"/>
    <w:rsid w:val="008477E9"/>
    <w:rsid w:val="0085089E"/>
    <w:rsid w:val="008513E6"/>
    <w:rsid w:val="008520F1"/>
    <w:rsid w:val="00852E5A"/>
    <w:rsid w:val="0085402B"/>
    <w:rsid w:val="008543EA"/>
    <w:rsid w:val="00856B5D"/>
    <w:rsid w:val="00857DC9"/>
    <w:rsid w:val="00865E80"/>
    <w:rsid w:val="008672AF"/>
    <w:rsid w:val="00867BAF"/>
    <w:rsid w:val="00871943"/>
    <w:rsid w:val="00871B69"/>
    <w:rsid w:val="00871D9A"/>
    <w:rsid w:val="00873AE4"/>
    <w:rsid w:val="0087418C"/>
    <w:rsid w:val="00875B2A"/>
    <w:rsid w:val="00875EB7"/>
    <w:rsid w:val="00875F5E"/>
    <w:rsid w:val="008760F2"/>
    <w:rsid w:val="00876265"/>
    <w:rsid w:val="00877FFD"/>
    <w:rsid w:val="00880936"/>
    <w:rsid w:val="00881B4D"/>
    <w:rsid w:val="00884360"/>
    <w:rsid w:val="00886F4A"/>
    <w:rsid w:val="008879C5"/>
    <w:rsid w:val="00892ECA"/>
    <w:rsid w:val="00893E02"/>
    <w:rsid w:val="008943EA"/>
    <w:rsid w:val="00894D32"/>
    <w:rsid w:val="00894DC2"/>
    <w:rsid w:val="0089532D"/>
    <w:rsid w:val="008A0619"/>
    <w:rsid w:val="008A581D"/>
    <w:rsid w:val="008A7879"/>
    <w:rsid w:val="008B02EB"/>
    <w:rsid w:val="008B3774"/>
    <w:rsid w:val="008B62B5"/>
    <w:rsid w:val="008C0DBE"/>
    <w:rsid w:val="008C1B41"/>
    <w:rsid w:val="008C20D6"/>
    <w:rsid w:val="008C4606"/>
    <w:rsid w:val="008C5B0E"/>
    <w:rsid w:val="008C64B2"/>
    <w:rsid w:val="008C6B1C"/>
    <w:rsid w:val="008D10F1"/>
    <w:rsid w:val="008D5210"/>
    <w:rsid w:val="008D67BD"/>
    <w:rsid w:val="008D7532"/>
    <w:rsid w:val="008D7884"/>
    <w:rsid w:val="008E12A2"/>
    <w:rsid w:val="008E39A6"/>
    <w:rsid w:val="008E4CD4"/>
    <w:rsid w:val="008E5EEB"/>
    <w:rsid w:val="008E6537"/>
    <w:rsid w:val="008E7CD2"/>
    <w:rsid w:val="008F2BC8"/>
    <w:rsid w:val="008F3A15"/>
    <w:rsid w:val="008F3CEE"/>
    <w:rsid w:val="008F3EC6"/>
    <w:rsid w:val="008F4BC6"/>
    <w:rsid w:val="008F527C"/>
    <w:rsid w:val="008F5E15"/>
    <w:rsid w:val="00900BD2"/>
    <w:rsid w:val="00902241"/>
    <w:rsid w:val="00905ECC"/>
    <w:rsid w:val="00906D71"/>
    <w:rsid w:val="00907A8F"/>
    <w:rsid w:val="009102EA"/>
    <w:rsid w:val="0091075F"/>
    <w:rsid w:val="00910C1C"/>
    <w:rsid w:val="00911C03"/>
    <w:rsid w:val="00911C2B"/>
    <w:rsid w:val="00911F09"/>
    <w:rsid w:val="00912938"/>
    <w:rsid w:val="00912EA2"/>
    <w:rsid w:val="00913263"/>
    <w:rsid w:val="00913CC2"/>
    <w:rsid w:val="009145C2"/>
    <w:rsid w:val="009158E6"/>
    <w:rsid w:val="00920792"/>
    <w:rsid w:val="009210E8"/>
    <w:rsid w:val="009214E2"/>
    <w:rsid w:val="00921CAC"/>
    <w:rsid w:val="00926C90"/>
    <w:rsid w:val="00926FB9"/>
    <w:rsid w:val="0093386D"/>
    <w:rsid w:val="00940813"/>
    <w:rsid w:val="00942547"/>
    <w:rsid w:val="00942860"/>
    <w:rsid w:val="009430C6"/>
    <w:rsid w:val="00946125"/>
    <w:rsid w:val="0095096E"/>
    <w:rsid w:val="00951DBE"/>
    <w:rsid w:val="0095208D"/>
    <w:rsid w:val="00953E60"/>
    <w:rsid w:val="00955F15"/>
    <w:rsid w:val="0095710A"/>
    <w:rsid w:val="009614CF"/>
    <w:rsid w:val="00964945"/>
    <w:rsid w:val="00964B2F"/>
    <w:rsid w:val="009663E7"/>
    <w:rsid w:val="009673E2"/>
    <w:rsid w:val="00970282"/>
    <w:rsid w:val="0097142D"/>
    <w:rsid w:val="00971583"/>
    <w:rsid w:val="00971B5C"/>
    <w:rsid w:val="00972D9D"/>
    <w:rsid w:val="0097486A"/>
    <w:rsid w:val="009748DA"/>
    <w:rsid w:val="00977B6D"/>
    <w:rsid w:val="0098123E"/>
    <w:rsid w:val="00981F38"/>
    <w:rsid w:val="00982F56"/>
    <w:rsid w:val="0098361D"/>
    <w:rsid w:val="00983670"/>
    <w:rsid w:val="00986DD7"/>
    <w:rsid w:val="00986FEF"/>
    <w:rsid w:val="00992245"/>
    <w:rsid w:val="0099254F"/>
    <w:rsid w:val="009926FE"/>
    <w:rsid w:val="00996286"/>
    <w:rsid w:val="00996C3F"/>
    <w:rsid w:val="009A1B94"/>
    <w:rsid w:val="009A3204"/>
    <w:rsid w:val="009A4799"/>
    <w:rsid w:val="009A5798"/>
    <w:rsid w:val="009A5FB1"/>
    <w:rsid w:val="009A66C9"/>
    <w:rsid w:val="009A6C72"/>
    <w:rsid w:val="009A740B"/>
    <w:rsid w:val="009B1257"/>
    <w:rsid w:val="009B1732"/>
    <w:rsid w:val="009B3C78"/>
    <w:rsid w:val="009B3C99"/>
    <w:rsid w:val="009B6AB7"/>
    <w:rsid w:val="009C155D"/>
    <w:rsid w:val="009C3779"/>
    <w:rsid w:val="009C4CAC"/>
    <w:rsid w:val="009D2051"/>
    <w:rsid w:val="009D23EB"/>
    <w:rsid w:val="009D3936"/>
    <w:rsid w:val="009D4D38"/>
    <w:rsid w:val="009E05A8"/>
    <w:rsid w:val="009E6D4F"/>
    <w:rsid w:val="009E7618"/>
    <w:rsid w:val="009E7F06"/>
    <w:rsid w:val="009F3B4F"/>
    <w:rsid w:val="009F4949"/>
    <w:rsid w:val="009F558D"/>
    <w:rsid w:val="009F5813"/>
    <w:rsid w:val="009F5B85"/>
    <w:rsid w:val="009F77D0"/>
    <w:rsid w:val="009F7893"/>
    <w:rsid w:val="00A0141D"/>
    <w:rsid w:val="00A04CA7"/>
    <w:rsid w:val="00A0511A"/>
    <w:rsid w:val="00A108C2"/>
    <w:rsid w:val="00A114E9"/>
    <w:rsid w:val="00A12F13"/>
    <w:rsid w:val="00A1429C"/>
    <w:rsid w:val="00A15263"/>
    <w:rsid w:val="00A15ABD"/>
    <w:rsid w:val="00A15ACE"/>
    <w:rsid w:val="00A16F74"/>
    <w:rsid w:val="00A174D1"/>
    <w:rsid w:val="00A21194"/>
    <w:rsid w:val="00A212D0"/>
    <w:rsid w:val="00A21CA8"/>
    <w:rsid w:val="00A226BC"/>
    <w:rsid w:val="00A23B1F"/>
    <w:rsid w:val="00A241B2"/>
    <w:rsid w:val="00A251E9"/>
    <w:rsid w:val="00A25837"/>
    <w:rsid w:val="00A25952"/>
    <w:rsid w:val="00A25C52"/>
    <w:rsid w:val="00A26DEE"/>
    <w:rsid w:val="00A31BF2"/>
    <w:rsid w:val="00A32594"/>
    <w:rsid w:val="00A32790"/>
    <w:rsid w:val="00A34D82"/>
    <w:rsid w:val="00A3683D"/>
    <w:rsid w:val="00A37038"/>
    <w:rsid w:val="00A373EB"/>
    <w:rsid w:val="00A3765E"/>
    <w:rsid w:val="00A400F7"/>
    <w:rsid w:val="00A40147"/>
    <w:rsid w:val="00A4379F"/>
    <w:rsid w:val="00A44009"/>
    <w:rsid w:val="00A467BD"/>
    <w:rsid w:val="00A5618B"/>
    <w:rsid w:val="00A5761D"/>
    <w:rsid w:val="00A62490"/>
    <w:rsid w:val="00A62DE5"/>
    <w:rsid w:val="00A64444"/>
    <w:rsid w:val="00A64CCA"/>
    <w:rsid w:val="00A66FEA"/>
    <w:rsid w:val="00A71A0E"/>
    <w:rsid w:val="00A72013"/>
    <w:rsid w:val="00A7280C"/>
    <w:rsid w:val="00A73868"/>
    <w:rsid w:val="00A769FA"/>
    <w:rsid w:val="00A779A5"/>
    <w:rsid w:val="00A77C28"/>
    <w:rsid w:val="00A80CA2"/>
    <w:rsid w:val="00A8216A"/>
    <w:rsid w:val="00A8539F"/>
    <w:rsid w:val="00A85B9F"/>
    <w:rsid w:val="00A8702B"/>
    <w:rsid w:val="00A8733B"/>
    <w:rsid w:val="00A9011A"/>
    <w:rsid w:val="00A901B7"/>
    <w:rsid w:val="00A91B02"/>
    <w:rsid w:val="00A92D76"/>
    <w:rsid w:val="00A94E24"/>
    <w:rsid w:val="00A952B2"/>
    <w:rsid w:val="00A957C9"/>
    <w:rsid w:val="00AA0847"/>
    <w:rsid w:val="00AA186A"/>
    <w:rsid w:val="00AA1FEA"/>
    <w:rsid w:val="00AA2930"/>
    <w:rsid w:val="00AA593F"/>
    <w:rsid w:val="00AA6129"/>
    <w:rsid w:val="00AA688F"/>
    <w:rsid w:val="00AA6AFC"/>
    <w:rsid w:val="00AA71D5"/>
    <w:rsid w:val="00AA7AA4"/>
    <w:rsid w:val="00AB2331"/>
    <w:rsid w:val="00AB28DF"/>
    <w:rsid w:val="00AB33F4"/>
    <w:rsid w:val="00AB4449"/>
    <w:rsid w:val="00AB55CF"/>
    <w:rsid w:val="00AB705A"/>
    <w:rsid w:val="00AC0074"/>
    <w:rsid w:val="00AC00F7"/>
    <w:rsid w:val="00AC13FF"/>
    <w:rsid w:val="00AC16D7"/>
    <w:rsid w:val="00AC2D4A"/>
    <w:rsid w:val="00AC53E0"/>
    <w:rsid w:val="00AC7582"/>
    <w:rsid w:val="00AC77D9"/>
    <w:rsid w:val="00AD19B8"/>
    <w:rsid w:val="00AD2F7F"/>
    <w:rsid w:val="00AD7D5E"/>
    <w:rsid w:val="00AE2AF4"/>
    <w:rsid w:val="00AE3091"/>
    <w:rsid w:val="00AE3E20"/>
    <w:rsid w:val="00AE4189"/>
    <w:rsid w:val="00AE5822"/>
    <w:rsid w:val="00AF00D8"/>
    <w:rsid w:val="00AF0D70"/>
    <w:rsid w:val="00AF1097"/>
    <w:rsid w:val="00AF4279"/>
    <w:rsid w:val="00AF634C"/>
    <w:rsid w:val="00B00068"/>
    <w:rsid w:val="00B01527"/>
    <w:rsid w:val="00B02EC3"/>
    <w:rsid w:val="00B0371F"/>
    <w:rsid w:val="00B04BED"/>
    <w:rsid w:val="00B066D1"/>
    <w:rsid w:val="00B1116C"/>
    <w:rsid w:val="00B14389"/>
    <w:rsid w:val="00B147F8"/>
    <w:rsid w:val="00B154E3"/>
    <w:rsid w:val="00B15D8E"/>
    <w:rsid w:val="00B16923"/>
    <w:rsid w:val="00B17CDD"/>
    <w:rsid w:val="00B23BB4"/>
    <w:rsid w:val="00B251D5"/>
    <w:rsid w:val="00B25926"/>
    <w:rsid w:val="00B25D7D"/>
    <w:rsid w:val="00B2660D"/>
    <w:rsid w:val="00B3135A"/>
    <w:rsid w:val="00B36E36"/>
    <w:rsid w:val="00B4416A"/>
    <w:rsid w:val="00B45A16"/>
    <w:rsid w:val="00B521FD"/>
    <w:rsid w:val="00B549A5"/>
    <w:rsid w:val="00B605E5"/>
    <w:rsid w:val="00B61EA9"/>
    <w:rsid w:val="00B63758"/>
    <w:rsid w:val="00B6429B"/>
    <w:rsid w:val="00B64F1E"/>
    <w:rsid w:val="00B65C85"/>
    <w:rsid w:val="00B67374"/>
    <w:rsid w:val="00B67567"/>
    <w:rsid w:val="00B70B5F"/>
    <w:rsid w:val="00B70D6A"/>
    <w:rsid w:val="00B70F70"/>
    <w:rsid w:val="00B70FE5"/>
    <w:rsid w:val="00B712D7"/>
    <w:rsid w:val="00B7170F"/>
    <w:rsid w:val="00B72282"/>
    <w:rsid w:val="00B728B7"/>
    <w:rsid w:val="00B7385B"/>
    <w:rsid w:val="00B747BF"/>
    <w:rsid w:val="00B74F24"/>
    <w:rsid w:val="00B767C5"/>
    <w:rsid w:val="00B76B35"/>
    <w:rsid w:val="00B76CC4"/>
    <w:rsid w:val="00B76EE7"/>
    <w:rsid w:val="00B775D0"/>
    <w:rsid w:val="00B80036"/>
    <w:rsid w:val="00B81740"/>
    <w:rsid w:val="00B81B04"/>
    <w:rsid w:val="00B84199"/>
    <w:rsid w:val="00B85135"/>
    <w:rsid w:val="00B864AF"/>
    <w:rsid w:val="00B866C5"/>
    <w:rsid w:val="00B9314A"/>
    <w:rsid w:val="00B93604"/>
    <w:rsid w:val="00B97E8B"/>
    <w:rsid w:val="00BA0ADD"/>
    <w:rsid w:val="00BA14B3"/>
    <w:rsid w:val="00BA3F78"/>
    <w:rsid w:val="00BA5152"/>
    <w:rsid w:val="00BA5781"/>
    <w:rsid w:val="00BA6108"/>
    <w:rsid w:val="00BB0DD6"/>
    <w:rsid w:val="00BB1D0F"/>
    <w:rsid w:val="00BB2357"/>
    <w:rsid w:val="00BB2545"/>
    <w:rsid w:val="00BB45C0"/>
    <w:rsid w:val="00BB52C5"/>
    <w:rsid w:val="00BB7790"/>
    <w:rsid w:val="00BB79AE"/>
    <w:rsid w:val="00BB79DA"/>
    <w:rsid w:val="00BC0A01"/>
    <w:rsid w:val="00BC2385"/>
    <w:rsid w:val="00BC2C99"/>
    <w:rsid w:val="00BC3001"/>
    <w:rsid w:val="00BC4C1C"/>
    <w:rsid w:val="00BC4CDD"/>
    <w:rsid w:val="00BC6554"/>
    <w:rsid w:val="00BD25B5"/>
    <w:rsid w:val="00BD370B"/>
    <w:rsid w:val="00BD4003"/>
    <w:rsid w:val="00BD67B1"/>
    <w:rsid w:val="00BD6BA0"/>
    <w:rsid w:val="00BD6DCC"/>
    <w:rsid w:val="00BE32EC"/>
    <w:rsid w:val="00BE38B3"/>
    <w:rsid w:val="00BE6285"/>
    <w:rsid w:val="00BE6A61"/>
    <w:rsid w:val="00BE7FEF"/>
    <w:rsid w:val="00BF21C7"/>
    <w:rsid w:val="00BF2ACB"/>
    <w:rsid w:val="00BF3615"/>
    <w:rsid w:val="00BF648D"/>
    <w:rsid w:val="00BF7394"/>
    <w:rsid w:val="00BF74CE"/>
    <w:rsid w:val="00C018AC"/>
    <w:rsid w:val="00C02C85"/>
    <w:rsid w:val="00C0691B"/>
    <w:rsid w:val="00C13434"/>
    <w:rsid w:val="00C15C0D"/>
    <w:rsid w:val="00C162B0"/>
    <w:rsid w:val="00C23B12"/>
    <w:rsid w:val="00C23C67"/>
    <w:rsid w:val="00C25148"/>
    <w:rsid w:val="00C25E83"/>
    <w:rsid w:val="00C301D0"/>
    <w:rsid w:val="00C30A4D"/>
    <w:rsid w:val="00C30DE6"/>
    <w:rsid w:val="00C32394"/>
    <w:rsid w:val="00C3388A"/>
    <w:rsid w:val="00C33AE2"/>
    <w:rsid w:val="00C33BBA"/>
    <w:rsid w:val="00C34C44"/>
    <w:rsid w:val="00C357E2"/>
    <w:rsid w:val="00C368D9"/>
    <w:rsid w:val="00C417A6"/>
    <w:rsid w:val="00C4344B"/>
    <w:rsid w:val="00C43CA0"/>
    <w:rsid w:val="00C44732"/>
    <w:rsid w:val="00C44A70"/>
    <w:rsid w:val="00C44D42"/>
    <w:rsid w:val="00C454F9"/>
    <w:rsid w:val="00C519F5"/>
    <w:rsid w:val="00C52443"/>
    <w:rsid w:val="00C54A33"/>
    <w:rsid w:val="00C55F0A"/>
    <w:rsid w:val="00C56A73"/>
    <w:rsid w:val="00C57472"/>
    <w:rsid w:val="00C60B56"/>
    <w:rsid w:val="00C63ECF"/>
    <w:rsid w:val="00C64426"/>
    <w:rsid w:val="00C64A27"/>
    <w:rsid w:val="00C650B5"/>
    <w:rsid w:val="00C66577"/>
    <w:rsid w:val="00C66F8A"/>
    <w:rsid w:val="00C675FD"/>
    <w:rsid w:val="00C7072E"/>
    <w:rsid w:val="00C71581"/>
    <w:rsid w:val="00C73C72"/>
    <w:rsid w:val="00C748D4"/>
    <w:rsid w:val="00C7549A"/>
    <w:rsid w:val="00C77923"/>
    <w:rsid w:val="00C82955"/>
    <w:rsid w:val="00C82C08"/>
    <w:rsid w:val="00C845F4"/>
    <w:rsid w:val="00C87516"/>
    <w:rsid w:val="00C90D32"/>
    <w:rsid w:val="00C91457"/>
    <w:rsid w:val="00C91C3D"/>
    <w:rsid w:val="00C92A30"/>
    <w:rsid w:val="00C93CFD"/>
    <w:rsid w:val="00C949E5"/>
    <w:rsid w:val="00C94EA0"/>
    <w:rsid w:val="00C97E02"/>
    <w:rsid w:val="00CA2DFB"/>
    <w:rsid w:val="00CA3FD9"/>
    <w:rsid w:val="00CA43B5"/>
    <w:rsid w:val="00CA68E9"/>
    <w:rsid w:val="00CA6C48"/>
    <w:rsid w:val="00CA7FD5"/>
    <w:rsid w:val="00CB2039"/>
    <w:rsid w:val="00CB226A"/>
    <w:rsid w:val="00CB2824"/>
    <w:rsid w:val="00CB3811"/>
    <w:rsid w:val="00CB7EE0"/>
    <w:rsid w:val="00CC67AE"/>
    <w:rsid w:val="00CC67DF"/>
    <w:rsid w:val="00CC7D6B"/>
    <w:rsid w:val="00CD0105"/>
    <w:rsid w:val="00CD258C"/>
    <w:rsid w:val="00CD2F93"/>
    <w:rsid w:val="00CD737B"/>
    <w:rsid w:val="00CD7D2A"/>
    <w:rsid w:val="00CE0312"/>
    <w:rsid w:val="00CE0910"/>
    <w:rsid w:val="00CE13E3"/>
    <w:rsid w:val="00CE3CEF"/>
    <w:rsid w:val="00CE4916"/>
    <w:rsid w:val="00CE50C4"/>
    <w:rsid w:val="00CE6EFB"/>
    <w:rsid w:val="00CF0055"/>
    <w:rsid w:val="00CF2186"/>
    <w:rsid w:val="00CF27DA"/>
    <w:rsid w:val="00CF701C"/>
    <w:rsid w:val="00CF7A97"/>
    <w:rsid w:val="00D005FA"/>
    <w:rsid w:val="00D0197C"/>
    <w:rsid w:val="00D0304D"/>
    <w:rsid w:val="00D038A1"/>
    <w:rsid w:val="00D039AB"/>
    <w:rsid w:val="00D11FEC"/>
    <w:rsid w:val="00D12A48"/>
    <w:rsid w:val="00D13628"/>
    <w:rsid w:val="00D142FE"/>
    <w:rsid w:val="00D15D0C"/>
    <w:rsid w:val="00D163C7"/>
    <w:rsid w:val="00D16BC2"/>
    <w:rsid w:val="00D17B04"/>
    <w:rsid w:val="00D2231E"/>
    <w:rsid w:val="00D223BC"/>
    <w:rsid w:val="00D24218"/>
    <w:rsid w:val="00D25698"/>
    <w:rsid w:val="00D25B0A"/>
    <w:rsid w:val="00D2756B"/>
    <w:rsid w:val="00D275C4"/>
    <w:rsid w:val="00D2765F"/>
    <w:rsid w:val="00D30C19"/>
    <w:rsid w:val="00D31837"/>
    <w:rsid w:val="00D31898"/>
    <w:rsid w:val="00D31E7E"/>
    <w:rsid w:val="00D34949"/>
    <w:rsid w:val="00D37EAE"/>
    <w:rsid w:val="00D41F0F"/>
    <w:rsid w:val="00D42501"/>
    <w:rsid w:val="00D45147"/>
    <w:rsid w:val="00D458BC"/>
    <w:rsid w:val="00D46388"/>
    <w:rsid w:val="00D46C1F"/>
    <w:rsid w:val="00D5057C"/>
    <w:rsid w:val="00D50BDE"/>
    <w:rsid w:val="00D53A8F"/>
    <w:rsid w:val="00D5416F"/>
    <w:rsid w:val="00D55AAB"/>
    <w:rsid w:val="00D61271"/>
    <w:rsid w:val="00D61C34"/>
    <w:rsid w:val="00D62E2A"/>
    <w:rsid w:val="00D6452D"/>
    <w:rsid w:val="00D64E9E"/>
    <w:rsid w:val="00D658BC"/>
    <w:rsid w:val="00D6675B"/>
    <w:rsid w:val="00D66C0F"/>
    <w:rsid w:val="00D66F35"/>
    <w:rsid w:val="00D67226"/>
    <w:rsid w:val="00D677A8"/>
    <w:rsid w:val="00D67E46"/>
    <w:rsid w:val="00D67E8F"/>
    <w:rsid w:val="00D70299"/>
    <w:rsid w:val="00D70B9D"/>
    <w:rsid w:val="00D72829"/>
    <w:rsid w:val="00D729A8"/>
    <w:rsid w:val="00D73EE7"/>
    <w:rsid w:val="00D742C9"/>
    <w:rsid w:val="00D75612"/>
    <w:rsid w:val="00D771F0"/>
    <w:rsid w:val="00D80C0E"/>
    <w:rsid w:val="00D824B6"/>
    <w:rsid w:val="00D82E12"/>
    <w:rsid w:val="00D833EE"/>
    <w:rsid w:val="00D838B1"/>
    <w:rsid w:val="00D841A1"/>
    <w:rsid w:val="00D84843"/>
    <w:rsid w:val="00D84CBF"/>
    <w:rsid w:val="00D84DB4"/>
    <w:rsid w:val="00D87A6B"/>
    <w:rsid w:val="00D87A73"/>
    <w:rsid w:val="00D920EA"/>
    <w:rsid w:val="00D92714"/>
    <w:rsid w:val="00D947CF"/>
    <w:rsid w:val="00D947F5"/>
    <w:rsid w:val="00DA0826"/>
    <w:rsid w:val="00DA083D"/>
    <w:rsid w:val="00DA0E00"/>
    <w:rsid w:val="00DA20C1"/>
    <w:rsid w:val="00DA3B6F"/>
    <w:rsid w:val="00DA484E"/>
    <w:rsid w:val="00DA6104"/>
    <w:rsid w:val="00DA65E0"/>
    <w:rsid w:val="00DA78DF"/>
    <w:rsid w:val="00DB0D2F"/>
    <w:rsid w:val="00DB1FD5"/>
    <w:rsid w:val="00DB25AA"/>
    <w:rsid w:val="00DB37C0"/>
    <w:rsid w:val="00DB38EE"/>
    <w:rsid w:val="00DB4474"/>
    <w:rsid w:val="00DB4688"/>
    <w:rsid w:val="00DB559A"/>
    <w:rsid w:val="00DB7A08"/>
    <w:rsid w:val="00DC07F8"/>
    <w:rsid w:val="00DC1387"/>
    <w:rsid w:val="00DC2832"/>
    <w:rsid w:val="00DC3181"/>
    <w:rsid w:val="00DC6A53"/>
    <w:rsid w:val="00DC6BE2"/>
    <w:rsid w:val="00DC7AC1"/>
    <w:rsid w:val="00DC7F0B"/>
    <w:rsid w:val="00DD0B75"/>
    <w:rsid w:val="00DD2CEB"/>
    <w:rsid w:val="00DD2F5E"/>
    <w:rsid w:val="00DD3EF9"/>
    <w:rsid w:val="00DD418A"/>
    <w:rsid w:val="00DD5C08"/>
    <w:rsid w:val="00DD776A"/>
    <w:rsid w:val="00DE1A3B"/>
    <w:rsid w:val="00DE1BE7"/>
    <w:rsid w:val="00DE2230"/>
    <w:rsid w:val="00DE23B2"/>
    <w:rsid w:val="00DE408C"/>
    <w:rsid w:val="00DE42E6"/>
    <w:rsid w:val="00DE4FA9"/>
    <w:rsid w:val="00DE5BA5"/>
    <w:rsid w:val="00DE7123"/>
    <w:rsid w:val="00DE79FD"/>
    <w:rsid w:val="00DF1B6C"/>
    <w:rsid w:val="00DF2492"/>
    <w:rsid w:val="00DF2A25"/>
    <w:rsid w:val="00DF6A22"/>
    <w:rsid w:val="00DF75CB"/>
    <w:rsid w:val="00DF79A2"/>
    <w:rsid w:val="00DF7BAB"/>
    <w:rsid w:val="00E028CE"/>
    <w:rsid w:val="00E03F83"/>
    <w:rsid w:val="00E040F4"/>
    <w:rsid w:val="00E0485E"/>
    <w:rsid w:val="00E05FAC"/>
    <w:rsid w:val="00E06188"/>
    <w:rsid w:val="00E06C45"/>
    <w:rsid w:val="00E10A17"/>
    <w:rsid w:val="00E116A9"/>
    <w:rsid w:val="00E13C45"/>
    <w:rsid w:val="00E23628"/>
    <w:rsid w:val="00E25EC5"/>
    <w:rsid w:val="00E2765B"/>
    <w:rsid w:val="00E27891"/>
    <w:rsid w:val="00E30916"/>
    <w:rsid w:val="00E34A35"/>
    <w:rsid w:val="00E3553E"/>
    <w:rsid w:val="00E41290"/>
    <w:rsid w:val="00E425BA"/>
    <w:rsid w:val="00E4328A"/>
    <w:rsid w:val="00E4503C"/>
    <w:rsid w:val="00E45687"/>
    <w:rsid w:val="00E458D7"/>
    <w:rsid w:val="00E45CDE"/>
    <w:rsid w:val="00E46B4B"/>
    <w:rsid w:val="00E50658"/>
    <w:rsid w:val="00E51F18"/>
    <w:rsid w:val="00E5204F"/>
    <w:rsid w:val="00E52A15"/>
    <w:rsid w:val="00E52B44"/>
    <w:rsid w:val="00E54558"/>
    <w:rsid w:val="00E54E01"/>
    <w:rsid w:val="00E553FD"/>
    <w:rsid w:val="00E560B5"/>
    <w:rsid w:val="00E615FD"/>
    <w:rsid w:val="00E61B7E"/>
    <w:rsid w:val="00E61FE3"/>
    <w:rsid w:val="00E635FC"/>
    <w:rsid w:val="00E651AA"/>
    <w:rsid w:val="00E65D59"/>
    <w:rsid w:val="00E66E47"/>
    <w:rsid w:val="00E70863"/>
    <w:rsid w:val="00E70EA8"/>
    <w:rsid w:val="00E71F1E"/>
    <w:rsid w:val="00E7375A"/>
    <w:rsid w:val="00E73A40"/>
    <w:rsid w:val="00E7554C"/>
    <w:rsid w:val="00E75EBA"/>
    <w:rsid w:val="00E7606D"/>
    <w:rsid w:val="00E7630E"/>
    <w:rsid w:val="00E76C33"/>
    <w:rsid w:val="00E800E8"/>
    <w:rsid w:val="00E80F59"/>
    <w:rsid w:val="00E81297"/>
    <w:rsid w:val="00E81E26"/>
    <w:rsid w:val="00E822E9"/>
    <w:rsid w:val="00E82C87"/>
    <w:rsid w:val="00E82DA5"/>
    <w:rsid w:val="00E82E92"/>
    <w:rsid w:val="00E8418F"/>
    <w:rsid w:val="00E856EE"/>
    <w:rsid w:val="00E8616A"/>
    <w:rsid w:val="00E86372"/>
    <w:rsid w:val="00E86472"/>
    <w:rsid w:val="00E86900"/>
    <w:rsid w:val="00E87355"/>
    <w:rsid w:val="00E877F9"/>
    <w:rsid w:val="00E92D24"/>
    <w:rsid w:val="00E93BD6"/>
    <w:rsid w:val="00E947A8"/>
    <w:rsid w:val="00E9623A"/>
    <w:rsid w:val="00EA0A57"/>
    <w:rsid w:val="00EA0FB7"/>
    <w:rsid w:val="00EA1690"/>
    <w:rsid w:val="00EA1CBD"/>
    <w:rsid w:val="00EA40B2"/>
    <w:rsid w:val="00EA4817"/>
    <w:rsid w:val="00EA58FA"/>
    <w:rsid w:val="00EA5BCF"/>
    <w:rsid w:val="00EA740D"/>
    <w:rsid w:val="00EA7C07"/>
    <w:rsid w:val="00EB01C1"/>
    <w:rsid w:val="00EB2DB6"/>
    <w:rsid w:val="00EB3087"/>
    <w:rsid w:val="00EB37E2"/>
    <w:rsid w:val="00EB3E1C"/>
    <w:rsid w:val="00EB4E6D"/>
    <w:rsid w:val="00EB57EA"/>
    <w:rsid w:val="00EB5D44"/>
    <w:rsid w:val="00EB641A"/>
    <w:rsid w:val="00EC1335"/>
    <w:rsid w:val="00EC1F42"/>
    <w:rsid w:val="00EC262A"/>
    <w:rsid w:val="00EC38ED"/>
    <w:rsid w:val="00EC5256"/>
    <w:rsid w:val="00EC5DFF"/>
    <w:rsid w:val="00ED088C"/>
    <w:rsid w:val="00ED1900"/>
    <w:rsid w:val="00ED43C8"/>
    <w:rsid w:val="00ED72BB"/>
    <w:rsid w:val="00EE2730"/>
    <w:rsid w:val="00EE5B75"/>
    <w:rsid w:val="00EE5E27"/>
    <w:rsid w:val="00EF33D5"/>
    <w:rsid w:val="00EF528A"/>
    <w:rsid w:val="00EF5DD2"/>
    <w:rsid w:val="00EF65BF"/>
    <w:rsid w:val="00EF7222"/>
    <w:rsid w:val="00F00FB7"/>
    <w:rsid w:val="00F00FEC"/>
    <w:rsid w:val="00F01167"/>
    <w:rsid w:val="00F02EDD"/>
    <w:rsid w:val="00F040D9"/>
    <w:rsid w:val="00F044BB"/>
    <w:rsid w:val="00F04C7A"/>
    <w:rsid w:val="00F06906"/>
    <w:rsid w:val="00F0772F"/>
    <w:rsid w:val="00F129D2"/>
    <w:rsid w:val="00F14073"/>
    <w:rsid w:val="00F1441F"/>
    <w:rsid w:val="00F1524D"/>
    <w:rsid w:val="00F16FD3"/>
    <w:rsid w:val="00F17D11"/>
    <w:rsid w:val="00F205EB"/>
    <w:rsid w:val="00F218F2"/>
    <w:rsid w:val="00F2327C"/>
    <w:rsid w:val="00F25160"/>
    <w:rsid w:val="00F25484"/>
    <w:rsid w:val="00F2646F"/>
    <w:rsid w:val="00F31F57"/>
    <w:rsid w:val="00F3227C"/>
    <w:rsid w:val="00F349BD"/>
    <w:rsid w:val="00F34DAD"/>
    <w:rsid w:val="00F37C85"/>
    <w:rsid w:val="00F41540"/>
    <w:rsid w:val="00F42ACE"/>
    <w:rsid w:val="00F4458D"/>
    <w:rsid w:val="00F46730"/>
    <w:rsid w:val="00F52D14"/>
    <w:rsid w:val="00F532EA"/>
    <w:rsid w:val="00F53628"/>
    <w:rsid w:val="00F545B2"/>
    <w:rsid w:val="00F603AE"/>
    <w:rsid w:val="00F606D7"/>
    <w:rsid w:val="00F6085F"/>
    <w:rsid w:val="00F61C17"/>
    <w:rsid w:val="00F61C57"/>
    <w:rsid w:val="00F62C69"/>
    <w:rsid w:val="00F66C6E"/>
    <w:rsid w:val="00F713AF"/>
    <w:rsid w:val="00F7669A"/>
    <w:rsid w:val="00F76AB4"/>
    <w:rsid w:val="00F776AD"/>
    <w:rsid w:val="00F81D34"/>
    <w:rsid w:val="00F82451"/>
    <w:rsid w:val="00F832CF"/>
    <w:rsid w:val="00F83462"/>
    <w:rsid w:val="00F8444F"/>
    <w:rsid w:val="00F8548C"/>
    <w:rsid w:val="00F91885"/>
    <w:rsid w:val="00F918B9"/>
    <w:rsid w:val="00F91B32"/>
    <w:rsid w:val="00F95509"/>
    <w:rsid w:val="00F95EC3"/>
    <w:rsid w:val="00F9636E"/>
    <w:rsid w:val="00FA1022"/>
    <w:rsid w:val="00FA15C2"/>
    <w:rsid w:val="00FA16AF"/>
    <w:rsid w:val="00FA19C3"/>
    <w:rsid w:val="00FA262B"/>
    <w:rsid w:val="00FA3AE0"/>
    <w:rsid w:val="00FA4E10"/>
    <w:rsid w:val="00FA50BE"/>
    <w:rsid w:val="00FA5BD0"/>
    <w:rsid w:val="00FA6271"/>
    <w:rsid w:val="00FA7BC1"/>
    <w:rsid w:val="00FB075F"/>
    <w:rsid w:val="00FB1569"/>
    <w:rsid w:val="00FB1EEF"/>
    <w:rsid w:val="00FB33CD"/>
    <w:rsid w:val="00FB34CB"/>
    <w:rsid w:val="00FB5246"/>
    <w:rsid w:val="00FB5C77"/>
    <w:rsid w:val="00FB605A"/>
    <w:rsid w:val="00FB6257"/>
    <w:rsid w:val="00FB6A89"/>
    <w:rsid w:val="00FB6C11"/>
    <w:rsid w:val="00FC1E3F"/>
    <w:rsid w:val="00FC4954"/>
    <w:rsid w:val="00FC5188"/>
    <w:rsid w:val="00FC6A7C"/>
    <w:rsid w:val="00FC7402"/>
    <w:rsid w:val="00FC7871"/>
    <w:rsid w:val="00FD17D0"/>
    <w:rsid w:val="00FD1D2D"/>
    <w:rsid w:val="00FD2404"/>
    <w:rsid w:val="00FD2E47"/>
    <w:rsid w:val="00FD3474"/>
    <w:rsid w:val="00FD4C2B"/>
    <w:rsid w:val="00FD6873"/>
    <w:rsid w:val="00FD78BE"/>
    <w:rsid w:val="00FD7CCF"/>
    <w:rsid w:val="00FE09DF"/>
    <w:rsid w:val="00FE1033"/>
    <w:rsid w:val="00FE137B"/>
    <w:rsid w:val="00FE138A"/>
    <w:rsid w:val="00FE3D08"/>
    <w:rsid w:val="00FE5896"/>
    <w:rsid w:val="00FE6802"/>
    <w:rsid w:val="00FE6D24"/>
    <w:rsid w:val="00FF0BD7"/>
    <w:rsid w:val="00FF190B"/>
    <w:rsid w:val="00FF2A03"/>
    <w:rsid w:val="00FF2F2D"/>
    <w:rsid w:val="00FF37E3"/>
    <w:rsid w:val="00FF4088"/>
    <w:rsid w:val="00FF4B93"/>
    <w:rsid w:val="00FF4DEF"/>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A98BD"/>
  <w15:chartTrackingRefBased/>
  <w15:docId w15:val="{C6479006-D72A-4661-A5B5-4D55870E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417A6"/>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C417A6"/>
    <w:rPr>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customStyle="1" w:styleId="Cuadrculamedia21">
    <w:name w:val="Cuadrícula media 21"/>
    <w:aliases w:val="Encabezado1"/>
    <w:link w:val="Cuadrculamedia2Car"/>
    <w:autoRedefine/>
    <w:uiPriority w:val="1"/>
    <w:qFormat/>
    <w:rsid w:val="00743E0D"/>
    <w:pPr>
      <w:jc w:val="center"/>
    </w:pPr>
    <w:rPr>
      <w:b/>
      <w:caps/>
      <w:color w:val="000000"/>
      <w:sz w:val="24"/>
      <w:szCs w:val="16"/>
      <w:lang w:eastAsia="es-ES_tradnl"/>
    </w:rPr>
  </w:style>
  <w:style w:type="character" w:customStyle="1" w:styleId="Cuadrculamedia2Car">
    <w:name w:val="Cuadrícula media 2 Car"/>
    <w:aliases w:val="Encabezado1 Car"/>
    <w:link w:val="Cuadrculamedia21"/>
    <w:uiPriority w:val="1"/>
    <w:rsid w:val="00743E0D"/>
    <w:rPr>
      <w:b/>
      <w:caps/>
      <w:color w:val="000000"/>
      <w:sz w:val="24"/>
      <w:szCs w:val="16"/>
      <w:lang w:eastAsia="es-ES_tradnl"/>
    </w:rPr>
  </w:style>
  <w:style w:type="paragraph" w:customStyle="1" w:styleId="Cuadrculavistosa-nfasis11">
    <w:name w:val="Cuadrícula vistosa - Énfasis 11"/>
    <w:basedOn w:val="Normal"/>
    <w:next w:val="Normal"/>
    <w:link w:val="Cuadrculavistosa-nfasis1Car"/>
    <w:autoRedefine/>
    <w:uiPriority w:val="29"/>
    <w:qFormat/>
    <w:rsid w:val="00083B8F"/>
    <w:pPr>
      <w:ind w:left="862" w:right="862"/>
      <w:jc w:val="left"/>
    </w:pPr>
    <w:rPr>
      <w:i/>
      <w:iCs/>
      <w:color w:val="404040"/>
    </w:rPr>
  </w:style>
  <w:style w:type="character" w:customStyle="1" w:styleId="Cuadrculavistosa-nfasis1Car">
    <w:name w:val="Cuadrícula vistosa - Énfasis 1 Car"/>
    <w:link w:val="Cuadrculavistosa-nfasis11"/>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customStyle="1" w:styleId="Listavistosa-nfasis11">
    <w:name w:val="Lista vistosa - Énfasis 11"/>
    <w:basedOn w:val="Normal"/>
    <w:uiPriority w:val="34"/>
    <w:qFormat/>
    <w:rsid w:val="00E425BA"/>
    <w:pPr>
      <w:ind w:left="708"/>
    </w:pPr>
  </w:style>
  <w:style w:type="paragraph" w:styleId="Asuntodelcomentario">
    <w:name w:val="annotation subject"/>
    <w:basedOn w:val="Textocomentario"/>
    <w:next w:val="Textocomentario"/>
    <w:link w:val="AsuntodelcomentarioCar"/>
    <w:uiPriority w:val="99"/>
    <w:semiHidden/>
    <w:unhideWhenUsed/>
    <w:rsid w:val="00643802"/>
    <w:pPr>
      <w:spacing w:after="0" w:line="240" w:lineRule="auto"/>
      <w:jc w:val="both"/>
    </w:pPr>
    <w:rPr>
      <w:rFonts w:ascii="Arial" w:hAnsi="Arial" w:cs="Arial"/>
      <w:b/>
      <w:bCs/>
      <w:lang w:val="es-CO" w:eastAsia="es-ES_tradnl"/>
    </w:rPr>
  </w:style>
  <w:style w:type="character" w:customStyle="1" w:styleId="AsuntodelcomentarioCar">
    <w:name w:val="Asunto del comentario Car"/>
    <w:link w:val="Asuntodelcomentario"/>
    <w:uiPriority w:val="99"/>
    <w:semiHidden/>
    <w:rsid w:val="00643802"/>
    <w:rPr>
      <w:rFonts w:ascii="Calibri" w:hAnsi="Calibri" w:cs="Times New Roman"/>
      <w:b/>
      <w:bCs/>
      <w:lang w:val="es-ES" w:eastAsia="es-ES_tradnl"/>
    </w:rPr>
  </w:style>
  <w:style w:type="paragraph" w:styleId="Prrafodelista">
    <w:name w:val="List Paragraph"/>
    <w:basedOn w:val="Normal"/>
    <w:link w:val="PrrafodelistaCar"/>
    <w:uiPriority w:val="34"/>
    <w:qFormat/>
    <w:rsid w:val="003B184C"/>
    <w:pPr>
      <w:ind w:left="708"/>
      <w:jc w:val="left"/>
    </w:pPr>
    <w:rPr>
      <w:rFonts w:ascii="Calibri" w:eastAsia="Times New Roman" w:hAnsi="Calibri" w:cs="Times New Roman"/>
      <w:sz w:val="22"/>
      <w:szCs w:val="22"/>
      <w:lang w:val="es-ES" w:eastAsia="en-US"/>
    </w:rPr>
  </w:style>
  <w:style w:type="character" w:customStyle="1" w:styleId="PrrafodelistaCar">
    <w:name w:val="Párrafo de lista Car"/>
    <w:link w:val="Prrafodelista"/>
    <w:uiPriority w:val="34"/>
    <w:qFormat/>
    <w:locked/>
    <w:rsid w:val="003B184C"/>
    <w:rPr>
      <w:rFonts w:ascii="Calibri" w:eastAsia="Times New Roman" w:hAnsi="Calibri" w:cs="Times New Roman"/>
      <w:sz w:val="22"/>
      <w:szCs w:val="22"/>
      <w:lang w:eastAsia="en-US"/>
    </w:rPr>
  </w:style>
  <w:style w:type="paragraph" w:styleId="NormalWeb">
    <w:name w:val="Normal (Web)"/>
    <w:basedOn w:val="Normal"/>
    <w:uiPriority w:val="99"/>
    <w:unhideWhenUsed/>
    <w:rsid w:val="00E4503C"/>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p1">
    <w:name w:val="p1"/>
    <w:basedOn w:val="Normal"/>
    <w:rsid w:val="003E02F0"/>
    <w:pPr>
      <w:jc w:val="left"/>
    </w:pPr>
    <w:rPr>
      <w:rFonts w:ascii="Helvetica" w:hAnsi="Helvetica" w:cs="Times New Roman"/>
      <w:lang w:val="es-ES_tradnl"/>
    </w:rPr>
  </w:style>
  <w:style w:type="paragraph" w:customStyle="1" w:styleId="paragraph">
    <w:name w:val="paragraph"/>
    <w:basedOn w:val="Normal"/>
    <w:rsid w:val="00C56A73"/>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56A73"/>
  </w:style>
  <w:style w:type="character" w:customStyle="1" w:styleId="eop">
    <w:name w:val="eop"/>
    <w:basedOn w:val="Fuentedeprrafopredeter"/>
    <w:rsid w:val="00C56A73"/>
  </w:style>
  <w:style w:type="character" w:customStyle="1" w:styleId="superscript">
    <w:name w:val="superscript"/>
    <w:basedOn w:val="Fuentedeprrafopredeter"/>
    <w:rsid w:val="00C56A73"/>
  </w:style>
  <w:style w:type="paragraph" w:styleId="Revisin">
    <w:name w:val="Revision"/>
    <w:hidden/>
    <w:uiPriority w:val="99"/>
    <w:semiHidden/>
    <w:rsid w:val="00490FA5"/>
    <w:rPr>
      <w:sz w:val="16"/>
      <w:szCs w:val="16"/>
      <w:lang w:eastAsia="es-ES_tradnl"/>
    </w:rPr>
  </w:style>
  <w:style w:type="character" w:customStyle="1" w:styleId="fontstyle01">
    <w:name w:val="fontstyle01"/>
    <w:rsid w:val="00DC1387"/>
    <w:rPr>
      <w:rFonts w:ascii="TimesNewRomanPSMT" w:hAnsi="TimesNewRomanPSMT" w:hint="default"/>
      <w:b w:val="0"/>
      <w:bCs w:val="0"/>
      <w:i w:val="0"/>
      <w:iCs w:val="0"/>
      <w:color w:val="000000"/>
      <w:sz w:val="24"/>
      <w:szCs w:val="24"/>
    </w:rPr>
  </w:style>
  <w:style w:type="character" w:customStyle="1" w:styleId="fontstyle21">
    <w:name w:val="fontstyle21"/>
    <w:rsid w:val="00DC1387"/>
    <w:rPr>
      <w:rFonts w:ascii="TimesNewRomanPS-BoldMT" w:hAnsi="TimesNewRomanPS-BoldMT" w:hint="default"/>
      <w:b/>
      <w:bCs/>
      <w:i w:val="0"/>
      <w:iCs w:val="0"/>
      <w:color w:val="000000"/>
      <w:sz w:val="24"/>
      <w:szCs w:val="24"/>
    </w:rPr>
  </w:style>
  <w:style w:type="character" w:customStyle="1" w:styleId="fontstyle31">
    <w:name w:val="fontstyle31"/>
    <w:rsid w:val="00DC1387"/>
    <w:rPr>
      <w:rFonts w:ascii="Arial-ItalicMT" w:hAnsi="Arial-ItalicMT" w:hint="default"/>
      <w:b w:val="0"/>
      <w:bCs w:val="0"/>
      <w:i/>
      <w:iCs/>
      <w:color w:val="000000"/>
      <w:sz w:val="24"/>
      <w:szCs w:val="24"/>
    </w:rPr>
  </w:style>
  <w:style w:type="paragraph" w:styleId="Sinespaciado">
    <w:name w:val="No Spacing"/>
    <w:aliases w:val="CITA,Bullets"/>
    <w:uiPriority w:val="1"/>
    <w:qFormat/>
    <w:rsid w:val="00D67226"/>
    <w:pPr>
      <w:jc w:val="both"/>
    </w:pPr>
    <w:rPr>
      <w:rFonts w:ascii="Verdana" w:hAnsi="Verdana"/>
      <w:sz w:val="24"/>
      <w:szCs w:val="24"/>
      <w:lang w:val="es-ES" w:eastAsia="en-US"/>
    </w:rPr>
  </w:style>
  <w:style w:type="character" w:customStyle="1" w:styleId="findhit">
    <w:name w:val="findhit"/>
    <w:basedOn w:val="Fuentedeprrafopredeter"/>
    <w:rsid w:val="00942547"/>
  </w:style>
  <w:style w:type="character" w:styleId="Mencinsinresolver">
    <w:name w:val="Unresolved Mention"/>
    <w:uiPriority w:val="99"/>
    <w:semiHidden/>
    <w:unhideWhenUsed/>
    <w:rsid w:val="00FC7402"/>
    <w:rPr>
      <w:color w:val="605E5C"/>
      <w:shd w:val="clear" w:color="auto" w:fill="E1DFDD"/>
    </w:rPr>
  </w:style>
  <w:style w:type="paragraph" w:customStyle="1" w:styleId="Cuadrculamedia210">
    <w:name w:val="Cuadrícula media 21"/>
    <w:uiPriority w:val="1"/>
    <w:qFormat/>
    <w:rsid w:val="007E407E"/>
    <w:rPr>
      <w:rFonts w:ascii="Calibri" w:eastAsia="SimSu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850">
      <w:bodyDiv w:val="1"/>
      <w:marLeft w:val="0"/>
      <w:marRight w:val="0"/>
      <w:marTop w:val="0"/>
      <w:marBottom w:val="0"/>
      <w:divBdr>
        <w:top w:val="none" w:sz="0" w:space="0" w:color="auto"/>
        <w:left w:val="none" w:sz="0" w:space="0" w:color="auto"/>
        <w:bottom w:val="none" w:sz="0" w:space="0" w:color="auto"/>
        <w:right w:val="none" w:sz="0" w:space="0" w:color="auto"/>
      </w:divBdr>
    </w:div>
    <w:div w:id="76487619">
      <w:bodyDiv w:val="1"/>
      <w:marLeft w:val="0"/>
      <w:marRight w:val="0"/>
      <w:marTop w:val="0"/>
      <w:marBottom w:val="0"/>
      <w:divBdr>
        <w:top w:val="none" w:sz="0" w:space="0" w:color="auto"/>
        <w:left w:val="none" w:sz="0" w:space="0" w:color="auto"/>
        <w:bottom w:val="none" w:sz="0" w:space="0" w:color="auto"/>
        <w:right w:val="none" w:sz="0" w:space="0" w:color="auto"/>
      </w:divBdr>
    </w:div>
    <w:div w:id="96993975">
      <w:bodyDiv w:val="1"/>
      <w:marLeft w:val="0"/>
      <w:marRight w:val="0"/>
      <w:marTop w:val="0"/>
      <w:marBottom w:val="0"/>
      <w:divBdr>
        <w:top w:val="none" w:sz="0" w:space="0" w:color="auto"/>
        <w:left w:val="none" w:sz="0" w:space="0" w:color="auto"/>
        <w:bottom w:val="none" w:sz="0" w:space="0" w:color="auto"/>
        <w:right w:val="none" w:sz="0" w:space="0" w:color="auto"/>
      </w:divBdr>
      <w:divsChild>
        <w:div w:id="547762339">
          <w:marLeft w:val="0"/>
          <w:marRight w:val="0"/>
          <w:marTop w:val="0"/>
          <w:marBottom w:val="0"/>
          <w:divBdr>
            <w:top w:val="none" w:sz="0" w:space="0" w:color="auto"/>
            <w:left w:val="none" w:sz="0" w:space="0" w:color="auto"/>
            <w:bottom w:val="none" w:sz="0" w:space="0" w:color="auto"/>
            <w:right w:val="none" w:sz="0" w:space="0" w:color="auto"/>
          </w:divBdr>
        </w:div>
        <w:div w:id="854030733">
          <w:marLeft w:val="0"/>
          <w:marRight w:val="0"/>
          <w:marTop w:val="0"/>
          <w:marBottom w:val="0"/>
          <w:divBdr>
            <w:top w:val="none" w:sz="0" w:space="0" w:color="auto"/>
            <w:left w:val="none" w:sz="0" w:space="0" w:color="auto"/>
            <w:bottom w:val="none" w:sz="0" w:space="0" w:color="auto"/>
            <w:right w:val="none" w:sz="0" w:space="0" w:color="auto"/>
          </w:divBdr>
        </w:div>
        <w:div w:id="943345917">
          <w:marLeft w:val="0"/>
          <w:marRight w:val="0"/>
          <w:marTop w:val="0"/>
          <w:marBottom w:val="0"/>
          <w:divBdr>
            <w:top w:val="none" w:sz="0" w:space="0" w:color="auto"/>
            <w:left w:val="none" w:sz="0" w:space="0" w:color="auto"/>
            <w:bottom w:val="none" w:sz="0" w:space="0" w:color="auto"/>
            <w:right w:val="none" w:sz="0" w:space="0" w:color="auto"/>
          </w:divBdr>
        </w:div>
        <w:div w:id="1270434469">
          <w:marLeft w:val="0"/>
          <w:marRight w:val="0"/>
          <w:marTop w:val="0"/>
          <w:marBottom w:val="0"/>
          <w:divBdr>
            <w:top w:val="none" w:sz="0" w:space="0" w:color="auto"/>
            <w:left w:val="none" w:sz="0" w:space="0" w:color="auto"/>
            <w:bottom w:val="none" w:sz="0" w:space="0" w:color="auto"/>
            <w:right w:val="none" w:sz="0" w:space="0" w:color="auto"/>
          </w:divBdr>
        </w:div>
      </w:divsChild>
    </w:div>
    <w:div w:id="685719166">
      <w:bodyDiv w:val="1"/>
      <w:marLeft w:val="0"/>
      <w:marRight w:val="0"/>
      <w:marTop w:val="0"/>
      <w:marBottom w:val="0"/>
      <w:divBdr>
        <w:top w:val="none" w:sz="0" w:space="0" w:color="auto"/>
        <w:left w:val="none" w:sz="0" w:space="0" w:color="auto"/>
        <w:bottom w:val="none" w:sz="0" w:space="0" w:color="auto"/>
        <w:right w:val="none" w:sz="0" w:space="0" w:color="auto"/>
      </w:divBdr>
      <w:divsChild>
        <w:div w:id="125244389">
          <w:marLeft w:val="0"/>
          <w:marRight w:val="0"/>
          <w:marTop w:val="0"/>
          <w:marBottom w:val="0"/>
          <w:divBdr>
            <w:top w:val="none" w:sz="0" w:space="0" w:color="auto"/>
            <w:left w:val="none" w:sz="0" w:space="0" w:color="auto"/>
            <w:bottom w:val="none" w:sz="0" w:space="0" w:color="auto"/>
            <w:right w:val="none" w:sz="0" w:space="0" w:color="auto"/>
          </w:divBdr>
        </w:div>
        <w:div w:id="754984244">
          <w:marLeft w:val="0"/>
          <w:marRight w:val="0"/>
          <w:marTop w:val="0"/>
          <w:marBottom w:val="0"/>
          <w:divBdr>
            <w:top w:val="none" w:sz="0" w:space="0" w:color="auto"/>
            <w:left w:val="none" w:sz="0" w:space="0" w:color="auto"/>
            <w:bottom w:val="none" w:sz="0" w:space="0" w:color="auto"/>
            <w:right w:val="none" w:sz="0" w:space="0" w:color="auto"/>
          </w:divBdr>
        </w:div>
        <w:div w:id="1261991341">
          <w:marLeft w:val="0"/>
          <w:marRight w:val="0"/>
          <w:marTop w:val="0"/>
          <w:marBottom w:val="0"/>
          <w:divBdr>
            <w:top w:val="none" w:sz="0" w:space="0" w:color="auto"/>
            <w:left w:val="none" w:sz="0" w:space="0" w:color="auto"/>
            <w:bottom w:val="none" w:sz="0" w:space="0" w:color="auto"/>
            <w:right w:val="none" w:sz="0" w:space="0" w:color="auto"/>
          </w:divBdr>
        </w:div>
        <w:div w:id="1281187207">
          <w:marLeft w:val="0"/>
          <w:marRight w:val="0"/>
          <w:marTop w:val="0"/>
          <w:marBottom w:val="0"/>
          <w:divBdr>
            <w:top w:val="none" w:sz="0" w:space="0" w:color="auto"/>
            <w:left w:val="none" w:sz="0" w:space="0" w:color="auto"/>
            <w:bottom w:val="none" w:sz="0" w:space="0" w:color="auto"/>
            <w:right w:val="none" w:sz="0" w:space="0" w:color="auto"/>
          </w:divBdr>
        </w:div>
        <w:div w:id="2015523272">
          <w:marLeft w:val="0"/>
          <w:marRight w:val="0"/>
          <w:marTop w:val="0"/>
          <w:marBottom w:val="0"/>
          <w:divBdr>
            <w:top w:val="none" w:sz="0" w:space="0" w:color="auto"/>
            <w:left w:val="none" w:sz="0" w:space="0" w:color="auto"/>
            <w:bottom w:val="none" w:sz="0" w:space="0" w:color="auto"/>
            <w:right w:val="none" w:sz="0" w:space="0" w:color="auto"/>
          </w:divBdr>
        </w:div>
      </w:divsChild>
    </w:div>
    <w:div w:id="693964010">
      <w:bodyDiv w:val="1"/>
      <w:marLeft w:val="0"/>
      <w:marRight w:val="0"/>
      <w:marTop w:val="0"/>
      <w:marBottom w:val="0"/>
      <w:divBdr>
        <w:top w:val="none" w:sz="0" w:space="0" w:color="auto"/>
        <w:left w:val="none" w:sz="0" w:space="0" w:color="auto"/>
        <w:bottom w:val="none" w:sz="0" w:space="0" w:color="auto"/>
        <w:right w:val="none" w:sz="0" w:space="0" w:color="auto"/>
      </w:divBdr>
    </w:div>
    <w:div w:id="726076758">
      <w:bodyDiv w:val="1"/>
      <w:marLeft w:val="0"/>
      <w:marRight w:val="0"/>
      <w:marTop w:val="0"/>
      <w:marBottom w:val="0"/>
      <w:divBdr>
        <w:top w:val="none" w:sz="0" w:space="0" w:color="auto"/>
        <w:left w:val="none" w:sz="0" w:space="0" w:color="auto"/>
        <w:bottom w:val="none" w:sz="0" w:space="0" w:color="auto"/>
        <w:right w:val="none" w:sz="0" w:space="0" w:color="auto"/>
      </w:divBdr>
    </w:div>
    <w:div w:id="742678363">
      <w:bodyDiv w:val="1"/>
      <w:marLeft w:val="0"/>
      <w:marRight w:val="0"/>
      <w:marTop w:val="0"/>
      <w:marBottom w:val="0"/>
      <w:divBdr>
        <w:top w:val="none" w:sz="0" w:space="0" w:color="auto"/>
        <w:left w:val="none" w:sz="0" w:space="0" w:color="auto"/>
        <w:bottom w:val="none" w:sz="0" w:space="0" w:color="auto"/>
        <w:right w:val="none" w:sz="0" w:space="0" w:color="auto"/>
      </w:divBdr>
    </w:div>
    <w:div w:id="810487470">
      <w:bodyDiv w:val="1"/>
      <w:marLeft w:val="0"/>
      <w:marRight w:val="0"/>
      <w:marTop w:val="0"/>
      <w:marBottom w:val="0"/>
      <w:divBdr>
        <w:top w:val="none" w:sz="0" w:space="0" w:color="auto"/>
        <w:left w:val="none" w:sz="0" w:space="0" w:color="auto"/>
        <w:bottom w:val="none" w:sz="0" w:space="0" w:color="auto"/>
        <w:right w:val="none" w:sz="0" w:space="0" w:color="auto"/>
      </w:divBdr>
      <w:divsChild>
        <w:div w:id="732973955">
          <w:marLeft w:val="0"/>
          <w:marRight w:val="0"/>
          <w:marTop w:val="0"/>
          <w:marBottom w:val="0"/>
          <w:divBdr>
            <w:top w:val="none" w:sz="0" w:space="0" w:color="auto"/>
            <w:left w:val="none" w:sz="0" w:space="0" w:color="auto"/>
            <w:bottom w:val="none" w:sz="0" w:space="0" w:color="auto"/>
            <w:right w:val="none" w:sz="0" w:space="0" w:color="auto"/>
          </w:divBdr>
        </w:div>
        <w:div w:id="1827554281">
          <w:marLeft w:val="0"/>
          <w:marRight w:val="0"/>
          <w:marTop w:val="0"/>
          <w:marBottom w:val="0"/>
          <w:divBdr>
            <w:top w:val="none" w:sz="0" w:space="0" w:color="auto"/>
            <w:left w:val="none" w:sz="0" w:space="0" w:color="auto"/>
            <w:bottom w:val="none" w:sz="0" w:space="0" w:color="auto"/>
            <w:right w:val="none" w:sz="0" w:space="0" w:color="auto"/>
          </w:divBdr>
        </w:div>
        <w:div w:id="1860048635">
          <w:marLeft w:val="0"/>
          <w:marRight w:val="0"/>
          <w:marTop w:val="0"/>
          <w:marBottom w:val="0"/>
          <w:divBdr>
            <w:top w:val="none" w:sz="0" w:space="0" w:color="auto"/>
            <w:left w:val="none" w:sz="0" w:space="0" w:color="auto"/>
            <w:bottom w:val="none" w:sz="0" w:space="0" w:color="auto"/>
            <w:right w:val="none" w:sz="0" w:space="0" w:color="auto"/>
          </w:divBdr>
        </w:div>
      </w:divsChild>
    </w:div>
    <w:div w:id="1038315596">
      <w:bodyDiv w:val="1"/>
      <w:marLeft w:val="0"/>
      <w:marRight w:val="0"/>
      <w:marTop w:val="0"/>
      <w:marBottom w:val="0"/>
      <w:divBdr>
        <w:top w:val="none" w:sz="0" w:space="0" w:color="auto"/>
        <w:left w:val="none" w:sz="0" w:space="0" w:color="auto"/>
        <w:bottom w:val="none" w:sz="0" w:space="0" w:color="auto"/>
        <w:right w:val="none" w:sz="0" w:space="0" w:color="auto"/>
      </w:divBdr>
    </w:div>
    <w:div w:id="1188909916">
      <w:bodyDiv w:val="1"/>
      <w:marLeft w:val="0"/>
      <w:marRight w:val="0"/>
      <w:marTop w:val="0"/>
      <w:marBottom w:val="0"/>
      <w:divBdr>
        <w:top w:val="none" w:sz="0" w:space="0" w:color="auto"/>
        <w:left w:val="none" w:sz="0" w:space="0" w:color="auto"/>
        <w:bottom w:val="none" w:sz="0" w:space="0" w:color="auto"/>
        <w:right w:val="none" w:sz="0" w:space="0" w:color="auto"/>
      </w:divBdr>
    </w:div>
    <w:div w:id="1224021926">
      <w:bodyDiv w:val="1"/>
      <w:marLeft w:val="0"/>
      <w:marRight w:val="0"/>
      <w:marTop w:val="0"/>
      <w:marBottom w:val="0"/>
      <w:divBdr>
        <w:top w:val="none" w:sz="0" w:space="0" w:color="auto"/>
        <w:left w:val="none" w:sz="0" w:space="0" w:color="auto"/>
        <w:bottom w:val="none" w:sz="0" w:space="0" w:color="auto"/>
        <w:right w:val="none" w:sz="0" w:space="0" w:color="auto"/>
      </w:divBdr>
    </w:div>
    <w:div w:id="1238633940">
      <w:bodyDiv w:val="1"/>
      <w:marLeft w:val="0"/>
      <w:marRight w:val="0"/>
      <w:marTop w:val="0"/>
      <w:marBottom w:val="0"/>
      <w:divBdr>
        <w:top w:val="none" w:sz="0" w:space="0" w:color="auto"/>
        <w:left w:val="none" w:sz="0" w:space="0" w:color="auto"/>
        <w:bottom w:val="none" w:sz="0" w:space="0" w:color="auto"/>
        <w:right w:val="none" w:sz="0" w:space="0" w:color="auto"/>
      </w:divBdr>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sChild>
        <w:div w:id="500122761">
          <w:marLeft w:val="0"/>
          <w:marRight w:val="0"/>
          <w:marTop w:val="0"/>
          <w:marBottom w:val="0"/>
          <w:divBdr>
            <w:top w:val="none" w:sz="0" w:space="0" w:color="auto"/>
            <w:left w:val="none" w:sz="0" w:space="0" w:color="auto"/>
            <w:bottom w:val="none" w:sz="0" w:space="0" w:color="auto"/>
            <w:right w:val="none" w:sz="0" w:space="0" w:color="auto"/>
          </w:divBdr>
        </w:div>
        <w:div w:id="925571568">
          <w:marLeft w:val="0"/>
          <w:marRight w:val="0"/>
          <w:marTop w:val="0"/>
          <w:marBottom w:val="0"/>
          <w:divBdr>
            <w:top w:val="none" w:sz="0" w:space="0" w:color="auto"/>
            <w:left w:val="none" w:sz="0" w:space="0" w:color="auto"/>
            <w:bottom w:val="none" w:sz="0" w:space="0" w:color="auto"/>
            <w:right w:val="none" w:sz="0" w:space="0" w:color="auto"/>
          </w:divBdr>
        </w:div>
      </w:divsChild>
    </w:div>
    <w:div w:id="1546796100">
      <w:bodyDiv w:val="1"/>
      <w:marLeft w:val="0"/>
      <w:marRight w:val="0"/>
      <w:marTop w:val="0"/>
      <w:marBottom w:val="0"/>
      <w:divBdr>
        <w:top w:val="none" w:sz="0" w:space="0" w:color="auto"/>
        <w:left w:val="none" w:sz="0" w:space="0" w:color="auto"/>
        <w:bottom w:val="none" w:sz="0" w:space="0" w:color="auto"/>
        <w:right w:val="none" w:sz="0" w:space="0" w:color="auto"/>
      </w:divBdr>
    </w:div>
    <w:div w:id="155092125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977332">
      <w:bodyDiv w:val="1"/>
      <w:marLeft w:val="0"/>
      <w:marRight w:val="0"/>
      <w:marTop w:val="0"/>
      <w:marBottom w:val="0"/>
      <w:divBdr>
        <w:top w:val="none" w:sz="0" w:space="0" w:color="auto"/>
        <w:left w:val="none" w:sz="0" w:space="0" w:color="auto"/>
        <w:bottom w:val="none" w:sz="0" w:space="0" w:color="auto"/>
        <w:right w:val="none" w:sz="0" w:space="0" w:color="auto"/>
      </w:divBdr>
      <w:divsChild>
        <w:div w:id="1167330781">
          <w:marLeft w:val="0"/>
          <w:marRight w:val="0"/>
          <w:marTop w:val="0"/>
          <w:marBottom w:val="0"/>
          <w:divBdr>
            <w:top w:val="none" w:sz="0" w:space="0" w:color="auto"/>
            <w:left w:val="none" w:sz="0" w:space="0" w:color="auto"/>
            <w:bottom w:val="none" w:sz="0" w:space="0" w:color="auto"/>
            <w:right w:val="none" w:sz="0" w:space="0" w:color="auto"/>
          </w:divBdr>
        </w:div>
        <w:div w:id="1390616044">
          <w:marLeft w:val="0"/>
          <w:marRight w:val="0"/>
          <w:marTop w:val="0"/>
          <w:marBottom w:val="0"/>
          <w:divBdr>
            <w:top w:val="none" w:sz="0" w:space="0" w:color="auto"/>
            <w:left w:val="none" w:sz="0" w:space="0" w:color="auto"/>
            <w:bottom w:val="none" w:sz="0" w:space="0" w:color="auto"/>
            <w:right w:val="none" w:sz="0" w:space="0" w:color="auto"/>
          </w:divBdr>
        </w:div>
        <w:div w:id="1770925565">
          <w:marLeft w:val="0"/>
          <w:marRight w:val="0"/>
          <w:marTop w:val="0"/>
          <w:marBottom w:val="0"/>
          <w:divBdr>
            <w:top w:val="none" w:sz="0" w:space="0" w:color="auto"/>
            <w:left w:val="none" w:sz="0" w:space="0" w:color="auto"/>
            <w:bottom w:val="none" w:sz="0" w:space="0" w:color="auto"/>
            <w:right w:val="none" w:sz="0" w:space="0" w:color="auto"/>
          </w:divBdr>
        </w:div>
      </w:divsChild>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65148611">
      <w:bodyDiv w:val="1"/>
      <w:marLeft w:val="0"/>
      <w:marRight w:val="0"/>
      <w:marTop w:val="0"/>
      <w:marBottom w:val="0"/>
      <w:divBdr>
        <w:top w:val="none" w:sz="0" w:space="0" w:color="auto"/>
        <w:left w:val="none" w:sz="0" w:space="0" w:color="auto"/>
        <w:bottom w:val="none" w:sz="0" w:space="0" w:color="auto"/>
        <w:right w:val="none" w:sz="0" w:space="0" w:color="auto"/>
      </w:divBdr>
    </w:div>
    <w:div w:id="1857034845">
      <w:bodyDiv w:val="1"/>
      <w:marLeft w:val="0"/>
      <w:marRight w:val="0"/>
      <w:marTop w:val="0"/>
      <w:marBottom w:val="0"/>
      <w:divBdr>
        <w:top w:val="none" w:sz="0" w:space="0" w:color="auto"/>
        <w:left w:val="none" w:sz="0" w:space="0" w:color="auto"/>
        <w:bottom w:val="none" w:sz="0" w:space="0" w:color="auto"/>
        <w:right w:val="none" w:sz="0" w:space="0" w:color="auto"/>
      </w:divBdr>
    </w:div>
    <w:div w:id="2021084305">
      <w:bodyDiv w:val="1"/>
      <w:marLeft w:val="0"/>
      <w:marRight w:val="0"/>
      <w:marTop w:val="0"/>
      <w:marBottom w:val="0"/>
      <w:divBdr>
        <w:top w:val="none" w:sz="0" w:space="0" w:color="auto"/>
        <w:left w:val="none" w:sz="0" w:space="0" w:color="auto"/>
        <w:bottom w:val="none" w:sz="0" w:space="0" w:color="auto"/>
        <w:right w:val="none" w:sz="0" w:space="0" w:color="auto"/>
      </w:divBdr>
      <w:divsChild>
        <w:div w:id="469438548">
          <w:marLeft w:val="0"/>
          <w:marRight w:val="0"/>
          <w:marTop w:val="0"/>
          <w:marBottom w:val="0"/>
          <w:divBdr>
            <w:top w:val="none" w:sz="0" w:space="0" w:color="auto"/>
            <w:left w:val="none" w:sz="0" w:space="0" w:color="auto"/>
            <w:bottom w:val="none" w:sz="0" w:space="0" w:color="auto"/>
            <w:right w:val="none" w:sz="0" w:space="0" w:color="auto"/>
          </w:divBdr>
        </w:div>
        <w:div w:id="2108231101">
          <w:marLeft w:val="0"/>
          <w:marRight w:val="0"/>
          <w:marTop w:val="0"/>
          <w:marBottom w:val="0"/>
          <w:divBdr>
            <w:top w:val="none" w:sz="0" w:space="0" w:color="auto"/>
            <w:left w:val="none" w:sz="0" w:space="0" w:color="auto"/>
            <w:bottom w:val="none" w:sz="0" w:space="0" w:color="auto"/>
            <w:right w:val="none" w:sz="0" w:space="0" w:color="auto"/>
          </w:divBdr>
        </w:div>
      </w:divsChild>
    </w:div>
    <w:div w:id="21319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43C9-8477-492B-84B4-0DF76809301A}">
  <ds:schemaRefs>
    <ds:schemaRef ds:uri="http://schemas.microsoft.com/sharepoint/v3/contenttype/forms"/>
  </ds:schemaRefs>
</ds:datastoreItem>
</file>

<file path=customXml/itemProps2.xml><?xml version="1.0" encoding="utf-8"?>
<ds:datastoreItem xmlns:ds="http://schemas.openxmlformats.org/officeDocument/2006/customXml" ds:itemID="{1DB35DFC-F4FC-472C-824C-70A7444CA268}">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A25940E9-F840-42DB-9C9D-BF8CD75D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EBDD9-6B79-4369-86FA-39E05B0A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4379</Words>
  <Characters>24085</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CONSEJO SUPERIOR DE LA JUDICATURA</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cp:lastModifiedBy>Sonia Esther Jaimes Valencia</cp:lastModifiedBy>
  <cp:revision>2</cp:revision>
  <dcterms:created xsi:type="dcterms:W3CDTF">2022-11-21T19:52:00Z</dcterms:created>
  <dcterms:modified xsi:type="dcterms:W3CDTF">2022-11-21T19:52:00Z</dcterms:modified>
</cp:coreProperties>
</file>