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1EFF" w14:textId="77777777" w:rsidR="00D96EAA" w:rsidRPr="00FE3ACB" w:rsidRDefault="00D96EAA" w:rsidP="00945E2C">
      <w:pPr>
        <w:contextualSpacing/>
        <w:jc w:val="center"/>
        <w:rPr>
          <w:b/>
          <w:sz w:val="24"/>
          <w:szCs w:val="24"/>
          <w:lang w:val="es-ES"/>
        </w:rPr>
      </w:pPr>
      <w:bookmarkStart w:id="0" w:name="_GoBack"/>
      <w:bookmarkEnd w:id="0"/>
      <w:r>
        <w:rPr>
          <w:b/>
          <w:sz w:val="24"/>
          <w:szCs w:val="24"/>
          <w:lang w:val="es-ES"/>
        </w:rPr>
        <w:t>Magistrado ponente: JAIME ENIQUE RODRÍGUEZ NAVAS</w:t>
      </w:r>
    </w:p>
    <w:p w14:paraId="1344D4D6" w14:textId="77777777" w:rsidR="00D96EAA" w:rsidRPr="002D7F44" w:rsidRDefault="00D96EAA" w:rsidP="00945E2C">
      <w:pPr>
        <w:contextualSpacing/>
        <w:rPr>
          <w:b/>
          <w:bCs/>
          <w:sz w:val="24"/>
          <w:szCs w:val="24"/>
        </w:rPr>
      </w:pPr>
    </w:p>
    <w:p w14:paraId="52A5D210" w14:textId="08406533" w:rsidR="00D96EAA" w:rsidRPr="00045D31" w:rsidRDefault="00D96EAA" w:rsidP="00945E2C">
      <w:pPr>
        <w:contextualSpacing/>
        <w:rPr>
          <w:b/>
          <w:sz w:val="24"/>
          <w:szCs w:val="24"/>
          <w:lang w:val="es-ES"/>
        </w:rPr>
      </w:pPr>
      <w:r w:rsidRPr="00045D31">
        <w:rPr>
          <w:b/>
          <w:sz w:val="24"/>
          <w:szCs w:val="24"/>
        </w:rPr>
        <w:t xml:space="preserve">Bogotá D.C., </w:t>
      </w:r>
      <w:r w:rsidR="004A7277">
        <w:rPr>
          <w:b/>
          <w:sz w:val="24"/>
          <w:szCs w:val="24"/>
        </w:rPr>
        <w:t>dos</w:t>
      </w:r>
      <w:r w:rsidR="00FA6C0B">
        <w:rPr>
          <w:b/>
          <w:sz w:val="24"/>
          <w:szCs w:val="24"/>
        </w:rPr>
        <w:t xml:space="preserve"> (</w:t>
      </w:r>
      <w:r w:rsidR="00D017F0">
        <w:rPr>
          <w:b/>
          <w:sz w:val="24"/>
          <w:szCs w:val="24"/>
        </w:rPr>
        <w:t>2</w:t>
      </w:r>
      <w:r w:rsidR="00195332">
        <w:rPr>
          <w:b/>
          <w:sz w:val="24"/>
          <w:szCs w:val="24"/>
        </w:rPr>
        <w:t>)</w:t>
      </w:r>
      <w:r w:rsidRPr="00045D31">
        <w:rPr>
          <w:b/>
          <w:sz w:val="24"/>
          <w:szCs w:val="24"/>
        </w:rPr>
        <w:t xml:space="preserve"> de</w:t>
      </w:r>
      <w:r w:rsidR="002A2DCE">
        <w:rPr>
          <w:b/>
          <w:sz w:val="24"/>
          <w:szCs w:val="24"/>
        </w:rPr>
        <w:t xml:space="preserve"> </w:t>
      </w:r>
      <w:r w:rsidR="004A7277">
        <w:rPr>
          <w:b/>
          <w:sz w:val="24"/>
          <w:szCs w:val="24"/>
        </w:rPr>
        <w:t>dic</w:t>
      </w:r>
      <w:r w:rsidR="00D017F0">
        <w:rPr>
          <w:b/>
          <w:sz w:val="24"/>
          <w:szCs w:val="24"/>
        </w:rPr>
        <w:t>iembre</w:t>
      </w:r>
      <w:r w:rsidRPr="00045D31">
        <w:rPr>
          <w:b/>
          <w:sz w:val="24"/>
          <w:szCs w:val="24"/>
        </w:rPr>
        <w:t xml:space="preserve"> </w:t>
      </w:r>
      <w:r w:rsidR="00FA6C0B">
        <w:rPr>
          <w:b/>
          <w:sz w:val="24"/>
          <w:szCs w:val="24"/>
        </w:rPr>
        <w:t xml:space="preserve">de </w:t>
      </w:r>
      <w:r w:rsidRPr="00045D31">
        <w:rPr>
          <w:b/>
          <w:sz w:val="24"/>
          <w:szCs w:val="24"/>
        </w:rPr>
        <w:t>dos mil veintidós (2022)</w:t>
      </w:r>
    </w:p>
    <w:p w14:paraId="3E7882C2" w14:textId="77777777" w:rsidR="00D96EAA" w:rsidRDefault="00D96EAA" w:rsidP="00945E2C">
      <w:pPr>
        <w:contextualSpacing/>
        <w:rPr>
          <w:bCs/>
          <w:sz w:val="24"/>
          <w:szCs w:val="24"/>
          <w:lang w:val="es-ES"/>
        </w:rPr>
      </w:pPr>
    </w:p>
    <w:p w14:paraId="4F13E1F0" w14:textId="77777777" w:rsidR="00D017F0" w:rsidRDefault="00D017F0" w:rsidP="00D017F0">
      <w:pPr>
        <w:tabs>
          <w:tab w:val="left" w:pos="1985"/>
        </w:tabs>
        <w:contextualSpacing/>
        <w:rPr>
          <w:bCs/>
          <w:sz w:val="24"/>
          <w:szCs w:val="24"/>
        </w:rPr>
      </w:pPr>
      <w:r w:rsidRPr="00EF2471">
        <w:rPr>
          <w:b/>
          <w:sz w:val="24"/>
          <w:szCs w:val="24"/>
        </w:rPr>
        <w:t>Radica</w:t>
      </w:r>
      <w:r>
        <w:rPr>
          <w:b/>
          <w:sz w:val="24"/>
          <w:szCs w:val="24"/>
        </w:rPr>
        <w:t>do número</w:t>
      </w:r>
      <w:r w:rsidRPr="00EF2471">
        <w:rPr>
          <w:b/>
          <w:sz w:val="24"/>
          <w:szCs w:val="24"/>
        </w:rPr>
        <w:t>:</w:t>
      </w:r>
      <w:r w:rsidRPr="00EF2471">
        <w:rPr>
          <w:b/>
          <w:sz w:val="24"/>
          <w:szCs w:val="24"/>
        </w:rPr>
        <w:tab/>
      </w:r>
      <w:r>
        <w:rPr>
          <w:b/>
          <w:sz w:val="24"/>
          <w:szCs w:val="24"/>
        </w:rPr>
        <w:tab/>
      </w:r>
      <w:r w:rsidRPr="00D1720F">
        <w:rPr>
          <w:bCs/>
          <w:sz w:val="24"/>
          <w:szCs w:val="24"/>
        </w:rPr>
        <w:t>11001-03-15-000-2022-0</w:t>
      </w:r>
      <w:r>
        <w:rPr>
          <w:bCs/>
          <w:sz w:val="24"/>
          <w:szCs w:val="24"/>
        </w:rPr>
        <w:t>5455</w:t>
      </w:r>
      <w:r w:rsidRPr="00D1720F">
        <w:rPr>
          <w:bCs/>
          <w:sz w:val="24"/>
          <w:szCs w:val="24"/>
        </w:rPr>
        <w:t>-00</w:t>
      </w:r>
    </w:p>
    <w:p w14:paraId="48CF9CA3" w14:textId="77777777" w:rsidR="00D017F0" w:rsidRPr="00D868E9" w:rsidRDefault="00D017F0" w:rsidP="00D017F0">
      <w:pPr>
        <w:tabs>
          <w:tab w:val="left" w:pos="1985"/>
        </w:tabs>
        <w:ind w:left="1980" w:hanging="1980"/>
        <w:contextualSpacing/>
        <w:rPr>
          <w:bCs/>
          <w:sz w:val="24"/>
          <w:szCs w:val="24"/>
        </w:rPr>
      </w:pPr>
      <w:r w:rsidRPr="00EF2471">
        <w:rPr>
          <w:b/>
          <w:sz w:val="24"/>
          <w:szCs w:val="24"/>
        </w:rPr>
        <w:t>Accionante:</w:t>
      </w:r>
      <w:r>
        <w:rPr>
          <w:bCs/>
          <w:sz w:val="24"/>
          <w:szCs w:val="24"/>
        </w:rPr>
        <w:t xml:space="preserve"> </w:t>
      </w:r>
      <w:r>
        <w:rPr>
          <w:bCs/>
          <w:sz w:val="24"/>
          <w:szCs w:val="24"/>
        </w:rPr>
        <w:tab/>
      </w:r>
      <w:r>
        <w:rPr>
          <w:bCs/>
          <w:sz w:val="24"/>
          <w:szCs w:val="24"/>
        </w:rPr>
        <w:tab/>
      </w:r>
      <w:r>
        <w:rPr>
          <w:bCs/>
          <w:sz w:val="24"/>
          <w:szCs w:val="24"/>
        </w:rPr>
        <w:tab/>
      </w:r>
      <w:r>
        <w:rPr>
          <w:bCs/>
          <w:sz w:val="24"/>
          <w:szCs w:val="24"/>
        </w:rPr>
        <w:tab/>
        <w:t>Pedro Pastor Aragón Canchila</w:t>
      </w:r>
    </w:p>
    <w:p w14:paraId="5FB8FAFF" w14:textId="77777777" w:rsidR="00D017F0" w:rsidRPr="00D868E9" w:rsidRDefault="00D017F0" w:rsidP="00D017F0">
      <w:pPr>
        <w:tabs>
          <w:tab w:val="left" w:pos="1985"/>
        </w:tabs>
        <w:ind w:left="2832" w:right="51" w:hanging="2832"/>
        <w:contextualSpacing/>
        <w:rPr>
          <w:bCs/>
          <w:sz w:val="24"/>
          <w:szCs w:val="24"/>
          <w:lang w:val="es-ES"/>
        </w:rPr>
      </w:pPr>
      <w:r w:rsidRPr="00EF2471">
        <w:rPr>
          <w:b/>
          <w:sz w:val="24"/>
          <w:szCs w:val="24"/>
        </w:rPr>
        <w:t>Accionado</w:t>
      </w:r>
      <w:r>
        <w:rPr>
          <w:b/>
          <w:sz w:val="24"/>
          <w:szCs w:val="24"/>
        </w:rPr>
        <w:t>s</w:t>
      </w:r>
      <w:r w:rsidRPr="00EF2471">
        <w:rPr>
          <w:b/>
          <w:sz w:val="24"/>
          <w:szCs w:val="24"/>
        </w:rPr>
        <w:t>:</w:t>
      </w:r>
      <w:r>
        <w:rPr>
          <w:b/>
          <w:sz w:val="24"/>
          <w:szCs w:val="24"/>
        </w:rPr>
        <w:t xml:space="preserve"> </w:t>
      </w:r>
      <w:r>
        <w:rPr>
          <w:b/>
          <w:sz w:val="24"/>
          <w:szCs w:val="24"/>
        </w:rPr>
        <w:tab/>
      </w:r>
      <w:r>
        <w:rPr>
          <w:b/>
          <w:sz w:val="24"/>
          <w:szCs w:val="24"/>
        </w:rPr>
        <w:tab/>
      </w:r>
      <w:r>
        <w:rPr>
          <w:bCs/>
          <w:sz w:val="24"/>
          <w:szCs w:val="24"/>
        </w:rPr>
        <w:t>Sección C del Tribunal Administrativo del Atlántico</w:t>
      </w:r>
    </w:p>
    <w:p w14:paraId="5681E40C" w14:textId="77777777" w:rsidR="00D017F0" w:rsidRPr="00EF2471" w:rsidRDefault="00D017F0" w:rsidP="00D017F0">
      <w:pPr>
        <w:ind w:left="1985" w:hanging="1985"/>
        <w:contextualSpacing/>
        <w:rPr>
          <w:b/>
          <w:sz w:val="24"/>
          <w:szCs w:val="24"/>
        </w:rPr>
      </w:pPr>
      <w:r w:rsidRPr="00EF2471">
        <w:rPr>
          <w:b/>
          <w:sz w:val="24"/>
          <w:szCs w:val="24"/>
        </w:rPr>
        <w:t xml:space="preserve">Referencia: </w:t>
      </w:r>
      <w:r>
        <w:rPr>
          <w:b/>
          <w:sz w:val="24"/>
          <w:szCs w:val="24"/>
        </w:rPr>
        <w:tab/>
      </w:r>
      <w:r>
        <w:rPr>
          <w:b/>
          <w:sz w:val="24"/>
          <w:szCs w:val="24"/>
        </w:rPr>
        <w:tab/>
      </w:r>
      <w:r w:rsidRPr="00EF2471">
        <w:rPr>
          <w:b/>
          <w:sz w:val="24"/>
          <w:szCs w:val="24"/>
        </w:rPr>
        <w:tab/>
      </w:r>
      <w:r w:rsidRPr="00EF2471">
        <w:rPr>
          <w:sz w:val="24"/>
          <w:szCs w:val="24"/>
        </w:rPr>
        <w:t>Acción de tutela</w:t>
      </w:r>
    </w:p>
    <w:p w14:paraId="29CBFD38" w14:textId="77777777" w:rsidR="00261C95" w:rsidRDefault="00261C95" w:rsidP="00945E2C">
      <w:pPr>
        <w:tabs>
          <w:tab w:val="left" w:pos="8222"/>
        </w:tabs>
        <w:ind w:right="51"/>
        <w:contextualSpacing/>
        <w:rPr>
          <w:b/>
          <w:sz w:val="24"/>
          <w:szCs w:val="24"/>
        </w:rPr>
      </w:pPr>
    </w:p>
    <w:p w14:paraId="11BE1B7F" w14:textId="77777777" w:rsidR="006F3576" w:rsidRPr="00510F73" w:rsidRDefault="00261C95" w:rsidP="00945E2C">
      <w:pPr>
        <w:tabs>
          <w:tab w:val="left" w:pos="8222"/>
        </w:tabs>
        <w:ind w:right="51"/>
        <w:contextualSpacing/>
        <w:rPr>
          <w:bCs/>
          <w:sz w:val="20"/>
          <w:szCs w:val="20"/>
        </w:rPr>
      </w:pPr>
      <w:r w:rsidRPr="00510F73">
        <w:rPr>
          <w:b/>
          <w:sz w:val="20"/>
          <w:szCs w:val="20"/>
        </w:rPr>
        <w:t xml:space="preserve">Tema: </w:t>
      </w:r>
      <w:r w:rsidR="00942C03">
        <w:rPr>
          <w:bCs/>
          <w:sz w:val="20"/>
          <w:szCs w:val="20"/>
        </w:rPr>
        <w:t>a</w:t>
      </w:r>
      <w:r w:rsidRPr="00510F73">
        <w:rPr>
          <w:bCs/>
          <w:sz w:val="20"/>
          <w:szCs w:val="20"/>
        </w:rPr>
        <w:t xml:space="preserve">cción de tutela contra providencias judiciales. </w:t>
      </w:r>
    </w:p>
    <w:p w14:paraId="45319BEC" w14:textId="1F6F1154" w:rsidR="006F3576" w:rsidRPr="00510F73" w:rsidRDefault="00261C95" w:rsidP="00945E2C">
      <w:pPr>
        <w:tabs>
          <w:tab w:val="left" w:pos="8222"/>
        </w:tabs>
        <w:ind w:right="51"/>
        <w:contextualSpacing/>
        <w:rPr>
          <w:bCs/>
          <w:sz w:val="20"/>
          <w:szCs w:val="20"/>
        </w:rPr>
      </w:pPr>
      <w:r w:rsidRPr="00510F73">
        <w:rPr>
          <w:b/>
          <w:sz w:val="20"/>
          <w:szCs w:val="20"/>
        </w:rPr>
        <w:t xml:space="preserve">Subtema 1: </w:t>
      </w:r>
      <w:r w:rsidR="00A61B2A">
        <w:rPr>
          <w:sz w:val="20"/>
          <w:szCs w:val="20"/>
        </w:rPr>
        <w:t>requisitos de procedencia</w:t>
      </w:r>
      <w:r w:rsidR="00AC2A6A">
        <w:rPr>
          <w:sz w:val="20"/>
          <w:szCs w:val="20"/>
        </w:rPr>
        <w:t xml:space="preserve"> -</w:t>
      </w:r>
      <w:r w:rsidRPr="00510F73">
        <w:rPr>
          <w:bCs/>
          <w:sz w:val="20"/>
          <w:szCs w:val="20"/>
        </w:rPr>
        <w:t xml:space="preserve"> </w:t>
      </w:r>
      <w:r w:rsidR="008F49E1">
        <w:rPr>
          <w:bCs/>
          <w:sz w:val="20"/>
          <w:szCs w:val="20"/>
        </w:rPr>
        <w:t>s</w:t>
      </w:r>
      <w:r w:rsidR="00E177BD">
        <w:rPr>
          <w:bCs/>
          <w:sz w:val="20"/>
          <w:szCs w:val="20"/>
        </w:rPr>
        <w:t>ubsidiariedad</w:t>
      </w:r>
      <w:r w:rsidRPr="00510F73">
        <w:rPr>
          <w:bCs/>
          <w:sz w:val="20"/>
          <w:szCs w:val="20"/>
        </w:rPr>
        <w:t xml:space="preserve">. </w:t>
      </w:r>
    </w:p>
    <w:p w14:paraId="1B377CD6" w14:textId="595F5D3A" w:rsidR="00261C95" w:rsidRPr="00510F73" w:rsidRDefault="00261C95" w:rsidP="00945E2C">
      <w:pPr>
        <w:tabs>
          <w:tab w:val="left" w:pos="8222"/>
        </w:tabs>
        <w:ind w:right="51"/>
        <w:contextualSpacing/>
        <w:rPr>
          <w:bCs/>
          <w:sz w:val="20"/>
          <w:szCs w:val="20"/>
        </w:rPr>
      </w:pPr>
      <w:r w:rsidRPr="00510F73">
        <w:rPr>
          <w:b/>
          <w:sz w:val="20"/>
          <w:szCs w:val="20"/>
        </w:rPr>
        <w:t>Subtema 2:</w:t>
      </w:r>
      <w:r w:rsidR="00AC2A6A">
        <w:rPr>
          <w:bCs/>
          <w:sz w:val="20"/>
          <w:szCs w:val="20"/>
        </w:rPr>
        <w:t xml:space="preserve"> nulidad y restablecimiento del derecho –</w:t>
      </w:r>
      <w:r w:rsidR="00E177BD">
        <w:rPr>
          <w:bCs/>
          <w:sz w:val="20"/>
          <w:szCs w:val="20"/>
        </w:rPr>
        <w:t xml:space="preserve"> reconocimiento </w:t>
      </w:r>
      <w:r w:rsidR="00D017F0">
        <w:rPr>
          <w:bCs/>
          <w:sz w:val="20"/>
          <w:szCs w:val="20"/>
        </w:rPr>
        <w:t>pensional</w:t>
      </w:r>
      <w:r w:rsidR="00A61B2A">
        <w:rPr>
          <w:bCs/>
          <w:sz w:val="20"/>
          <w:szCs w:val="20"/>
        </w:rPr>
        <w:t>.</w:t>
      </w:r>
    </w:p>
    <w:p w14:paraId="3ABCD7E3" w14:textId="77777777" w:rsidR="00811793" w:rsidRPr="002D7F44" w:rsidRDefault="00811793" w:rsidP="00945E2C">
      <w:pPr>
        <w:tabs>
          <w:tab w:val="left" w:pos="8222"/>
        </w:tabs>
        <w:ind w:right="51"/>
        <w:contextualSpacing/>
        <w:rPr>
          <w:b/>
          <w:sz w:val="24"/>
          <w:szCs w:val="24"/>
        </w:rPr>
      </w:pPr>
    </w:p>
    <w:p w14:paraId="79B2F781" w14:textId="77777777" w:rsidR="00811793" w:rsidRPr="002D7F44" w:rsidRDefault="00811793" w:rsidP="00945E2C">
      <w:pPr>
        <w:pBdr>
          <w:bottom w:val="single" w:sz="12" w:space="0" w:color="auto"/>
        </w:pBdr>
        <w:ind w:left="2832" w:hanging="2832"/>
        <w:contextualSpacing/>
        <w:rPr>
          <w:b/>
          <w:sz w:val="24"/>
          <w:szCs w:val="24"/>
        </w:rPr>
      </w:pPr>
      <w:r w:rsidRPr="002D7F44">
        <w:rPr>
          <w:b/>
          <w:sz w:val="24"/>
          <w:szCs w:val="24"/>
        </w:rPr>
        <w:t>SENTENCIA DE PRIMERA INSTANCIA</w:t>
      </w:r>
    </w:p>
    <w:p w14:paraId="61CDFA1C" w14:textId="77777777" w:rsidR="00811793" w:rsidRPr="002D7F44" w:rsidRDefault="00811793" w:rsidP="00945E2C">
      <w:pPr>
        <w:contextualSpacing/>
        <w:rPr>
          <w:b/>
          <w:sz w:val="24"/>
          <w:szCs w:val="24"/>
        </w:rPr>
      </w:pPr>
    </w:p>
    <w:p w14:paraId="3600F3E4" w14:textId="18B7A8EF" w:rsidR="00811793" w:rsidRPr="002D7F44" w:rsidRDefault="00811793" w:rsidP="00945E2C">
      <w:pPr>
        <w:pStyle w:val="Textoindependiente21"/>
        <w:spacing w:after="0"/>
        <w:ind w:left="0"/>
        <w:jc w:val="both"/>
        <w:rPr>
          <w:rFonts w:cs="Arial"/>
          <w:bCs/>
          <w:sz w:val="24"/>
          <w:szCs w:val="24"/>
          <w:lang w:val="es-CO"/>
        </w:rPr>
      </w:pPr>
      <w:r w:rsidRPr="002D7F44">
        <w:rPr>
          <w:rFonts w:cs="Arial"/>
          <w:sz w:val="24"/>
          <w:szCs w:val="24"/>
        </w:rPr>
        <w:t>La Sala decide, en primera instancia, la acción de tutela</w:t>
      </w:r>
      <w:bookmarkStart w:id="1" w:name="_Hlk49761891"/>
      <w:r w:rsidR="00A87F72">
        <w:rPr>
          <w:rFonts w:cs="Arial"/>
          <w:sz w:val="24"/>
          <w:szCs w:val="24"/>
        </w:rPr>
        <w:t xml:space="preserve"> incoada </w:t>
      </w:r>
      <w:r w:rsidR="00C86397">
        <w:rPr>
          <w:rFonts w:cs="Arial"/>
          <w:sz w:val="24"/>
          <w:szCs w:val="24"/>
        </w:rPr>
        <w:t xml:space="preserve">por </w:t>
      </w:r>
      <w:r w:rsidR="00D017F0">
        <w:rPr>
          <w:bCs/>
          <w:sz w:val="24"/>
          <w:szCs w:val="24"/>
        </w:rPr>
        <w:t>Pedro Pastor Aragón Canchila</w:t>
      </w:r>
      <w:r w:rsidR="005C7186">
        <w:rPr>
          <w:bCs/>
          <w:sz w:val="24"/>
          <w:szCs w:val="24"/>
        </w:rPr>
        <w:t xml:space="preserve"> </w:t>
      </w:r>
      <w:r w:rsidR="00A87F72">
        <w:rPr>
          <w:rFonts w:cs="Arial"/>
          <w:sz w:val="24"/>
          <w:szCs w:val="24"/>
        </w:rPr>
        <w:t xml:space="preserve">en contra </w:t>
      </w:r>
      <w:r w:rsidR="00AC2A6A">
        <w:rPr>
          <w:rFonts w:cs="Arial"/>
          <w:sz w:val="24"/>
          <w:szCs w:val="24"/>
        </w:rPr>
        <w:t xml:space="preserve">de la </w:t>
      </w:r>
      <w:r w:rsidR="00D017F0">
        <w:rPr>
          <w:bCs/>
          <w:sz w:val="24"/>
          <w:szCs w:val="24"/>
        </w:rPr>
        <w:t>Sección C del Tribunal Administrativo del Atlántico</w:t>
      </w:r>
      <w:r w:rsidR="005C7186">
        <w:rPr>
          <w:bCs/>
          <w:sz w:val="24"/>
          <w:szCs w:val="24"/>
        </w:rPr>
        <w:t>.</w:t>
      </w:r>
    </w:p>
    <w:p w14:paraId="5D9944FF" w14:textId="77777777" w:rsidR="00811793" w:rsidRPr="002D7F44" w:rsidRDefault="00811793" w:rsidP="00945E2C">
      <w:pPr>
        <w:pStyle w:val="Textoindependiente21"/>
        <w:spacing w:after="0"/>
        <w:ind w:left="0"/>
        <w:jc w:val="both"/>
        <w:rPr>
          <w:rFonts w:cs="Arial"/>
          <w:bCs/>
          <w:sz w:val="24"/>
          <w:szCs w:val="24"/>
          <w:lang w:val="es-CO"/>
        </w:rPr>
      </w:pPr>
    </w:p>
    <w:bookmarkEnd w:id="1"/>
    <w:p w14:paraId="5BF8DC4D" w14:textId="77777777" w:rsidR="00811793" w:rsidRPr="002D7F44" w:rsidRDefault="00811793" w:rsidP="00945E2C">
      <w:pPr>
        <w:pStyle w:val="Ttulo1"/>
        <w:spacing w:before="0" w:after="0" w:line="240" w:lineRule="auto"/>
        <w:rPr>
          <w:rFonts w:cs="Arial"/>
          <w:szCs w:val="24"/>
        </w:rPr>
      </w:pPr>
      <w:r w:rsidRPr="002D7F44">
        <w:rPr>
          <w:rFonts w:cs="Arial"/>
          <w:szCs w:val="24"/>
        </w:rPr>
        <w:t>ANTECEDENTES</w:t>
      </w:r>
    </w:p>
    <w:p w14:paraId="752864DD" w14:textId="77777777" w:rsidR="00811793" w:rsidRPr="002D7F44" w:rsidRDefault="00811793" w:rsidP="00945E2C">
      <w:pPr>
        <w:rPr>
          <w:sz w:val="24"/>
          <w:szCs w:val="24"/>
        </w:rPr>
      </w:pPr>
    </w:p>
    <w:p w14:paraId="29B26BE5" w14:textId="77777777" w:rsidR="00811793" w:rsidRPr="002D7F44" w:rsidRDefault="00811793" w:rsidP="00945E2C">
      <w:pPr>
        <w:pStyle w:val="Ttulo2"/>
        <w:numPr>
          <w:ilvl w:val="0"/>
          <w:numId w:val="0"/>
        </w:numPr>
        <w:spacing w:before="0" w:after="0"/>
        <w:ind w:left="360" w:hanging="360"/>
        <w:rPr>
          <w:rFonts w:cs="Arial"/>
          <w:szCs w:val="24"/>
          <w:lang w:eastAsia="es-ES"/>
        </w:rPr>
      </w:pPr>
      <w:r w:rsidRPr="002D7F44">
        <w:rPr>
          <w:rFonts w:cs="Arial"/>
          <w:szCs w:val="24"/>
          <w:lang w:eastAsia="es-ES"/>
        </w:rPr>
        <w:t>1.1. Solicitud de tutela</w:t>
      </w:r>
    </w:p>
    <w:p w14:paraId="3CE2028A" w14:textId="77777777" w:rsidR="00811793" w:rsidRPr="002D7F44" w:rsidRDefault="00811793" w:rsidP="00945E2C">
      <w:pPr>
        <w:overflowPunct w:val="0"/>
        <w:autoSpaceDE w:val="0"/>
        <w:autoSpaceDN w:val="0"/>
        <w:adjustRightInd w:val="0"/>
        <w:contextualSpacing/>
        <w:textAlignment w:val="baseline"/>
        <w:rPr>
          <w:sz w:val="24"/>
          <w:szCs w:val="24"/>
        </w:rPr>
      </w:pPr>
    </w:p>
    <w:p w14:paraId="701A3A77" w14:textId="77777777" w:rsidR="00D017F0" w:rsidRPr="009C486B" w:rsidRDefault="00D017F0" w:rsidP="00D017F0">
      <w:pPr>
        <w:tabs>
          <w:tab w:val="left" w:pos="1985"/>
        </w:tabs>
        <w:rPr>
          <w:bCs/>
          <w:sz w:val="24"/>
          <w:szCs w:val="24"/>
        </w:rPr>
      </w:pPr>
      <w:r>
        <w:rPr>
          <w:bCs/>
          <w:sz w:val="24"/>
          <w:szCs w:val="24"/>
        </w:rPr>
        <w:t xml:space="preserve">Pedro Pastor Aragón Canchila, por conducto de apoderado judicial, presentó solicitud de amparo de su derecho fundamental al debido proceso, que consideró vulnerado por la </w:t>
      </w:r>
      <w:r w:rsidRPr="009C486B">
        <w:rPr>
          <w:bCs/>
          <w:sz w:val="24"/>
          <w:szCs w:val="24"/>
        </w:rPr>
        <w:t>Sección C del Tribunal Administrativo del Atlántico, con ocasión de la sentencia que esta profirió el 30 de junio de 2022, dentro del proceso con radicado núm. 08-001-33-33-003-2016-00305-01.</w:t>
      </w:r>
    </w:p>
    <w:p w14:paraId="152CF817" w14:textId="77777777" w:rsidR="00811793" w:rsidRPr="009C486B" w:rsidRDefault="00811793" w:rsidP="00945E2C">
      <w:pPr>
        <w:contextualSpacing/>
        <w:rPr>
          <w:rFonts w:eastAsia="Verdana"/>
          <w:sz w:val="24"/>
          <w:szCs w:val="24"/>
          <w:lang w:val="es-MX"/>
        </w:rPr>
      </w:pPr>
    </w:p>
    <w:p w14:paraId="7936597A" w14:textId="77777777" w:rsidR="00811793" w:rsidRPr="009C486B" w:rsidRDefault="00811793" w:rsidP="00945E2C">
      <w:pPr>
        <w:contextualSpacing/>
        <w:rPr>
          <w:rFonts w:eastAsia="Verdana"/>
          <w:b/>
          <w:sz w:val="24"/>
          <w:szCs w:val="24"/>
        </w:rPr>
      </w:pPr>
      <w:r w:rsidRPr="009C486B">
        <w:rPr>
          <w:rFonts w:eastAsia="Verdana"/>
          <w:b/>
          <w:sz w:val="24"/>
          <w:szCs w:val="24"/>
        </w:rPr>
        <w:t xml:space="preserve">1.2. Hechos </w:t>
      </w:r>
      <w:r w:rsidR="00E822FD" w:rsidRPr="009C486B">
        <w:rPr>
          <w:rFonts w:eastAsia="Verdana"/>
          <w:b/>
          <w:sz w:val="24"/>
          <w:szCs w:val="24"/>
        </w:rPr>
        <w:t>probados</w:t>
      </w:r>
    </w:p>
    <w:p w14:paraId="35139655" w14:textId="77777777" w:rsidR="00811793" w:rsidRPr="009C486B" w:rsidRDefault="00811793" w:rsidP="00945E2C">
      <w:pPr>
        <w:contextualSpacing/>
        <w:rPr>
          <w:rFonts w:eastAsia="Verdana"/>
          <w:sz w:val="24"/>
          <w:szCs w:val="24"/>
        </w:rPr>
      </w:pPr>
    </w:p>
    <w:p w14:paraId="10673C6B" w14:textId="7FBF29AC" w:rsidR="0011024A" w:rsidRPr="009C486B" w:rsidRDefault="00811793" w:rsidP="00945E2C">
      <w:pPr>
        <w:autoSpaceDE w:val="0"/>
        <w:autoSpaceDN w:val="0"/>
        <w:adjustRightInd w:val="0"/>
        <w:rPr>
          <w:bCs/>
          <w:sz w:val="24"/>
          <w:szCs w:val="24"/>
        </w:rPr>
      </w:pPr>
      <w:r w:rsidRPr="009C486B">
        <w:rPr>
          <w:sz w:val="24"/>
          <w:szCs w:val="24"/>
          <w:lang w:val="es-MX" w:eastAsia="ja-JP"/>
        </w:rPr>
        <w:t>1.</w:t>
      </w:r>
      <w:r w:rsidR="00CF67AB" w:rsidRPr="009C486B">
        <w:rPr>
          <w:sz w:val="24"/>
          <w:szCs w:val="24"/>
          <w:lang w:val="es-MX" w:eastAsia="ja-JP"/>
        </w:rPr>
        <w:t>2</w:t>
      </w:r>
      <w:r w:rsidRPr="009C486B">
        <w:rPr>
          <w:sz w:val="24"/>
          <w:szCs w:val="24"/>
          <w:lang w:val="es-MX" w:eastAsia="ja-JP"/>
        </w:rPr>
        <w:t>.1.</w:t>
      </w:r>
      <w:r w:rsidR="00CF67AB" w:rsidRPr="009C486B">
        <w:rPr>
          <w:sz w:val="24"/>
          <w:szCs w:val="24"/>
          <w:lang w:val="es-MX" w:eastAsia="ja-JP"/>
        </w:rPr>
        <w:t xml:space="preserve"> </w:t>
      </w:r>
      <w:r w:rsidR="0011024A" w:rsidRPr="009C486B">
        <w:rPr>
          <w:bCs/>
          <w:sz w:val="24"/>
          <w:szCs w:val="24"/>
        </w:rPr>
        <w:t>Pedro Pastor Aragón Canchila nació el 19 de julio de 1950, y laboró para entidades del sector público y privado, en el siguiente orden:</w:t>
      </w:r>
    </w:p>
    <w:p w14:paraId="10B97270" w14:textId="77777777" w:rsidR="0011024A" w:rsidRPr="009C486B" w:rsidRDefault="0011024A" w:rsidP="000A2CD4">
      <w:pPr>
        <w:autoSpaceDE w:val="0"/>
        <w:autoSpaceDN w:val="0"/>
        <w:adjustRightInd w:val="0"/>
        <w:rPr>
          <w:bCs/>
          <w:sz w:val="24"/>
          <w:szCs w:val="24"/>
        </w:rPr>
      </w:pPr>
    </w:p>
    <w:tbl>
      <w:tblPr>
        <w:tblStyle w:val="Tablaconcuadrcula"/>
        <w:tblW w:w="0" w:type="auto"/>
        <w:jc w:val="center"/>
        <w:tblLook w:val="04A0" w:firstRow="1" w:lastRow="0" w:firstColumn="1" w:lastColumn="0" w:noHBand="0" w:noVBand="1"/>
      </w:tblPr>
      <w:tblGrid>
        <w:gridCol w:w="1826"/>
        <w:gridCol w:w="1050"/>
        <w:gridCol w:w="1430"/>
        <w:gridCol w:w="1430"/>
      </w:tblGrid>
      <w:tr w:rsidR="0011024A" w:rsidRPr="009C486B" w14:paraId="75909D23" w14:textId="77777777" w:rsidTr="000A2CD4">
        <w:trPr>
          <w:jc w:val="center"/>
        </w:trPr>
        <w:tc>
          <w:tcPr>
            <w:tcW w:w="1744" w:type="dxa"/>
          </w:tcPr>
          <w:p w14:paraId="7A732F0D" w14:textId="339662F2" w:rsidR="0011024A" w:rsidRPr="009C486B" w:rsidRDefault="0011024A" w:rsidP="000A2CD4">
            <w:pPr>
              <w:autoSpaceDE w:val="0"/>
              <w:autoSpaceDN w:val="0"/>
              <w:adjustRightInd w:val="0"/>
              <w:jc w:val="center"/>
              <w:rPr>
                <w:rFonts w:ascii="Arial" w:hAnsi="Arial" w:cs="Arial"/>
                <w:b/>
                <w:bCs/>
                <w:sz w:val="24"/>
                <w:szCs w:val="24"/>
                <w:lang w:val="es-MX" w:eastAsia="ja-JP"/>
              </w:rPr>
            </w:pPr>
            <w:r w:rsidRPr="009C486B">
              <w:rPr>
                <w:rFonts w:ascii="Arial" w:hAnsi="Arial" w:cs="Arial"/>
                <w:b/>
                <w:bCs/>
                <w:sz w:val="24"/>
                <w:szCs w:val="24"/>
                <w:lang w:val="es-MX" w:eastAsia="ja-JP"/>
              </w:rPr>
              <w:t>Empleador</w:t>
            </w:r>
          </w:p>
        </w:tc>
        <w:tc>
          <w:tcPr>
            <w:tcW w:w="1050" w:type="dxa"/>
          </w:tcPr>
          <w:p w14:paraId="2FE10ED8" w14:textId="2D61E12C" w:rsidR="0011024A" w:rsidRPr="009C486B" w:rsidRDefault="0011024A" w:rsidP="000A2CD4">
            <w:pPr>
              <w:autoSpaceDE w:val="0"/>
              <w:autoSpaceDN w:val="0"/>
              <w:adjustRightInd w:val="0"/>
              <w:jc w:val="center"/>
              <w:rPr>
                <w:rFonts w:ascii="Arial" w:hAnsi="Arial" w:cs="Arial"/>
                <w:b/>
                <w:bCs/>
                <w:sz w:val="24"/>
                <w:szCs w:val="24"/>
                <w:lang w:val="es-MX" w:eastAsia="ja-JP"/>
              </w:rPr>
            </w:pPr>
            <w:r w:rsidRPr="009C486B">
              <w:rPr>
                <w:rFonts w:ascii="Arial" w:hAnsi="Arial" w:cs="Arial"/>
                <w:b/>
                <w:bCs/>
                <w:sz w:val="24"/>
                <w:szCs w:val="24"/>
                <w:lang w:val="es-MX" w:eastAsia="ja-JP"/>
              </w:rPr>
              <w:t>Sector</w:t>
            </w:r>
          </w:p>
        </w:tc>
        <w:tc>
          <w:tcPr>
            <w:tcW w:w="1430" w:type="dxa"/>
          </w:tcPr>
          <w:p w14:paraId="68033787" w14:textId="207FF531" w:rsidR="0011024A" w:rsidRPr="009C486B" w:rsidRDefault="0011024A" w:rsidP="000A2CD4">
            <w:pPr>
              <w:autoSpaceDE w:val="0"/>
              <w:autoSpaceDN w:val="0"/>
              <w:adjustRightInd w:val="0"/>
              <w:jc w:val="center"/>
              <w:rPr>
                <w:rFonts w:ascii="Arial" w:hAnsi="Arial" w:cs="Arial"/>
                <w:b/>
                <w:bCs/>
                <w:sz w:val="24"/>
                <w:szCs w:val="24"/>
                <w:lang w:val="es-MX" w:eastAsia="ja-JP"/>
              </w:rPr>
            </w:pPr>
            <w:r w:rsidRPr="009C486B">
              <w:rPr>
                <w:rFonts w:ascii="Arial" w:hAnsi="Arial" w:cs="Arial"/>
                <w:b/>
                <w:bCs/>
                <w:sz w:val="24"/>
                <w:szCs w:val="24"/>
                <w:lang w:val="es-MX" w:eastAsia="ja-JP"/>
              </w:rPr>
              <w:t>F. Inicio</w:t>
            </w:r>
          </w:p>
        </w:tc>
        <w:tc>
          <w:tcPr>
            <w:tcW w:w="1430" w:type="dxa"/>
          </w:tcPr>
          <w:p w14:paraId="5E7625AF" w14:textId="7F3B4982" w:rsidR="0011024A" w:rsidRPr="009C486B" w:rsidRDefault="0011024A" w:rsidP="000A2CD4">
            <w:pPr>
              <w:autoSpaceDE w:val="0"/>
              <w:autoSpaceDN w:val="0"/>
              <w:adjustRightInd w:val="0"/>
              <w:jc w:val="center"/>
              <w:rPr>
                <w:rFonts w:ascii="Arial" w:hAnsi="Arial" w:cs="Arial"/>
                <w:b/>
                <w:bCs/>
                <w:sz w:val="24"/>
                <w:szCs w:val="24"/>
                <w:lang w:val="es-MX" w:eastAsia="ja-JP"/>
              </w:rPr>
            </w:pPr>
            <w:r w:rsidRPr="009C486B">
              <w:rPr>
                <w:rFonts w:ascii="Arial" w:hAnsi="Arial" w:cs="Arial"/>
                <w:b/>
                <w:bCs/>
                <w:sz w:val="24"/>
                <w:szCs w:val="24"/>
                <w:lang w:val="es-MX" w:eastAsia="ja-JP"/>
              </w:rPr>
              <w:t>F. Final</w:t>
            </w:r>
          </w:p>
        </w:tc>
      </w:tr>
      <w:tr w:rsidR="0011024A" w:rsidRPr="009C486B" w14:paraId="5B489445" w14:textId="77777777" w:rsidTr="00FD5F33">
        <w:trPr>
          <w:jc w:val="center"/>
        </w:trPr>
        <w:tc>
          <w:tcPr>
            <w:tcW w:w="1744" w:type="dxa"/>
            <w:shd w:val="clear" w:color="auto" w:fill="D0CECE" w:themeFill="background2" w:themeFillShade="E6"/>
          </w:tcPr>
          <w:p w14:paraId="38900FD8" w14:textId="121BF7C0"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CORELCA</w:t>
            </w:r>
            <w:r w:rsidR="000A2CD4" w:rsidRPr="009C486B">
              <w:rPr>
                <w:rStyle w:val="Refdenotaalpie"/>
                <w:rFonts w:ascii="Arial" w:hAnsi="Arial" w:cs="Arial"/>
                <w:sz w:val="24"/>
                <w:szCs w:val="24"/>
                <w:lang w:val="es-MX" w:eastAsia="ja-JP"/>
              </w:rPr>
              <w:footnoteReference w:id="2"/>
            </w:r>
          </w:p>
        </w:tc>
        <w:tc>
          <w:tcPr>
            <w:tcW w:w="1050" w:type="dxa"/>
            <w:shd w:val="clear" w:color="auto" w:fill="D0CECE" w:themeFill="background2" w:themeFillShade="E6"/>
          </w:tcPr>
          <w:p w14:paraId="09BCB43A" w14:textId="6492289D"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Publico</w:t>
            </w:r>
          </w:p>
        </w:tc>
        <w:tc>
          <w:tcPr>
            <w:tcW w:w="1430" w:type="dxa"/>
            <w:shd w:val="clear" w:color="auto" w:fill="D0CECE" w:themeFill="background2" w:themeFillShade="E6"/>
          </w:tcPr>
          <w:p w14:paraId="275AD7FC" w14:textId="633A6D08" w:rsidR="0011024A" w:rsidRPr="00562C89" w:rsidRDefault="0011024A" w:rsidP="00945E2C">
            <w:pPr>
              <w:autoSpaceDE w:val="0"/>
              <w:autoSpaceDN w:val="0"/>
              <w:adjustRightInd w:val="0"/>
              <w:rPr>
                <w:rFonts w:ascii="Arial" w:hAnsi="Arial" w:cs="Arial"/>
                <w:b/>
                <w:bCs/>
                <w:sz w:val="24"/>
                <w:szCs w:val="24"/>
                <w:lang w:val="es-MX" w:eastAsia="ja-JP"/>
              </w:rPr>
            </w:pPr>
            <w:r w:rsidRPr="00562C89">
              <w:rPr>
                <w:rFonts w:ascii="Arial" w:hAnsi="Arial" w:cs="Arial"/>
                <w:b/>
                <w:bCs/>
                <w:sz w:val="24"/>
                <w:szCs w:val="24"/>
                <w:lang w:val="es-MX" w:eastAsia="ja-JP"/>
              </w:rPr>
              <w:t>01.07.1977</w:t>
            </w:r>
          </w:p>
        </w:tc>
        <w:tc>
          <w:tcPr>
            <w:tcW w:w="1430" w:type="dxa"/>
            <w:shd w:val="clear" w:color="auto" w:fill="D0CECE" w:themeFill="background2" w:themeFillShade="E6"/>
          </w:tcPr>
          <w:p w14:paraId="631C99E3" w14:textId="07E92CE9"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15.12.1986</w:t>
            </w:r>
          </w:p>
        </w:tc>
      </w:tr>
      <w:tr w:rsidR="0011024A" w:rsidRPr="009C486B" w14:paraId="307D28DE" w14:textId="77777777" w:rsidTr="00FD5F33">
        <w:trPr>
          <w:jc w:val="center"/>
        </w:trPr>
        <w:tc>
          <w:tcPr>
            <w:tcW w:w="1744" w:type="dxa"/>
            <w:shd w:val="clear" w:color="auto" w:fill="D0CECE" w:themeFill="background2" w:themeFillShade="E6"/>
          </w:tcPr>
          <w:p w14:paraId="5F2FF587" w14:textId="42D6E73E"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Electrificadora</w:t>
            </w:r>
            <w:r w:rsidR="000A2CD4" w:rsidRPr="009C486B">
              <w:rPr>
                <w:rStyle w:val="Refdenotaalpie"/>
                <w:rFonts w:ascii="Arial" w:hAnsi="Arial" w:cs="Arial"/>
                <w:sz w:val="24"/>
                <w:szCs w:val="24"/>
                <w:lang w:val="es-MX" w:eastAsia="ja-JP"/>
              </w:rPr>
              <w:footnoteReference w:id="3"/>
            </w:r>
          </w:p>
        </w:tc>
        <w:tc>
          <w:tcPr>
            <w:tcW w:w="1050" w:type="dxa"/>
            <w:shd w:val="clear" w:color="auto" w:fill="D0CECE" w:themeFill="background2" w:themeFillShade="E6"/>
          </w:tcPr>
          <w:p w14:paraId="4DEB2791" w14:textId="7ACE677A"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Público</w:t>
            </w:r>
          </w:p>
        </w:tc>
        <w:tc>
          <w:tcPr>
            <w:tcW w:w="1430" w:type="dxa"/>
            <w:shd w:val="clear" w:color="auto" w:fill="D0CECE" w:themeFill="background2" w:themeFillShade="E6"/>
          </w:tcPr>
          <w:p w14:paraId="5159B240" w14:textId="13E4DD40"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19.12.1986</w:t>
            </w:r>
          </w:p>
        </w:tc>
        <w:tc>
          <w:tcPr>
            <w:tcW w:w="1430" w:type="dxa"/>
            <w:shd w:val="clear" w:color="auto" w:fill="D0CECE" w:themeFill="background2" w:themeFillShade="E6"/>
          </w:tcPr>
          <w:p w14:paraId="79183383" w14:textId="3858A61B"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30.01.1992</w:t>
            </w:r>
          </w:p>
        </w:tc>
      </w:tr>
      <w:tr w:rsidR="0011024A" w:rsidRPr="009C486B" w14:paraId="0163E759" w14:textId="77777777" w:rsidTr="00FD5F33">
        <w:trPr>
          <w:jc w:val="center"/>
        </w:trPr>
        <w:tc>
          <w:tcPr>
            <w:tcW w:w="1744" w:type="dxa"/>
            <w:shd w:val="clear" w:color="auto" w:fill="D0CECE" w:themeFill="background2" w:themeFillShade="E6"/>
          </w:tcPr>
          <w:p w14:paraId="6EE24B5A" w14:textId="7AE81374"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DAS</w:t>
            </w:r>
            <w:r w:rsidR="000A2CD4" w:rsidRPr="009C486B">
              <w:rPr>
                <w:rStyle w:val="Refdenotaalpie"/>
                <w:rFonts w:ascii="Arial" w:hAnsi="Arial" w:cs="Arial"/>
                <w:sz w:val="24"/>
                <w:szCs w:val="24"/>
                <w:lang w:val="es-MX" w:eastAsia="ja-JP"/>
              </w:rPr>
              <w:footnoteReference w:id="4"/>
            </w:r>
          </w:p>
        </w:tc>
        <w:tc>
          <w:tcPr>
            <w:tcW w:w="1050" w:type="dxa"/>
            <w:shd w:val="clear" w:color="auto" w:fill="D0CECE" w:themeFill="background2" w:themeFillShade="E6"/>
          </w:tcPr>
          <w:p w14:paraId="7A71A69D" w14:textId="56D3AD8A"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Público</w:t>
            </w:r>
          </w:p>
        </w:tc>
        <w:tc>
          <w:tcPr>
            <w:tcW w:w="1430" w:type="dxa"/>
            <w:shd w:val="clear" w:color="auto" w:fill="D0CECE" w:themeFill="background2" w:themeFillShade="E6"/>
          </w:tcPr>
          <w:p w14:paraId="7511DD07" w14:textId="4357BD44"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03.02.1992</w:t>
            </w:r>
          </w:p>
        </w:tc>
        <w:tc>
          <w:tcPr>
            <w:tcW w:w="1430" w:type="dxa"/>
            <w:shd w:val="clear" w:color="auto" w:fill="D0CECE" w:themeFill="background2" w:themeFillShade="E6"/>
          </w:tcPr>
          <w:p w14:paraId="49594975" w14:textId="642B8A62" w:rsidR="0011024A" w:rsidRPr="009C486B" w:rsidRDefault="0011024A"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08.07.1993</w:t>
            </w:r>
          </w:p>
        </w:tc>
      </w:tr>
      <w:tr w:rsidR="0011024A" w:rsidRPr="009C486B" w14:paraId="250A7CD9" w14:textId="77777777" w:rsidTr="000A2CD4">
        <w:trPr>
          <w:jc w:val="center"/>
        </w:trPr>
        <w:tc>
          <w:tcPr>
            <w:tcW w:w="1744" w:type="dxa"/>
          </w:tcPr>
          <w:p w14:paraId="090020F0" w14:textId="28DE61BA" w:rsidR="0011024A"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 xml:space="preserve">Col. </w:t>
            </w:r>
            <w:r w:rsidR="0011024A" w:rsidRPr="009C486B">
              <w:rPr>
                <w:rFonts w:ascii="Arial" w:hAnsi="Arial" w:cs="Arial"/>
                <w:sz w:val="24"/>
                <w:szCs w:val="24"/>
                <w:lang w:val="es-MX" w:eastAsia="ja-JP"/>
              </w:rPr>
              <w:t>U.</w:t>
            </w:r>
            <w:r w:rsidRPr="009C486B">
              <w:rPr>
                <w:rFonts w:ascii="Arial" w:hAnsi="Arial" w:cs="Arial"/>
                <w:sz w:val="24"/>
                <w:szCs w:val="24"/>
                <w:lang w:val="es-MX" w:eastAsia="ja-JP"/>
              </w:rPr>
              <w:t xml:space="preserve"> </w:t>
            </w:r>
            <w:r w:rsidR="0011024A" w:rsidRPr="009C486B">
              <w:rPr>
                <w:rFonts w:ascii="Arial" w:hAnsi="Arial" w:cs="Arial"/>
                <w:sz w:val="24"/>
                <w:szCs w:val="24"/>
                <w:lang w:val="es-MX" w:eastAsia="ja-JP"/>
              </w:rPr>
              <w:t>Libre</w:t>
            </w:r>
            <w:r w:rsidR="000A2CD4" w:rsidRPr="009C486B">
              <w:rPr>
                <w:rStyle w:val="Refdenotaalpie"/>
                <w:rFonts w:ascii="Arial" w:hAnsi="Arial" w:cs="Arial"/>
                <w:sz w:val="24"/>
                <w:szCs w:val="24"/>
                <w:lang w:val="es-MX" w:eastAsia="ja-JP"/>
              </w:rPr>
              <w:footnoteReference w:id="5"/>
            </w:r>
          </w:p>
        </w:tc>
        <w:tc>
          <w:tcPr>
            <w:tcW w:w="1050" w:type="dxa"/>
          </w:tcPr>
          <w:p w14:paraId="64FC433E" w14:textId="21996FD7" w:rsidR="0011024A"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3CAC9A3C" w14:textId="45BE3452" w:rsidR="0011024A"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21.04.1993</w:t>
            </w:r>
          </w:p>
        </w:tc>
        <w:tc>
          <w:tcPr>
            <w:tcW w:w="1430" w:type="dxa"/>
          </w:tcPr>
          <w:p w14:paraId="44A5BB2D" w14:textId="331D42A6" w:rsidR="0011024A"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31.12.1994</w:t>
            </w:r>
          </w:p>
        </w:tc>
      </w:tr>
      <w:tr w:rsidR="0011024A" w:rsidRPr="009C486B" w14:paraId="37B74110" w14:textId="77777777" w:rsidTr="000A2CD4">
        <w:trPr>
          <w:jc w:val="center"/>
        </w:trPr>
        <w:tc>
          <w:tcPr>
            <w:tcW w:w="1744" w:type="dxa"/>
          </w:tcPr>
          <w:p w14:paraId="1342A244" w14:textId="029F071C" w:rsidR="0011024A"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U. Libre</w:t>
            </w:r>
            <w:r w:rsidR="000A2CD4" w:rsidRPr="009C486B">
              <w:rPr>
                <w:rStyle w:val="Refdenotaalpie"/>
                <w:rFonts w:ascii="Arial" w:hAnsi="Arial" w:cs="Arial"/>
                <w:sz w:val="24"/>
                <w:szCs w:val="24"/>
                <w:lang w:val="es-MX" w:eastAsia="ja-JP"/>
              </w:rPr>
              <w:footnoteReference w:id="6"/>
            </w:r>
          </w:p>
        </w:tc>
        <w:tc>
          <w:tcPr>
            <w:tcW w:w="1050" w:type="dxa"/>
          </w:tcPr>
          <w:p w14:paraId="7E57C991" w14:textId="0531B1AE" w:rsidR="0011024A"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08DCA8BB" w14:textId="5BA57188" w:rsidR="0011024A"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01.01.1995</w:t>
            </w:r>
          </w:p>
        </w:tc>
        <w:tc>
          <w:tcPr>
            <w:tcW w:w="1430" w:type="dxa"/>
          </w:tcPr>
          <w:p w14:paraId="1441B486" w14:textId="77B3A3EE" w:rsidR="0011024A"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15.09.1999</w:t>
            </w:r>
          </w:p>
        </w:tc>
      </w:tr>
      <w:tr w:rsidR="00582A7F" w:rsidRPr="009C486B" w14:paraId="32148FB0" w14:textId="77777777" w:rsidTr="000A2CD4">
        <w:trPr>
          <w:jc w:val="center"/>
        </w:trPr>
        <w:tc>
          <w:tcPr>
            <w:tcW w:w="1744" w:type="dxa"/>
          </w:tcPr>
          <w:p w14:paraId="715417CF" w14:textId="72D1E357"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Consultorías</w:t>
            </w:r>
            <w:r w:rsidR="000A2CD4" w:rsidRPr="009C486B">
              <w:rPr>
                <w:rStyle w:val="Refdenotaalpie"/>
                <w:rFonts w:ascii="Arial" w:hAnsi="Arial" w:cs="Arial"/>
                <w:sz w:val="24"/>
                <w:szCs w:val="24"/>
                <w:lang w:val="es-MX" w:eastAsia="ja-JP"/>
              </w:rPr>
              <w:footnoteReference w:id="7"/>
            </w:r>
          </w:p>
        </w:tc>
        <w:tc>
          <w:tcPr>
            <w:tcW w:w="1050" w:type="dxa"/>
          </w:tcPr>
          <w:p w14:paraId="42225A8F" w14:textId="12D1DE00"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3AF8EB41" w14:textId="06C9F847"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01.05.1997</w:t>
            </w:r>
          </w:p>
        </w:tc>
        <w:tc>
          <w:tcPr>
            <w:tcW w:w="1430" w:type="dxa"/>
          </w:tcPr>
          <w:p w14:paraId="7A65E524" w14:textId="4ABCE8B1"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31.01.1998</w:t>
            </w:r>
          </w:p>
        </w:tc>
      </w:tr>
      <w:tr w:rsidR="00582A7F" w:rsidRPr="009C486B" w14:paraId="3BD2C003" w14:textId="77777777" w:rsidTr="000A2CD4">
        <w:trPr>
          <w:jc w:val="center"/>
        </w:trPr>
        <w:tc>
          <w:tcPr>
            <w:tcW w:w="1744" w:type="dxa"/>
          </w:tcPr>
          <w:p w14:paraId="67E1C70D" w14:textId="37A984A2"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U. Libre</w:t>
            </w:r>
          </w:p>
        </w:tc>
        <w:tc>
          <w:tcPr>
            <w:tcW w:w="1050" w:type="dxa"/>
          </w:tcPr>
          <w:p w14:paraId="5B9E1CF5" w14:textId="4AB05487"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5BC9B7AC" w14:textId="7A434E9D"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01.10.1999</w:t>
            </w:r>
          </w:p>
        </w:tc>
        <w:tc>
          <w:tcPr>
            <w:tcW w:w="1430" w:type="dxa"/>
          </w:tcPr>
          <w:p w14:paraId="64982510" w14:textId="7AA0782C"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31.07.2001</w:t>
            </w:r>
          </w:p>
        </w:tc>
      </w:tr>
      <w:tr w:rsidR="00582A7F" w:rsidRPr="009C486B" w14:paraId="182D2150" w14:textId="77777777" w:rsidTr="00FD5F33">
        <w:trPr>
          <w:jc w:val="center"/>
        </w:trPr>
        <w:tc>
          <w:tcPr>
            <w:tcW w:w="1744" w:type="dxa"/>
            <w:shd w:val="clear" w:color="auto" w:fill="D0CECE" w:themeFill="background2" w:themeFillShade="E6"/>
          </w:tcPr>
          <w:p w14:paraId="76D20C5C" w14:textId="7D52192F"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Dto. Atlántico</w:t>
            </w:r>
            <w:r w:rsidR="000A2CD4" w:rsidRPr="009C486B">
              <w:rPr>
                <w:rStyle w:val="Refdenotaalpie"/>
                <w:rFonts w:ascii="Arial" w:hAnsi="Arial" w:cs="Arial"/>
                <w:sz w:val="24"/>
                <w:szCs w:val="24"/>
                <w:lang w:val="es-MX" w:eastAsia="ja-JP"/>
              </w:rPr>
              <w:footnoteReference w:id="8"/>
            </w:r>
          </w:p>
        </w:tc>
        <w:tc>
          <w:tcPr>
            <w:tcW w:w="1050" w:type="dxa"/>
            <w:shd w:val="clear" w:color="auto" w:fill="D0CECE" w:themeFill="background2" w:themeFillShade="E6"/>
          </w:tcPr>
          <w:p w14:paraId="7331234C" w14:textId="22232C90" w:rsidR="00582A7F" w:rsidRPr="009C486B" w:rsidRDefault="00582A7F"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Público</w:t>
            </w:r>
          </w:p>
        </w:tc>
        <w:tc>
          <w:tcPr>
            <w:tcW w:w="1430" w:type="dxa"/>
            <w:shd w:val="clear" w:color="auto" w:fill="D0CECE" w:themeFill="background2" w:themeFillShade="E6"/>
          </w:tcPr>
          <w:p w14:paraId="3F2420CE" w14:textId="575F0627"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27.06.2001</w:t>
            </w:r>
          </w:p>
        </w:tc>
        <w:tc>
          <w:tcPr>
            <w:tcW w:w="1430" w:type="dxa"/>
            <w:shd w:val="clear" w:color="auto" w:fill="D0CECE" w:themeFill="background2" w:themeFillShade="E6"/>
          </w:tcPr>
          <w:p w14:paraId="680B64F6" w14:textId="19678637"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01.05.2003</w:t>
            </w:r>
          </w:p>
        </w:tc>
      </w:tr>
      <w:tr w:rsidR="00582A7F" w:rsidRPr="009C486B" w14:paraId="3CB82494" w14:textId="77777777" w:rsidTr="000A2CD4">
        <w:trPr>
          <w:jc w:val="center"/>
        </w:trPr>
        <w:tc>
          <w:tcPr>
            <w:tcW w:w="1744" w:type="dxa"/>
          </w:tcPr>
          <w:p w14:paraId="0A296D13" w14:textId="212F06DA"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U. Libre</w:t>
            </w:r>
          </w:p>
        </w:tc>
        <w:tc>
          <w:tcPr>
            <w:tcW w:w="1050" w:type="dxa"/>
          </w:tcPr>
          <w:p w14:paraId="724A27A0" w14:textId="6D2F1ADD"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21DF0808" w14:textId="4A463CB1"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01.09.2001</w:t>
            </w:r>
          </w:p>
        </w:tc>
        <w:tc>
          <w:tcPr>
            <w:tcW w:w="1430" w:type="dxa"/>
          </w:tcPr>
          <w:p w14:paraId="0443EBC2" w14:textId="08FF68E4"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29.04.2006</w:t>
            </w:r>
          </w:p>
        </w:tc>
      </w:tr>
      <w:tr w:rsidR="00582A7F" w:rsidRPr="009C486B" w14:paraId="7FBCD628" w14:textId="77777777" w:rsidTr="000A2CD4">
        <w:trPr>
          <w:jc w:val="center"/>
        </w:trPr>
        <w:tc>
          <w:tcPr>
            <w:tcW w:w="1744" w:type="dxa"/>
          </w:tcPr>
          <w:p w14:paraId="224D9255" w14:textId="2C2D6FBD"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lastRenderedPageBreak/>
              <w:t>Desarrollos</w:t>
            </w:r>
            <w:r w:rsidR="009C486B" w:rsidRPr="009C486B">
              <w:rPr>
                <w:rStyle w:val="Refdenotaalpie"/>
                <w:rFonts w:ascii="Arial" w:hAnsi="Arial" w:cs="Arial"/>
                <w:sz w:val="24"/>
                <w:szCs w:val="24"/>
                <w:lang w:val="es-MX" w:eastAsia="ja-JP"/>
              </w:rPr>
              <w:footnoteReference w:id="9"/>
            </w:r>
          </w:p>
        </w:tc>
        <w:tc>
          <w:tcPr>
            <w:tcW w:w="1050" w:type="dxa"/>
          </w:tcPr>
          <w:p w14:paraId="14F379E8" w14:textId="20A58855"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5B988781" w14:textId="689246E1"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01.02.2004</w:t>
            </w:r>
          </w:p>
        </w:tc>
        <w:tc>
          <w:tcPr>
            <w:tcW w:w="1430" w:type="dxa"/>
          </w:tcPr>
          <w:p w14:paraId="059351FC" w14:textId="6A75CEFF" w:rsidR="00582A7F" w:rsidRPr="009C486B" w:rsidRDefault="00573107" w:rsidP="00945E2C">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31.03.2004</w:t>
            </w:r>
          </w:p>
        </w:tc>
      </w:tr>
      <w:tr w:rsidR="00573107" w:rsidRPr="009C486B" w14:paraId="5A61D0C6" w14:textId="77777777" w:rsidTr="000A2CD4">
        <w:trPr>
          <w:jc w:val="center"/>
        </w:trPr>
        <w:tc>
          <w:tcPr>
            <w:tcW w:w="1744" w:type="dxa"/>
          </w:tcPr>
          <w:p w14:paraId="19DEE044" w14:textId="288E135A" w:rsidR="00573107" w:rsidRPr="009C486B" w:rsidRDefault="00573107" w:rsidP="006E04CD">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Temporal A.</w:t>
            </w:r>
            <w:r w:rsidR="009C486B" w:rsidRPr="009C486B">
              <w:rPr>
                <w:rStyle w:val="Refdenotaalpie"/>
                <w:rFonts w:ascii="Arial" w:hAnsi="Arial" w:cs="Arial"/>
                <w:sz w:val="24"/>
                <w:szCs w:val="24"/>
                <w:lang w:val="es-MX" w:eastAsia="ja-JP"/>
              </w:rPr>
              <w:footnoteReference w:id="10"/>
            </w:r>
          </w:p>
        </w:tc>
        <w:tc>
          <w:tcPr>
            <w:tcW w:w="1050" w:type="dxa"/>
          </w:tcPr>
          <w:p w14:paraId="164E5BEF" w14:textId="77777777" w:rsidR="00573107" w:rsidRPr="009C486B" w:rsidRDefault="00573107" w:rsidP="006E04CD">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5729A163" w14:textId="52C35DC3" w:rsidR="00573107" w:rsidRPr="009C486B" w:rsidRDefault="00573107" w:rsidP="006E04CD">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01.04.2004</w:t>
            </w:r>
          </w:p>
        </w:tc>
        <w:tc>
          <w:tcPr>
            <w:tcW w:w="1430" w:type="dxa"/>
          </w:tcPr>
          <w:p w14:paraId="73212A54" w14:textId="4421E5CF" w:rsidR="00573107" w:rsidRPr="009C486B" w:rsidRDefault="00573107" w:rsidP="006E04CD">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28.04.2004</w:t>
            </w:r>
          </w:p>
        </w:tc>
      </w:tr>
      <w:tr w:rsidR="00573107" w:rsidRPr="009C486B" w14:paraId="1EB63B16" w14:textId="77777777" w:rsidTr="000A2CD4">
        <w:trPr>
          <w:trHeight w:val="260"/>
          <w:jc w:val="center"/>
        </w:trPr>
        <w:tc>
          <w:tcPr>
            <w:tcW w:w="1744" w:type="dxa"/>
          </w:tcPr>
          <w:p w14:paraId="261FD495" w14:textId="234A6E8E"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Temporal A.</w:t>
            </w:r>
          </w:p>
        </w:tc>
        <w:tc>
          <w:tcPr>
            <w:tcW w:w="1050" w:type="dxa"/>
          </w:tcPr>
          <w:p w14:paraId="2E2B283B" w14:textId="122A6DB2"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48B31994" w14:textId="64AA2424"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01.05.2004</w:t>
            </w:r>
          </w:p>
        </w:tc>
        <w:tc>
          <w:tcPr>
            <w:tcW w:w="1430" w:type="dxa"/>
          </w:tcPr>
          <w:p w14:paraId="19E91ACF" w14:textId="44363836"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28.05.2005</w:t>
            </w:r>
          </w:p>
        </w:tc>
      </w:tr>
      <w:tr w:rsidR="00573107" w:rsidRPr="009C486B" w14:paraId="7C150196" w14:textId="77777777" w:rsidTr="000A2CD4">
        <w:trPr>
          <w:jc w:val="center"/>
        </w:trPr>
        <w:tc>
          <w:tcPr>
            <w:tcW w:w="1744" w:type="dxa"/>
          </w:tcPr>
          <w:p w14:paraId="23DE6F7D" w14:textId="403AD7D3"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Temporal A.</w:t>
            </w:r>
          </w:p>
        </w:tc>
        <w:tc>
          <w:tcPr>
            <w:tcW w:w="1050" w:type="dxa"/>
          </w:tcPr>
          <w:p w14:paraId="2767E122" w14:textId="7C89E30D"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57349D35" w14:textId="63BAD1B4"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01.06.2005</w:t>
            </w:r>
          </w:p>
        </w:tc>
        <w:tc>
          <w:tcPr>
            <w:tcW w:w="1430" w:type="dxa"/>
          </w:tcPr>
          <w:p w14:paraId="187FDB83" w14:textId="04A847AF"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28.02.2007</w:t>
            </w:r>
          </w:p>
        </w:tc>
      </w:tr>
      <w:tr w:rsidR="00573107" w:rsidRPr="009C486B" w14:paraId="4FE23017" w14:textId="77777777" w:rsidTr="000A2CD4">
        <w:trPr>
          <w:jc w:val="center"/>
        </w:trPr>
        <w:tc>
          <w:tcPr>
            <w:tcW w:w="1744" w:type="dxa"/>
          </w:tcPr>
          <w:p w14:paraId="08C45298" w14:textId="15D15BC5"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U. Libre</w:t>
            </w:r>
          </w:p>
        </w:tc>
        <w:tc>
          <w:tcPr>
            <w:tcW w:w="1050" w:type="dxa"/>
          </w:tcPr>
          <w:p w14:paraId="6EA15553" w14:textId="128A4CCE"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Privado</w:t>
            </w:r>
          </w:p>
        </w:tc>
        <w:tc>
          <w:tcPr>
            <w:tcW w:w="1430" w:type="dxa"/>
          </w:tcPr>
          <w:p w14:paraId="3E5355A0" w14:textId="34561265"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01.05.2006</w:t>
            </w:r>
          </w:p>
        </w:tc>
        <w:tc>
          <w:tcPr>
            <w:tcW w:w="1430" w:type="dxa"/>
          </w:tcPr>
          <w:p w14:paraId="1E08BA5C" w14:textId="63B135DF" w:rsidR="00573107" w:rsidRPr="00562C89" w:rsidRDefault="00573107" w:rsidP="00573107">
            <w:pPr>
              <w:autoSpaceDE w:val="0"/>
              <w:autoSpaceDN w:val="0"/>
              <w:adjustRightInd w:val="0"/>
              <w:rPr>
                <w:rFonts w:ascii="Arial" w:hAnsi="Arial" w:cs="Arial"/>
                <w:b/>
                <w:bCs/>
                <w:sz w:val="24"/>
                <w:szCs w:val="24"/>
                <w:lang w:val="es-MX" w:eastAsia="ja-JP"/>
              </w:rPr>
            </w:pPr>
            <w:r w:rsidRPr="00562C89">
              <w:rPr>
                <w:rFonts w:ascii="Arial" w:hAnsi="Arial" w:cs="Arial"/>
                <w:b/>
                <w:bCs/>
                <w:sz w:val="24"/>
                <w:szCs w:val="24"/>
                <w:lang w:val="es-MX" w:eastAsia="ja-JP"/>
              </w:rPr>
              <w:t>31.12.2013</w:t>
            </w:r>
          </w:p>
        </w:tc>
      </w:tr>
      <w:tr w:rsidR="00573107" w:rsidRPr="009C486B" w14:paraId="643EF767" w14:textId="77777777" w:rsidTr="00FD5F33">
        <w:trPr>
          <w:jc w:val="center"/>
        </w:trPr>
        <w:tc>
          <w:tcPr>
            <w:tcW w:w="1744" w:type="dxa"/>
            <w:shd w:val="clear" w:color="auto" w:fill="D0CECE" w:themeFill="background2" w:themeFillShade="E6"/>
          </w:tcPr>
          <w:p w14:paraId="63CE90CD" w14:textId="055B26BB"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U. Atlántico</w:t>
            </w:r>
            <w:r w:rsidR="009C486B" w:rsidRPr="009C486B">
              <w:rPr>
                <w:rStyle w:val="Refdenotaalpie"/>
                <w:rFonts w:ascii="Arial" w:hAnsi="Arial" w:cs="Arial"/>
                <w:sz w:val="24"/>
                <w:szCs w:val="24"/>
                <w:lang w:val="es-MX" w:eastAsia="ja-JP"/>
              </w:rPr>
              <w:footnoteReference w:id="11"/>
            </w:r>
          </w:p>
        </w:tc>
        <w:tc>
          <w:tcPr>
            <w:tcW w:w="1050" w:type="dxa"/>
            <w:shd w:val="clear" w:color="auto" w:fill="D0CECE" w:themeFill="background2" w:themeFillShade="E6"/>
          </w:tcPr>
          <w:p w14:paraId="0695EE3B" w14:textId="14F2B4CE"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Público</w:t>
            </w:r>
          </w:p>
        </w:tc>
        <w:tc>
          <w:tcPr>
            <w:tcW w:w="1430" w:type="dxa"/>
            <w:shd w:val="clear" w:color="auto" w:fill="D0CECE" w:themeFill="background2" w:themeFillShade="E6"/>
          </w:tcPr>
          <w:p w14:paraId="40E0F42C" w14:textId="3FFA6A7A"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01.10.2007</w:t>
            </w:r>
          </w:p>
        </w:tc>
        <w:tc>
          <w:tcPr>
            <w:tcW w:w="1430" w:type="dxa"/>
            <w:shd w:val="clear" w:color="auto" w:fill="D0CECE" w:themeFill="background2" w:themeFillShade="E6"/>
          </w:tcPr>
          <w:p w14:paraId="1104124E" w14:textId="23F93E6F"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31.12.2007</w:t>
            </w:r>
          </w:p>
        </w:tc>
      </w:tr>
      <w:tr w:rsidR="00573107" w:rsidRPr="009C486B" w14:paraId="623D10C2" w14:textId="77777777" w:rsidTr="00FD5F33">
        <w:trPr>
          <w:jc w:val="center"/>
        </w:trPr>
        <w:tc>
          <w:tcPr>
            <w:tcW w:w="1744" w:type="dxa"/>
            <w:shd w:val="clear" w:color="auto" w:fill="D0CECE" w:themeFill="background2" w:themeFillShade="E6"/>
          </w:tcPr>
          <w:p w14:paraId="24DC6D2A" w14:textId="3E53A3CB"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Dto. Atlántico</w:t>
            </w:r>
          </w:p>
        </w:tc>
        <w:tc>
          <w:tcPr>
            <w:tcW w:w="1050" w:type="dxa"/>
            <w:shd w:val="clear" w:color="auto" w:fill="D0CECE" w:themeFill="background2" w:themeFillShade="E6"/>
          </w:tcPr>
          <w:p w14:paraId="3754BAA7" w14:textId="040A2CBA"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Público</w:t>
            </w:r>
          </w:p>
        </w:tc>
        <w:tc>
          <w:tcPr>
            <w:tcW w:w="1430" w:type="dxa"/>
            <w:shd w:val="clear" w:color="auto" w:fill="D0CECE" w:themeFill="background2" w:themeFillShade="E6"/>
          </w:tcPr>
          <w:p w14:paraId="48895CB4" w14:textId="37C6746F" w:rsidR="00573107" w:rsidRPr="009C486B" w:rsidRDefault="00573107" w:rsidP="00573107">
            <w:pPr>
              <w:autoSpaceDE w:val="0"/>
              <w:autoSpaceDN w:val="0"/>
              <w:adjustRightInd w:val="0"/>
              <w:rPr>
                <w:rFonts w:ascii="Arial" w:hAnsi="Arial" w:cs="Arial"/>
                <w:sz w:val="24"/>
                <w:szCs w:val="24"/>
                <w:lang w:val="es-MX" w:eastAsia="ja-JP"/>
              </w:rPr>
            </w:pPr>
            <w:r w:rsidRPr="009C486B">
              <w:rPr>
                <w:rFonts w:ascii="Arial" w:hAnsi="Arial" w:cs="Arial"/>
                <w:sz w:val="24"/>
                <w:szCs w:val="24"/>
                <w:lang w:val="es-MX" w:eastAsia="ja-JP"/>
              </w:rPr>
              <w:t>16.</w:t>
            </w:r>
            <w:r w:rsidR="000A2CD4" w:rsidRPr="009C486B">
              <w:rPr>
                <w:rFonts w:ascii="Arial" w:hAnsi="Arial" w:cs="Arial"/>
                <w:sz w:val="24"/>
                <w:szCs w:val="24"/>
                <w:lang w:val="es-MX" w:eastAsia="ja-JP"/>
              </w:rPr>
              <w:t>01.2008</w:t>
            </w:r>
          </w:p>
        </w:tc>
        <w:tc>
          <w:tcPr>
            <w:tcW w:w="1430" w:type="dxa"/>
            <w:shd w:val="clear" w:color="auto" w:fill="D0CECE" w:themeFill="background2" w:themeFillShade="E6"/>
          </w:tcPr>
          <w:p w14:paraId="58B63C88" w14:textId="49361F78" w:rsidR="00573107" w:rsidRPr="006148CF" w:rsidRDefault="000A2CD4" w:rsidP="00573107">
            <w:pPr>
              <w:autoSpaceDE w:val="0"/>
              <w:autoSpaceDN w:val="0"/>
              <w:adjustRightInd w:val="0"/>
              <w:rPr>
                <w:rFonts w:ascii="Arial" w:hAnsi="Arial" w:cs="Arial"/>
                <w:i/>
                <w:iCs/>
                <w:sz w:val="24"/>
                <w:szCs w:val="24"/>
                <w:lang w:val="es-MX" w:eastAsia="ja-JP"/>
              </w:rPr>
            </w:pPr>
            <w:r w:rsidRPr="006148CF">
              <w:rPr>
                <w:rFonts w:ascii="Arial" w:hAnsi="Arial" w:cs="Arial"/>
                <w:i/>
                <w:iCs/>
                <w:sz w:val="24"/>
                <w:szCs w:val="24"/>
                <w:lang w:val="es-MX" w:eastAsia="ja-JP"/>
              </w:rPr>
              <w:t>31.12.2011</w:t>
            </w:r>
          </w:p>
        </w:tc>
      </w:tr>
    </w:tbl>
    <w:p w14:paraId="54275A78" w14:textId="33D875E6" w:rsidR="00582A7F" w:rsidRDefault="00582A7F" w:rsidP="00945E2C">
      <w:pPr>
        <w:autoSpaceDE w:val="0"/>
        <w:autoSpaceDN w:val="0"/>
        <w:adjustRightInd w:val="0"/>
        <w:rPr>
          <w:noProof/>
          <w:sz w:val="24"/>
          <w:szCs w:val="24"/>
        </w:rPr>
      </w:pPr>
    </w:p>
    <w:p w14:paraId="4CE358DE" w14:textId="607EC07C" w:rsidR="006148CF" w:rsidRDefault="00B312B3" w:rsidP="00945E2C">
      <w:pPr>
        <w:autoSpaceDE w:val="0"/>
        <w:autoSpaceDN w:val="0"/>
        <w:adjustRightInd w:val="0"/>
        <w:rPr>
          <w:bCs/>
          <w:sz w:val="24"/>
          <w:szCs w:val="24"/>
        </w:rPr>
      </w:pPr>
      <w:r>
        <w:rPr>
          <w:noProof/>
          <w:sz w:val="24"/>
          <w:szCs w:val="24"/>
        </w:rPr>
        <w:t xml:space="preserve">El señor </w:t>
      </w:r>
      <w:r w:rsidRPr="009C486B">
        <w:rPr>
          <w:bCs/>
          <w:sz w:val="24"/>
          <w:szCs w:val="24"/>
        </w:rPr>
        <w:t>Aragón Canchila</w:t>
      </w:r>
      <w:r>
        <w:rPr>
          <w:bCs/>
          <w:sz w:val="24"/>
          <w:szCs w:val="24"/>
        </w:rPr>
        <w:t xml:space="preserve"> presentó petición ante la Administradora Colombiana de Pensiones (Colpensiones), el 22 de noviembre de 2013, </w:t>
      </w:r>
      <w:r w:rsidR="00A25FB6">
        <w:rPr>
          <w:bCs/>
          <w:sz w:val="24"/>
          <w:szCs w:val="24"/>
        </w:rPr>
        <w:t>con</w:t>
      </w:r>
      <w:r>
        <w:rPr>
          <w:bCs/>
          <w:sz w:val="24"/>
          <w:szCs w:val="24"/>
        </w:rPr>
        <w:t xml:space="preserve"> radicado 020138375908</w:t>
      </w:r>
      <w:r w:rsidR="00562C89">
        <w:rPr>
          <w:bCs/>
          <w:sz w:val="24"/>
          <w:szCs w:val="24"/>
        </w:rPr>
        <w:t xml:space="preserve">, </w:t>
      </w:r>
      <w:r w:rsidR="00A25FB6">
        <w:rPr>
          <w:bCs/>
          <w:sz w:val="24"/>
          <w:szCs w:val="24"/>
        </w:rPr>
        <w:t xml:space="preserve">en </w:t>
      </w:r>
      <w:r w:rsidR="00FD3A7B">
        <w:rPr>
          <w:bCs/>
          <w:sz w:val="24"/>
          <w:szCs w:val="24"/>
        </w:rPr>
        <w:t>la</w:t>
      </w:r>
      <w:r w:rsidR="00A25FB6">
        <w:rPr>
          <w:bCs/>
          <w:sz w:val="24"/>
          <w:szCs w:val="24"/>
        </w:rPr>
        <w:t xml:space="preserve"> que solicitó el reconocimiento y pago de una </w:t>
      </w:r>
      <w:r w:rsidR="00A25FB6" w:rsidRPr="00A66574">
        <w:rPr>
          <w:bCs/>
          <w:i/>
          <w:iCs/>
          <w:sz w:val="24"/>
          <w:szCs w:val="24"/>
        </w:rPr>
        <w:t>pensión mensual vitalicia de jubilación</w:t>
      </w:r>
      <w:r w:rsidR="00A25FB6">
        <w:rPr>
          <w:bCs/>
          <w:sz w:val="24"/>
          <w:szCs w:val="24"/>
        </w:rPr>
        <w:t>, conforme a la</w:t>
      </w:r>
      <w:r w:rsidR="0090538F">
        <w:rPr>
          <w:bCs/>
          <w:sz w:val="24"/>
          <w:szCs w:val="24"/>
        </w:rPr>
        <w:t>s normas contenidas en la</w:t>
      </w:r>
      <w:r w:rsidR="00A25FB6">
        <w:rPr>
          <w:bCs/>
          <w:sz w:val="24"/>
          <w:szCs w:val="24"/>
        </w:rPr>
        <w:t xml:space="preserve"> </w:t>
      </w:r>
      <w:r w:rsidR="00A25FB6" w:rsidRPr="00A66574">
        <w:rPr>
          <w:b/>
          <w:sz w:val="24"/>
          <w:szCs w:val="24"/>
        </w:rPr>
        <w:t>Ley 33 de 1985</w:t>
      </w:r>
      <w:r w:rsidR="00A25FB6">
        <w:rPr>
          <w:bCs/>
          <w:sz w:val="24"/>
          <w:szCs w:val="24"/>
        </w:rPr>
        <w:t xml:space="preserve">, </w:t>
      </w:r>
      <w:r w:rsidR="00A25FB6" w:rsidRPr="00720282">
        <w:rPr>
          <w:bCs/>
          <w:sz w:val="24"/>
          <w:szCs w:val="24"/>
          <w:u w:val="single"/>
        </w:rPr>
        <w:t xml:space="preserve">con </w:t>
      </w:r>
      <w:r w:rsidR="006148CF" w:rsidRPr="00720282">
        <w:rPr>
          <w:bCs/>
          <w:sz w:val="24"/>
          <w:szCs w:val="24"/>
          <w:u w:val="single"/>
        </w:rPr>
        <w:t>cargo exclusivo a tiempos de servicio público</w:t>
      </w:r>
      <w:r w:rsidR="006148CF">
        <w:rPr>
          <w:bCs/>
          <w:sz w:val="24"/>
          <w:szCs w:val="24"/>
        </w:rPr>
        <w:t xml:space="preserve"> prestado a </w:t>
      </w:r>
      <w:r w:rsidR="00A25FB6">
        <w:rPr>
          <w:bCs/>
          <w:sz w:val="24"/>
          <w:szCs w:val="24"/>
        </w:rPr>
        <w:t>Corelca,</w:t>
      </w:r>
      <w:r w:rsidR="0090538F">
        <w:rPr>
          <w:bCs/>
          <w:sz w:val="24"/>
          <w:szCs w:val="24"/>
        </w:rPr>
        <w:t xml:space="preserve"> </w:t>
      </w:r>
      <w:r w:rsidR="006148CF">
        <w:rPr>
          <w:bCs/>
          <w:sz w:val="24"/>
          <w:szCs w:val="24"/>
        </w:rPr>
        <w:t>a</w:t>
      </w:r>
      <w:r w:rsidR="0090538F">
        <w:rPr>
          <w:bCs/>
          <w:sz w:val="24"/>
          <w:szCs w:val="24"/>
        </w:rPr>
        <w:t xml:space="preserve"> </w:t>
      </w:r>
      <w:r w:rsidR="00A25FB6">
        <w:rPr>
          <w:bCs/>
          <w:sz w:val="24"/>
          <w:szCs w:val="24"/>
        </w:rPr>
        <w:t xml:space="preserve">la Electrificadora, </w:t>
      </w:r>
      <w:r w:rsidR="006148CF">
        <w:rPr>
          <w:bCs/>
          <w:sz w:val="24"/>
          <w:szCs w:val="24"/>
        </w:rPr>
        <w:t xml:space="preserve">al </w:t>
      </w:r>
      <w:r w:rsidR="00A25FB6">
        <w:rPr>
          <w:bCs/>
          <w:sz w:val="24"/>
          <w:szCs w:val="24"/>
        </w:rPr>
        <w:t>DAS</w:t>
      </w:r>
      <w:r w:rsidR="0090538F">
        <w:rPr>
          <w:bCs/>
          <w:sz w:val="24"/>
          <w:szCs w:val="24"/>
        </w:rPr>
        <w:t xml:space="preserve"> y</w:t>
      </w:r>
      <w:r w:rsidR="00A25FB6">
        <w:rPr>
          <w:bCs/>
          <w:sz w:val="24"/>
          <w:szCs w:val="24"/>
        </w:rPr>
        <w:t xml:space="preserve"> </w:t>
      </w:r>
      <w:r w:rsidR="006148CF">
        <w:rPr>
          <w:bCs/>
          <w:sz w:val="24"/>
          <w:szCs w:val="24"/>
        </w:rPr>
        <w:t>a</w:t>
      </w:r>
      <w:r w:rsidR="00804992">
        <w:rPr>
          <w:bCs/>
          <w:sz w:val="24"/>
          <w:szCs w:val="24"/>
        </w:rPr>
        <w:t>l</w:t>
      </w:r>
      <w:r w:rsidR="0090538F">
        <w:rPr>
          <w:bCs/>
          <w:sz w:val="24"/>
          <w:szCs w:val="24"/>
        </w:rPr>
        <w:t xml:space="preserve"> Departamento y la Universidad del Atlántico</w:t>
      </w:r>
      <w:r w:rsidR="006148CF">
        <w:rPr>
          <w:bCs/>
          <w:sz w:val="24"/>
          <w:szCs w:val="24"/>
        </w:rPr>
        <w:t xml:space="preserve">, y con disfrute a partir del </w:t>
      </w:r>
      <w:r w:rsidR="006148CF" w:rsidRPr="006148CF">
        <w:rPr>
          <w:bCs/>
          <w:i/>
          <w:iCs/>
          <w:sz w:val="24"/>
          <w:szCs w:val="24"/>
        </w:rPr>
        <w:t>1 de enero de 2012</w:t>
      </w:r>
      <w:r w:rsidR="006148CF">
        <w:rPr>
          <w:bCs/>
          <w:sz w:val="24"/>
          <w:szCs w:val="24"/>
        </w:rPr>
        <w:t xml:space="preserve">. </w:t>
      </w:r>
    </w:p>
    <w:p w14:paraId="6EB9F045" w14:textId="429A96D0" w:rsidR="00573107" w:rsidRDefault="00573107" w:rsidP="00945E2C">
      <w:pPr>
        <w:autoSpaceDE w:val="0"/>
        <w:autoSpaceDN w:val="0"/>
        <w:adjustRightInd w:val="0"/>
        <w:rPr>
          <w:noProof/>
          <w:sz w:val="24"/>
          <w:szCs w:val="24"/>
        </w:rPr>
      </w:pPr>
    </w:p>
    <w:p w14:paraId="3F988F51" w14:textId="105204CB" w:rsidR="003E5889" w:rsidRPr="003E5889" w:rsidRDefault="00E17942" w:rsidP="00945E2C">
      <w:pPr>
        <w:autoSpaceDE w:val="0"/>
        <w:autoSpaceDN w:val="0"/>
        <w:adjustRightInd w:val="0"/>
        <w:rPr>
          <w:noProof/>
          <w:sz w:val="24"/>
          <w:szCs w:val="24"/>
        </w:rPr>
      </w:pPr>
      <w:r>
        <w:rPr>
          <w:noProof/>
          <w:sz w:val="24"/>
          <w:szCs w:val="24"/>
        </w:rPr>
        <w:t xml:space="preserve">1.2.2. </w:t>
      </w:r>
      <w:r w:rsidR="003E5889">
        <w:rPr>
          <w:noProof/>
          <w:sz w:val="24"/>
          <w:szCs w:val="24"/>
        </w:rPr>
        <w:t xml:space="preserve">Colpensiones emitió la </w:t>
      </w:r>
      <w:r w:rsidR="003E5889" w:rsidRPr="003F435B">
        <w:rPr>
          <w:b/>
          <w:bCs/>
          <w:noProof/>
          <w:sz w:val="24"/>
          <w:szCs w:val="24"/>
        </w:rPr>
        <w:t>Resolución</w:t>
      </w:r>
      <w:r w:rsidR="003E5889">
        <w:rPr>
          <w:noProof/>
          <w:sz w:val="24"/>
          <w:szCs w:val="24"/>
        </w:rPr>
        <w:t xml:space="preserve"> </w:t>
      </w:r>
      <w:r w:rsidR="003E5889" w:rsidRPr="00AF5A35">
        <w:rPr>
          <w:b/>
          <w:bCs/>
          <w:noProof/>
          <w:sz w:val="24"/>
          <w:szCs w:val="24"/>
        </w:rPr>
        <w:t>GNR 217754</w:t>
      </w:r>
      <w:r w:rsidR="003E5889">
        <w:rPr>
          <w:noProof/>
          <w:sz w:val="24"/>
          <w:szCs w:val="24"/>
        </w:rPr>
        <w:t xml:space="preserve">, el 13 de junio de 2014, en la que resolvió reconocer el pago de una pensión de </w:t>
      </w:r>
      <w:r w:rsidR="003E5889" w:rsidRPr="003E5889">
        <w:rPr>
          <w:i/>
          <w:iCs/>
          <w:noProof/>
          <w:sz w:val="24"/>
          <w:szCs w:val="24"/>
        </w:rPr>
        <w:t>vejez</w:t>
      </w:r>
      <w:r w:rsidR="003E5889">
        <w:rPr>
          <w:i/>
          <w:iCs/>
          <w:noProof/>
          <w:sz w:val="24"/>
          <w:szCs w:val="24"/>
        </w:rPr>
        <w:t xml:space="preserve"> </w:t>
      </w:r>
      <w:r w:rsidR="003E5889">
        <w:rPr>
          <w:noProof/>
          <w:sz w:val="24"/>
          <w:szCs w:val="24"/>
        </w:rPr>
        <w:t>a favor del señor Aragón Canchila</w:t>
      </w:r>
      <w:r>
        <w:rPr>
          <w:noProof/>
          <w:sz w:val="24"/>
          <w:szCs w:val="24"/>
        </w:rPr>
        <w:t>,</w:t>
      </w:r>
      <w:r w:rsidR="00745FFA" w:rsidRPr="00745FFA">
        <w:rPr>
          <w:noProof/>
          <w:sz w:val="24"/>
          <w:szCs w:val="24"/>
        </w:rPr>
        <w:t xml:space="preserve"> </w:t>
      </w:r>
      <w:r w:rsidR="00745FFA">
        <w:rPr>
          <w:noProof/>
          <w:sz w:val="24"/>
          <w:szCs w:val="24"/>
        </w:rPr>
        <w:t>en cuantía de $6’</w:t>
      </w:r>
      <w:r w:rsidR="00844F36">
        <w:rPr>
          <w:noProof/>
          <w:sz w:val="24"/>
          <w:szCs w:val="24"/>
        </w:rPr>
        <w:t>274</w:t>
      </w:r>
      <w:r w:rsidR="00745FFA">
        <w:rPr>
          <w:noProof/>
          <w:sz w:val="24"/>
          <w:szCs w:val="24"/>
        </w:rPr>
        <w:t>.</w:t>
      </w:r>
      <w:r w:rsidR="00844F36">
        <w:rPr>
          <w:noProof/>
          <w:sz w:val="24"/>
          <w:szCs w:val="24"/>
        </w:rPr>
        <w:t>503 pesos</w:t>
      </w:r>
      <w:r w:rsidR="00745FFA">
        <w:rPr>
          <w:noProof/>
          <w:sz w:val="24"/>
          <w:szCs w:val="24"/>
        </w:rPr>
        <w:t xml:space="preserve"> a 1 de enero de 2014</w:t>
      </w:r>
      <w:r w:rsidR="000944E5">
        <w:rPr>
          <w:noProof/>
          <w:sz w:val="24"/>
          <w:szCs w:val="24"/>
        </w:rPr>
        <w:t>, solo con semanas cotizadas a esa administradora, con sustento el Decreto 758 de 1990,</w:t>
      </w:r>
      <w:r w:rsidR="00745FFA">
        <w:rPr>
          <w:noProof/>
          <w:sz w:val="24"/>
          <w:szCs w:val="24"/>
        </w:rPr>
        <w:t xml:space="preserve"> norma aplicable </w:t>
      </w:r>
      <w:r>
        <w:rPr>
          <w:noProof/>
          <w:sz w:val="24"/>
          <w:szCs w:val="24"/>
        </w:rPr>
        <w:t xml:space="preserve">por favorabilidad y </w:t>
      </w:r>
      <w:r w:rsidR="00745FFA">
        <w:rPr>
          <w:noProof/>
          <w:sz w:val="24"/>
          <w:szCs w:val="24"/>
        </w:rPr>
        <w:t>por remisión del artículo 33 de la Ley 100 de 1993</w:t>
      </w:r>
      <w:r w:rsidR="000944E5">
        <w:rPr>
          <w:noProof/>
          <w:sz w:val="24"/>
          <w:szCs w:val="24"/>
        </w:rPr>
        <w:t>, puesto que en virtud de las Leyes 71 de 1988 y 797 de 2003, el monto de la prestación resultaba inferio</w:t>
      </w:r>
      <w:r w:rsidR="00FD3A7B">
        <w:rPr>
          <w:noProof/>
          <w:sz w:val="24"/>
          <w:szCs w:val="24"/>
        </w:rPr>
        <w:t>r</w:t>
      </w:r>
      <w:r w:rsidR="000944E5">
        <w:rPr>
          <w:noProof/>
          <w:sz w:val="24"/>
          <w:szCs w:val="24"/>
        </w:rPr>
        <w:t>.</w:t>
      </w:r>
    </w:p>
    <w:p w14:paraId="0DAEB0A3" w14:textId="77777777" w:rsidR="00573107" w:rsidRPr="009C486B" w:rsidRDefault="00573107" w:rsidP="00945E2C">
      <w:pPr>
        <w:autoSpaceDE w:val="0"/>
        <w:autoSpaceDN w:val="0"/>
        <w:adjustRightInd w:val="0"/>
        <w:rPr>
          <w:noProof/>
          <w:sz w:val="24"/>
          <w:szCs w:val="24"/>
        </w:rPr>
      </w:pPr>
    </w:p>
    <w:p w14:paraId="7F2CDEA3" w14:textId="6DEC2407" w:rsidR="0011024A" w:rsidRDefault="00E17942" w:rsidP="00945E2C">
      <w:pPr>
        <w:autoSpaceDE w:val="0"/>
        <w:autoSpaceDN w:val="0"/>
        <w:adjustRightInd w:val="0"/>
        <w:rPr>
          <w:sz w:val="24"/>
          <w:szCs w:val="24"/>
          <w:lang w:val="es-MX" w:eastAsia="ja-JP"/>
        </w:rPr>
      </w:pPr>
      <w:r>
        <w:rPr>
          <w:sz w:val="24"/>
          <w:szCs w:val="24"/>
          <w:lang w:val="es-MX" w:eastAsia="ja-JP"/>
        </w:rPr>
        <w:t>Indicó que</w:t>
      </w:r>
      <w:r w:rsidR="00DB3458">
        <w:rPr>
          <w:sz w:val="24"/>
          <w:szCs w:val="24"/>
          <w:lang w:val="es-MX" w:eastAsia="ja-JP"/>
        </w:rPr>
        <w:t>, conforme a la Ley 549 de 1999,</w:t>
      </w:r>
      <w:r>
        <w:rPr>
          <w:sz w:val="24"/>
          <w:szCs w:val="24"/>
          <w:lang w:val="es-MX" w:eastAsia="ja-JP"/>
        </w:rPr>
        <w:t xml:space="preserve"> los tiempos laborados por el ciudadano a entidades públicas, sin aportes al régimen de prima media con prestación definida, serían sujetos de cobro por devolución ya que no fueron tenidos en cuenta para el reconocimiento pensional, y que, con respecto al tiempo público no cotizado a Colpensiones, se solicitaría el traslado de aportes</w:t>
      </w:r>
      <w:r w:rsidR="00DB3458">
        <w:rPr>
          <w:sz w:val="24"/>
          <w:szCs w:val="24"/>
          <w:lang w:val="es-MX" w:eastAsia="ja-JP"/>
        </w:rPr>
        <w:t>, para financiar la prestación.</w:t>
      </w:r>
    </w:p>
    <w:p w14:paraId="172F0613" w14:textId="0208BF2D" w:rsidR="00DB3458" w:rsidRDefault="00DB3458" w:rsidP="00945E2C">
      <w:pPr>
        <w:autoSpaceDE w:val="0"/>
        <w:autoSpaceDN w:val="0"/>
        <w:adjustRightInd w:val="0"/>
        <w:rPr>
          <w:sz w:val="24"/>
          <w:szCs w:val="24"/>
          <w:lang w:val="es-MX" w:eastAsia="ja-JP"/>
        </w:rPr>
      </w:pPr>
    </w:p>
    <w:p w14:paraId="249AE4A3" w14:textId="31FB077A" w:rsidR="00DB3458" w:rsidRDefault="00DB3458" w:rsidP="00945E2C">
      <w:pPr>
        <w:autoSpaceDE w:val="0"/>
        <w:autoSpaceDN w:val="0"/>
        <w:adjustRightInd w:val="0"/>
        <w:rPr>
          <w:noProof/>
          <w:sz w:val="24"/>
          <w:szCs w:val="24"/>
        </w:rPr>
      </w:pPr>
      <w:r>
        <w:rPr>
          <w:sz w:val="24"/>
          <w:szCs w:val="24"/>
          <w:lang w:val="es-MX" w:eastAsia="ja-JP"/>
        </w:rPr>
        <w:t>1.2.3.</w:t>
      </w:r>
      <w:r w:rsidR="00844F36">
        <w:rPr>
          <w:sz w:val="24"/>
          <w:szCs w:val="24"/>
          <w:lang w:val="es-MX" w:eastAsia="ja-JP"/>
        </w:rPr>
        <w:t xml:space="preserve"> Posteriormente, </w:t>
      </w:r>
      <w:r w:rsidR="00844F36">
        <w:rPr>
          <w:bCs/>
          <w:sz w:val="24"/>
          <w:szCs w:val="24"/>
        </w:rPr>
        <w:t xml:space="preserve">Pedro Pastor Aragón Canchila radicó recurso de </w:t>
      </w:r>
      <w:r w:rsidR="00844F36" w:rsidRPr="00B946C6">
        <w:rPr>
          <w:bCs/>
          <w:i/>
          <w:iCs/>
          <w:sz w:val="24"/>
          <w:szCs w:val="24"/>
        </w:rPr>
        <w:t xml:space="preserve">reposición </w:t>
      </w:r>
      <w:r w:rsidR="000D2B5D" w:rsidRPr="00B946C6">
        <w:rPr>
          <w:bCs/>
          <w:i/>
          <w:iCs/>
          <w:sz w:val="24"/>
          <w:szCs w:val="24"/>
        </w:rPr>
        <w:t>y, en subsidio apelación</w:t>
      </w:r>
      <w:r w:rsidR="000D2B5D">
        <w:rPr>
          <w:bCs/>
          <w:sz w:val="24"/>
          <w:szCs w:val="24"/>
        </w:rPr>
        <w:t xml:space="preserve">, </w:t>
      </w:r>
      <w:r w:rsidR="001876F9">
        <w:rPr>
          <w:bCs/>
          <w:sz w:val="24"/>
          <w:szCs w:val="24"/>
        </w:rPr>
        <w:t xml:space="preserve">con radicado 020145580784, </w:t>
      </w:r>
      <w:r w:rsidR="00844F36">
        <w:rPr>
          <w:bCs/>
          <w:sz w:val="24"/>
          <w:szCs w:val="24"/>
        </w:rPr>
        <w:t xml:space="preserve">en contra de la </w:t>
      </w:r>
      <w:r w:rsidR="00844F36">
        <w:rPr>
          <w:noProof/>
          <w:sz w:val="24"/>
          <w:szCs w:val="24"/>
        </w:rPr>
        <w:t xml:space="preserve">Resolución GNR 217754, el 11 de julio de </w:t>
      </w:r>
      <w:r w:rsidR="000D2B5D">
        <w:rPr>
          <w:noProof/>
          <w:sz w:val="24"/>
          <w:szCs w:val="24"/>
        </w:rPr>
        <w:t>2014,</w:t>
      </w:r>
      <w:r w:rsidR="004717D8">
        <w:rPr>
          <w:noProof/>
          <w:sz w:val="24"/>
          <w:szCs w:val="24"/>
        </w:rPr>
        <w:t xml:space="preserve"> en el que </w:t>
      </w:r>
      <w:r w:rsidR="002A1496">
        <w:rPr>
          <w:noProof/>
          <w:sz w:val="24"/>
          <w:szCs w:val="24"/>
        </w:rPr>
        <w:t>afirmó</w:t>
      </w:r>
      <w:r w:rsidR="004717D8">
        <w:rPr>
          <w:noProof/>
          <w:sz w:val="24"/>
          <w:szCs w:val="24"/>
        </w:rPr>
        <w:t xml:space="preserve"> que Colpensiones no resolvió la solicitud de reconocimiento pensional con cargo exclusivo a tiempos de servicio públicos</w:t>
      </w:r>
      <w:r w:rsidR="002A1496">
        <w:rPr>
          <w:noProof/>
          <w:sz w:val="24"/>
          <w:szCs w:val="24"/>
        </w:rPr>
        <w:t>, desconoció que la fecha de disfrute es 1 de enero de 2012</w:t>
      </w:r>
      <w:r w:rsidR="000D686F">
        <w:rPr>
          <w:noProof/>
          <w:sz w:val="24"/>
          <w:szCs w:val="24"/>
        </w:rPr>
        <w:t xml:space="preserve"> cuando</w:t>
      </w:r>
      <w:r w:rsidR="002A1496">
        <w:rPr>
          <w:noProof/>
          <w:sz w:val="24"/>
          <w:szCs w:val="24"/>
        </w:rPr>
        <w:t xml:space="preserve"> se retiró del Departamento del Atlántico</w:t>
      </w:r>
      <w:r w:rsidR="000D686F">
        <w:rPr>
          <w:noProof/>
          <w:sz w:val="24"/>
          <w:szCs w:val="24"/>
        </w:rPr>
        <w:t xml:space="preserve">, mezcló tiempos públicos y privados, y no aplicó las normas de la Ley 33 de 1985, entre otras inconformidades. </w:t>
      </w:r>
    </w:p>
    <w:p w14:paraId="3E4ED3F8" w14:textId="7126ADDA" w:rsidR="000D686F" w:rsidRDefault="000D686F" w:rsidP="00945E2C">
      <w:pPr>
        <w:autoSpaceDE w:val="0"/>
        <w:autoSpaceDN w:val="0"/>
        <w:adjustRightInd w:val="0"/>
        <w:rPr>
          <w:noProof/>
          <w:sz w:val="24"/>
          <w:szCs w:val="24"/>
        </w:rPr>
      </w:pPr>
    </w:p>
    <w:p w14:paraId="73E87F73" w14:textId="7DCEF5F4" w:rsidR="000D686F" w:rsidRDefault="000D686F" w:rsidP="00945E2C">
      <w:pPr>
        <w:autoSpaceDE w:val="0"/>
        <w:autoSpaceDN w:val="0"/>
        <w:adjustRightInd w:val="0"/>
        <w:rPr>
          <w:bCs/>
          <w:sz w:val="24"/>
          <w:szCs w:val="24"/>
        </w:rPr>
      </w:pPr>
      <w:r>
        <w:rPr>
          <w:noProof/>
          <w:sz w:val="24"/>
          <w:szCs w:val="24"/>
        </w:rPr>
        <w:t>Argumentó que la</w:t>
      </w:r>
      <w:r w:rsidR="00C0770D">
        <w:rPr>
          <w:noProof/>
          <w:sz w:val="24"/>
          <w:szCs w:val="24"/>
        </w:rPr>
        <w:t>s</w:t>
      </w:r>
      <w:r>
        <w:rPr>
          <w:noProof/>
          <w:sz w:val="24"/>
          <w:szCs w:val="24"/>
        </w:rPr>
        <w:t xml:space="preserve"> pensi</w:t>
      </w:r>
      <w:r w:rsidR="00C0770D">
        <w:rPr>
          <w:noProof/>
          <w:sz w:val="24"/>
          <w:szCs w:val="24"/>
        </w:rPr>
        <w:t>ones</w:t>
      </w:r>
      <w:r>
        <w:rPr>
          <w:noProof/>
          <w:sz w:val="24"/>
          <w:szCs w:val="24"/>
        </w:rPr>
        <w:t xml:space="preserve"> de jubilación de la Ley 33 de 1985</w:t>
      </w:r>
      <w:r w:rsidR="00C0770D">
        <w:rPr>
          <w:noProof/>
          <w:sz w:val="24"/>
          <w:szCs w:val="24"/>
        </w:rPr>
        <w:t xml:space="preserve"> y de vejez del Decreto 758 de 1990, son compatibles, </w:t>
      </w:r>
      <w:r w:rsidR="0093025F">
        <w:rPr>
          <w:noProof/>
          <w:sz w:val="24"/>
          <w:szCs w:val="24"/>
        </w:rPr>
        <w:t>por</w:t>
      </w:r>
      <w:r>
        <w:rPr>
          <w:noProof/>
          <w:sz w:val="24"/>
          <w:szCs w:val="24"/>
        </w:rPr>
        <w:t xml:space="preserve"> cotizacióndes </w:t>
      </w:r>
      <w:r w:rsidR="00C0770D">
        <w:rPr>
          <w:noProof/>
          <w:sz w:val="24"/>
          <w:szCs w:val="24"/>
        </w:rPr>
        <w:t>efectuadas en el</w:t>
      </w:r>
      <w:r>
        <w:rPr>
          <w:noProof/>
          <w:sz w:val="24"/>
          <w:szCs w:val="24"/>
        </w:rPr>
        <w:t xml:space="preserve"> servicio público </w:t>
      </w:r>
      <w:r w:rsidR="00C0770D">
        <w:rPr>
          <w:noProof/>
          <w:sz w:val="24"/>
          <w:szCs w:val="24"/>
        </w:rPr>
        <w:t xml:space="preserve"> en </w:t>
      </w:r>
      <w:r>
        <w:rPr>
          <w:noProof/>
          <w:sz w:val="24"/>
          <w:szCs w:val="24"/>
        </w:rPr>
        <w:t>el sector privado</w:t>
      </w:r>
      <w:r w:rsidR="00C0770D">
        <w:rPr>
          <w:noProof/>
          <w:sz w:val="24"/>
          <w:szCs w:val="24"/>
        </w:rPr>
        <w:t>, respectivamente</w:t>
      </w:r>
      <w:r w:rsidR="0093025F">
        <w:rPr>
          <w:noProof/>
          <w:sz w:val="24"/>
          <w:szCs w:val="24"/>
        </w:rPr>
        <w:t>, tesis aceptada por las Altas Cortes en Colombia, dado que los recursos provienen de fuentes independientes</w:t>
      </w:r>
      <w:r w:rsidR="00C0770D">
        <w:rPr>
          <w:noProof/>
          <w:sz w:val="24"/>
          <w:szCs w:val="24"/>
        </w:rPr>
        <w:t>. Además, expresó que cumplió con el cálculo de rentabilidad exigido para ser beneficiario del régimen de transición de prima media con prestación definida; que la suma del tiempo que laboró para entidades públicas (</w:t>
      </w:r>
      <w:r w:rsidR="00C0770D">
        <w:rPr>
          <w:bCs/>
          <w:sz w:val="24"/>
          <w:szCs w:val="24"/>
        </w:rPr>
        <w:t xml:space="preserve">Corelca, la Electrificadora, el DAS y el Departamento y la Universidad del Atlántico) suman más de 21 años; y que cotizó más de 1.100 semanas de manera exclusiva en el sector privado. </w:t>
      </w:r>
    </w:p>
    <w:p w14:paraId="07BE88A1" w14:textId="77777777" w:rsidR="004A0DC1" w:rsidRPr="00844F36" w:rsidRDefault="004A0DC1" w:rsidP="00945E2C">
      <w:pPr>
        <w:autoSpaceDE w:val="0"/>
        <w:autoSpaceDN w:val="0"/>
        <w:adjustRightInd w:val="0"/>
        <w:rPr>
          <w:sz w:val="24"/>
          <w:szCs w:val="24"/>
          <w:lang w:eastAsia="ja-JP"/>
        </w:rPr>
      </w:pPr>
    </w:p>
    <w:p w14:paraId="3B0332F9" w14:textId="5CD26470" w:rsidR="0093025F" w:rsidRDefault="003F435B" w:rsidP="00945E2C">
      <w:pPr>
        <w:autoSpaceDE w:val="0"/>
        <w:autoSpaceDN w:val="0"/>
        <w:adjustRightInd w:val="0"/>
        <w:rPr>
          <w:sz w:val="24"/>
          <w:szCs w:val="24"/>
          <w:lang w:val="es-MX" w:eastAsia="ja-JP"/>
        </w:rPr>
      </w:pPr>
      <w:r>
        <w:rPr>
          <w:sz w:val="24"/>
          <w:szCs w:val="24"/>
          <w:lang w:val="es-MX" w:eastAsia="ja-JP"/>
        </w:rPr>
        <w:lastRenderedPageBreak/>
        <w:t>En ese orden</w:t>
      </w:r>
      <w:r w:rsidR="0093025F">
        <w:rPr>
          <w:sz w:val="24"/>
          <w:szCs w:val="24"/>
          <w:lang w:val="es-MX" w:eastAsia="ja-JP"/>
        </w:rPr>
        <w:t>, requirió a Colpensiones para que reversara los pagos realizados en virtud de la resolución controverti</w:t>
      </w:r>
      <w:r w:rsidR="00EA7EE2">
        <w:rPr>
          <w:sz w:val="24"/>
          <w:szCs w:val="24"/>
          <w:lang w:val="es-MX" w:eastAsia="ja-JP"/>
        </w:rPr>
        <w:t>da y</w:t>
      </w:r>
      <w:r w:rsidR="0093025F">
        <w:rPr>
          <w:sz w:val="24"/>
          <w:szCs w:val="24"/>
          <w:lang w:val="es-MX" w:eastAsia="ja-JP"/>
        </w:rPr>
        <w:t xml:space="preserve"> la asignación de cuota parte pensional a cargo de Cajanal y del Ministerio de Hacienda y Crédito Público, </w:t>
      </w:r>
      <w:r w:rsidR="00EA7EE2">
        <w:rPr>
          <w:sz w:val="24"/>
          <w:szCs w:val="24"/>
          <w:lang w:val="es-MX" w:eastAsia="ja-JP"/>
        </w:rPr>
        <w:t>y, por lo tanto, ordenara el reconocimiento pensional de jubilación a la luz de la Ley 33 de 1985, con cargo exclusivo a tiempo laborado para el sector público</w:t>
      </w:r>
      <w:r w:rsidR="00FD5F33">
        <w:rPr>
          <w:sz w:val="24"/>
          <w:szCs w:val="24"/>
          <w:lang w:val="es-MX" w:eastAsia="ja-JP"/>
        </w:rPr>
        <w:t xml:space="preserve">, a partir del 1 de enero de 2012, así la cuantía sea inferior que bajo otros regímenes. </w:t>
      </w:r>
    </w:p>
    <w:p w14:paraId="1431774A" w14:textId="65F4F996" w:rsidR="00FD5F33" w:rsidRDefault="00FD5F33" w:rsidP="00945E2C">
      <w:pPr>
        <w:autoSpaceDE w:val="0"/>
        <w:autoSpaceDN w:val="0"/>
        <w:adjustRightInd w:val="0"/>
        <w:rPr>
          <w:sz w:val="24"/>
          <w:szCs w:val="24"/>
          <w:lang w:val="es-MX" w:eastAsia="ja-JP"/>
        </w:rPr>
      </w:pPr>
    </w:p>
    <w:p w14:paraId="0217D027" w14:textId="4A56BDD6" w:rsidR="008F7373" w:rsidRPr="00720282" w:rsidRDefault="008F7373" w:rsidP="00945E2C">
      <w:pPr>
        <w:autoSpaceDE w:val="0"/>
        <w:autoSpaceDN w:val="0"/>
        <w:adjustRightInd w:val="0"/>
        <w:rPr>
          <w:sz w:val="24"/>
          <w:szCs w:val="24"/>
          <w:lang w:val="es-MX" w:eastAsia="ja-JP"/>
        </w:rPr>
      </w:pPr>
      <w:r>
        <w:rPr>
          <w:sz w:val="24"/>
          <w:szCs w:val="24"/>
          <w:lang w:val="es-MX" w:eastAsia="ja-JP"/>
        </w:rPr>
        <w:t xml:space="preserve">Luego, el señor </w:t>
      </w:r>
      <w:r>
        <w:rPr>
          <w:bCs/>
          <w:sz w:val="24"/>
          <w:szCs w:val="24"/>
        </w:rPr>
        <w:t xml:space="preserve">Aragón Canchila radicó petición de reconocimiento </w:t>
      </w:r>
      <w:r w:rsidR="00720282">
        <w:rPr>
          <w:bCs/>
          <w:sz w:val="24"/>
          <w:szCs w:val="24"/>
        </w:rPr>
        <w:t xml:space="preserve">de </w:t>
      </w:r>
      <w:r w:rsidR="00720282" w:rsidRPr="00A66574">
        <w:rPr>
          <w:bCs/>
          <w:i/>
          <w:iCs/>
          <w:sz w:val="24"/>
          <w:szCs w:val="24"/>
        </w:rPr>
        <w:t>pensión de vejez</w:t>
      </w:r>
      <w:r w:rsidR="002A3B2D">
        <w:rPr>
          <w:bCs/>
          <w:sz w:val="24"/>
          <w:szCs w:val="24"/>
        </w:rPr>
        <w:t>, con radicado 020147764800,</w:t>
      </w:r>
      <w:r w:rsidR="00720282">
        <w:rPr>
          <w:bCs/>
          <w:sz w:val="24"/>
          <w:szCs w:val="24"/>
        </w:rPr>
        <w:t xml:space="preserve"> </w:t>
      </w:r>
      <w:r w:rsidR="002A3B2D">
        <w:rPr>
          <w:bCs/>
          <w:sz w:val="24"/>
          <w:szCs w:val="24"/>
        </w:rPr>
        <w:t>de conformidad con</w:t>
      </w:r>
      <w:r w:rsidR="00720282">
        <w:rPr>
          <w:bCs/>
          <w:sz w:val="24"/>
          <w:szCs w:val="24"/>
        </w:rPr>
        <w:t xml:space="preserve"> las normas del </w:t>
      </w:r>
      <w:r w:rsidR="00720282" w:rsidRPr="00A66574">
        <w:rPr>
          <w:b/>
          <w:sz w:val="24"/>
          <w:szCs w:val="24"/>
        </w:rPr>
        <w:t>Decreto 758 de 1990</w:t>
      </w:r>
      <w:r w:rsidR="00720282">
        <w:rPr>
          <w:bCs/>
          <w:sz w:val="24"/>
          <w:szCs w:val="24"/>
        </w:rPr>
        <w:t>,</w:t>
      </w:r>
      <w:r w:rsidR="00A66574">
        <w:rPr>
          <w:bCs/>
          <w:sz w:val="24"/>
          <w:szCs w:val="24"/>
        </w:rPr>
        <w:t xml:space="preserve"> a partir del 1 de enero de 2014</w:t>
      </w:r>
      <w:r w:rsidR="00720282">
        <w:rPr>
          <w:bCs/>
          <w:sz w:val="24"/>
          <w:szCs w:val="24"/>
        </w:rPr>
        <w:t xml:space="preserve"> con fundamento en los </w:t>
      </w:r>
      <w:r w:rsidR="00720282" w:rsidRPr="00720282">
        <w:rPr>
          <w:bCs/>
          <w:sz w:val="24"/>
          <w:szCs w:val="24"/>
          <w:u w:val="single"/>
        </w:rPr>
        <w:t>aportes que realizó en su condición de trabajador del sector privado</w:t>
      </w:r>
      <w:r w:rsidR="00720282">
        <w:rPr>
          <w:bCs/>
          <w:sz w:val="24"/>
          <w:szCs w:val="24"/>
          <w:u w:val="single"/>
        </w:rPr>
        <w:t xml:space="preserve"> en el</w:t>
      </w:r>
      <w:r w:rsidR="00A66574">
        <w:rPr>
          <w:bCs/>
          <w:sz w:val="24"/>
          <w:szCs w:val="24"/>
          <w:u w:val="single"/>
        </w:rPr>
        <w:t xml:space="preserve"> administrador</w:t>
      </w:r>
      <w:r w:rsidR="00720282">
        <w:rPr>
          <w:bCs/>
          <w:sz w:val="24"/>
          <w:szCs w:val="24"/>
          <w:u w:val="single"/>
        </w:rPr>
        <w:t xml:space="preserve"> ISS (Colpensiones),</w:t>
      </w:r>
      <w:r w:rsidR="00720282" w:rsidRPr="00720282">
        <w:rPr>
          <w:bCs/>
          <w:sz w:val="24"/>
          <w:szCs w:val="24"/>
        </w:rPr>
        <w:t xml:space="preserve"> </w:t>
      </w:r>
      <w:r w:rsidR="00A66574">
        <w:rPr>
          <w:bCs/>
          <w:sz w:val="24"/>
          <w:szCs w:val="24"/>
        </w:rPr>
        <w:t xml:space="preserve">por su trabajo en el U. Col. Libre, U Libre, Consultorías, Desarrollos y Temporal A, </w:t>
      </w:r>
      <w:r w:rsidR="00720282" w:rsidRPr="00720282">
        <w:rPr>
          <w:bCs/>
          <w:sz w:val="24"/>
          <w:szCs w:val="24"/>
        </w:rPr>
        <w:t xml:space="preserve">con </w:t>
      </w:r>
      <w:r w:rsidR="00720282">
        <w:rPr>
          <w:bCs/>
          <w:sz w:val="24"/>
          <w:szCs w:val="24"/>
        </w:rPr>
        <w:t xml:space="preserve">excepción de los periodos en los que simultáneamente cotizó en el sector público, </w:t>
      </w:r>
      <w:r w:rsidR="00A66574">
        <w:rPr>
          <w:bCs/>
          <w:sz w:val="24"/>
          <w:szCs w:val="24"/>
        </w:rPr>
        <w:t>sin que sea dable aplicar por favorabilidad los regímenes prestacionales de las Leyes 71 de 1988 y 100 de 1993</w:t>
      </w:r>
      <w:r w:rsidR="00465BA2">
        <w:rPr>
          <w:bCs/>
          <w:sz w:val="24"/>
          <w:szCs w:val="24"/>
        </w:rPr>
        <w:t xml:space="preserve">. </w:t>
      </w:r>
    </w:p>
    <w:p w14:paraId="1C9805AB" w14:textId="77777777" w:rsidR="008F7373" w:rsidRDefault="008F7373" w:rsidP="00945E2C">
      <w:pPr>
        <w:autoSpaceDE w:val="0"/>
        <w:autoSpaceDN w:val="0"/>
        <w:adjustRightInd w:val="0"/>
        <w:rPr>
          <w:sz w:val="24"/>
          <w:szCs w:val="24"/>
          <w:lang w:val="es-MX" w:eastAsia="ja-JP"/>
        </w:rPr>
      </w:pPr>
    </w:p>
    <w:p w14:paraId="79D5FDB3" w14:textId="5A32B3CD" w:rsidR="002A3B2D" w:rsidRDefault="003F435B" w:rsidP="00945E2C">
      <w:pPr>
        <w:autoSpaceDE w:val="0"/>
        <w:autoSpaceDN w:val="0"/>
        <w:adjustRightInd w:val="0"/>
        <w:rPr>
          <w:noProof/>
          <w:sz w:val="24"/>
          <w:szCs w:val="24"/>
        </w:rPr>
      </w:pPr>
      <w:r>
        <w:rPr>
          <w:sz w:val="24"/>
          <w:szCs w:val="24"/>
          <w:lang w:val="es-MX" w:eastAsia="ja-JP"/>
        </w:rPr>
        <w:t xml:space="preserve">1.2.4. Por su parte, Colpensiones emitió la </w:t>
      </w:r>
      <w:r w:rsidRPr="003F435B">
        <w:rPr>
          <w:b/>
          <w:bCs/>
          <w:sz w:val="24"/>
          <w:szCs w:val="24"/>
          <w:lang w:val="es-MX" w:eastAsia="ja-JP"/>
        </w:rPr>
        <w:t>Resolución GNR 113438</w:t>
      </w:r>
      <w:r>
        <w:rPr>
          <w:sz w:val="24"/>
          <w:szCs w:val="24"/>
          <w:lang w:val="es-MX" w:eastAsia="ja-JP"/>
        </w:rPr>
        <w:t>, el 22 de abril de 2015, en la que</w:t>
      </w:r>
      <w:r w:rsidR="002A3B2D">
        <w:rPr>
          <w:sz w:val="24"/>
          <w:szCs w:val="24"/>
          <w:lang w:val="es-MX" w:eastAsia="ja-JP"/>
        </w:rPr>
        <w:t>, por economía procesal</w:t>
      </w:r>
      <w:r w:rsidR="001876F9">
        <w:rPr>
          <w:sz w:val="24"/>
          <w:szCs w:val="24"/>
          <w:lang w:val="es-MX" w:eastAsia="ja-JP"/>
        </w:rPr>
        <w:t>,</w:t>
      </w:r>
      <w:r>
        <w:rPr>
          <w:sz w:val="24"/>
          <w:szCs w:val="24"/>
          <w:lang w:val="es-MX" w:eastAsia="ja-JP"/>
        </w:rPr>
        <w:t xml:space="preserve"> resolvió </w:t>
      </w:r>
      <w:r w:rsidR="001876F9">
        <w:rPr>
          <w:sz w:val="24"/>
          <w:szCs w:val="24"/>
          <w:lang w:val="es-MX" w:eastAsia="ja-JP"/>
        </w:rPr>
        <w:t xml:space="preserve">los escritos que formuló el señor </w:t>
      </w:r>
      <w:r w:rsidR="001876F9">
        <w:rPr>
          <w:bCs/>
          <w:sz w:val="24"/>
          <w:szCs w:val="24"/>
        </w:rPr>
        <w:t>Aragón Canchila</w:t>
      </w:r>
      <w:r w:rsidR="001876F9">
        <w:rPr>
          <w:sz w:val="24"/>
          <w:szCs w:val="24"/>
          <w:lang w:val="es-MX" w:eastAsia="ja-JP"/>
        </w:rPr>
        <w:t xml:space="preserve"> con radicados </w:t>
      </w:r>
      <w:r w:rsidR="001876F9">
        <w:rPr>
          <w:bCs/>
          <w:sz w:val="24"/>
          <w:szCs w:val="24"/>
        </w:rPr>
        <w:t>020145580784 y 020147764800</w:t>
      </w:r>
      <w:r w:rsidR="00EE72DF">
        <w:rPr>
          <w:bCs/>
          <w:sz w:val="24"/>
          <w:szCs w:val="24"/>
        </w:rPr>
        <w:t xml:space="preserve">. En esta, </w:t>
      </w:r>
      <w:r w:rsidR="001876F9">
        <w:rPr>
          <w:bCs/>
          <w:sz w:val="24"/>
          <w:szCs w:val="24"/>
        </w:rPr>
        <w:t>decidió modificar</w:t>
      </w:r>
      <w:r>
        <w:rPr>
          <w:sz w:val="24"/>
          <w:szCs w:val="24"/>
          <w:lang w:val="es-MX" w:eastAsia="ja-JP"/>
        </w:rPr>
        <w:t xml:space="preserve"> la </w:t>
      </w:r>
      <w:r>
        <w:rPr>
          <w:noProof/>
          <w:sz w:val="24"/>
          <w:szCs w:val="24"/>
        </w:rPr>
        <w:t xml:space="preserve">Resolución GNR 217754 de 2014, en el sentido de </w:t>
      </w:r>
      <w:r w:rsidR="008F7373">
        <w:rPr>
          <w:noProof/>
          <w:sz w:val="24"/>
          <w:szCs w:val="24"/>
        </w:rPr>
        <w:t>incrementar la mesada pensional</w:t>
      </w:r>
      <w:r w:rsidR="00EE72DF">
        <w:rPr>
          <w:noProof/>
          <w:sz w:val="24"/>
          <w:szCs w:val="24"/>
        </w:rPr>
        <w:t xml:space="preserve"> de vejez</w:t>
      </w:r>
      <w:r w:rsidR="008F7373">
        <w:rPr>
          <w:noProof/>
          <w:sz w:val="24"/>
          <w:szCs w:val="24"/>
        </w:rPr>
        <w:t xml:space="preserve"> a $6’519.302 pesos</w:t>
      </w:r>
      <w:r w:rsidR="00EE72DF">
        <w:rPr>
          <w:noProof/>
          <w:sz w:val="24"/>
          <w:szCs w:val="24"/>
        </w:rPr>
        <w:t xml:space="preserve"> al 2015</w:t>
      </w:r>
      <w:r w:rsidR="008F7373">
        <w:rPr>
          <w:noProof/>
          <w:sz w:val="24"/>
          <w:szCs w:val="24"/>
        </w:rPr>
        <w:t>, ordenó el pago de las diferencias</w:t>
      </w:r>
      <w:r w:rsidR="00C90ACC">
        <w:rPr>
          <w:noProof/>
          <w:sz w:val="24"/>
          <w:szCs w:val="24"/>
        </w:rPr>
        <w:t xml:space="preserve"> y</w:t>
      </w:r>
      <w:r w:rsidR="008F7373">
        <w:rPr>
          <w:noProof/>
          <w:sz w:val="24"/>
          <w:szCs w:val="24"/>
        </w:rPr>
        <w:t xml:space="preserve"> solictó la devolución de aportes al Ministerio de Hacicenda y Crédito Público y a la UGPP</w:t>
      </w:r>
      <w:r w:rsidR="002A3B2D">
        <w:rPr>
          <w:noProof/>
          <w:sz w:val="24"/>
          <w:szCs w:val="24"/>
        </w:rPr>
        <w:t>, entre otras disposiciones.</w:t>
      </w:r>
    </w:p>
    <w:p w14:paraId="4A6C8C97" w14:textId="77777777" w:rsidR="002A3B2D" w:rsidRDefault="002A3B2D" w:rsidP="00945E2C">
      <w:pPr>
        <w:autoSpaceDE w:val="0"/>
        <w:autoSpaceDN w:val="0"/>
        <w:adjustRightInd w:val="0"/>
        <w:rPr>
          <w:noProof/>
          <w:sz w:val="24"/>
          <w:szCs w:val="24"/>
        </w:rPr>
      </w:pPr>
    </w:p>
    <w:p w14:paraId="1133CD9F" w14:textId="61FC9C83" w:rsidR="00B946C6" w:rsidRDefault="002A3B2D" w:rsidP="00945E2C">
      <w:pPr>
        <w:autoSpaceDE w:val="0"/>
        <w:autoSpaceDN w:val="0"/>
        <w:adjustRightInd w:val="0"/>
        <w:rPr>
          <w:noProof/>
          <w:sz w:val="24"/>
          <w:szCs w:val="24"/>
        </w:rPr>
      </w:pPr>
      <w:r>
        <w:rPr>
          <w:noProof/>
          <w:sz w:val="24"/>
          <w:szCs w:val="24"/>
        </w:rPr>
        <w:t>Explicó que</w:t>
      </w:r>
      <w:r w:rsidR="00EE72DF">
        <w:rPr>
          <w:noProof/>
          <w:sz w:val="24"/>
          <w:szCs w:val="24"/>
        </w:rPr>
        <w:t xml:space="preserve">, de acuerdo con el artículo </w:t>
      </w:r>
      <w:r w:rsidR="00403EA3">
        <w:rPr>
          <w:noProof/>
          <w:sz w:val="24"/>
          <w:szCs w:val="24"/>
        </w:rPr>
        <w:t xml:space="preserve">14 del Código Sustantivo del Trabajo, era obligatorio analizar la petición pensional con fundamento en el régimen pensional más favorable, por lo que reiteró los argumentos de la resolución recurrida. </w:t>
      </w:r>
    </w:p>
    <w:p w14:paraId="330D2DA6" w14:textId="1B9D0DE7" w:rsidR="00403EA3" w:rsidRDefault="00403EA3" w:rsidP="00945E2C">
      <w:pPr>
        <w:autoSpaceDE w:val="0"/>
        <w:autoSpaceDN w:val="0"/>
        <w:adjustRightInd w:val="0"/>
        <w:rPr>
          <w:noProof/>
          <w:sz w:val="24"/>
          <w:szCs w:val="24"/>
        </w:rPr>
      </w:pPr>
    </w:p>
    <w:p w14:paraId="732B0D2A" w14:textId="1175E37F" w:rsidR="00403EA3" w:rsidRPr="00403EA3" w:rsidRDefault="00403EA3" w:rsidP="00945E2C">
      <w:pPr>
        <w:autoSpaceDE w:val="0"/>
        <w:autoSpaceDN w:val="0"/>
        <w:adjustRightInd w:val="0"/>
        <w:rPr>
          <w:sz w:val="24"/>
          <w:szCs w:val="24"/>
          <w:lang w:val="es-MX" w:eastAsia="ja-JP"/>
        </w:rPr>
      </w:pPr>
      <w:r>
        <w:rPr>
          <w:noProof/>
          <w:sz w:val="24"/>
          <w:szCs w:val="24"/>
        </w:rPr>
        <w:t>Finalmente,</w:t>
      </w:r>
      <w:r w:rsidR="00AB416F">
        <w:rPr>
          <w:noProof/>
          <w:sz w:val="24"/>
          <w:szCs w:val="24"/>
        </w:rPr>
        <w:t xml:space="preserve"> la Vicepresidencia de Beneficios y Prestaciones de</w:t>
      </w:r>
      <w:r>
        <w:rPr>
          <w:noProof/>
          <w:sz w:val="24"/>
          <w:szCs w:val="24"/>
        </w:rPr>
        <w:t xml:space="preserve"> Colpensiones profirió </w:t>
      </w:r>
      <w:r>
        <w:rPr>
          <w:b/>
          <w:bCs/>
          <w:noProof/>
          <w:sz w:val="24"/>
          <w:szCs w:val="24"/>
        </w:rPr>
        <w:t>Resolición VPN47156</w:t>
      </w:r>
      <w:r>
        <w:rPr>
          <w:noProof/>
          <w:sz w:val="24"/>
          <w:szCs w:val="24"/>
        </w:rPr>
        <w:t xml:space="preserve"> del 3 de junio de 2015, en la que resolvió el recurso de reposición, en el que resolvió </w:t>
      </w:r>
      <w:r w:rsidR="00AB416F">
        <w:rPr>
          <w:noProof/>
          <w:sz w:val="24"/>
          <w:szCs w:val="24"/>
        </w:rPr>
        <w:t xml:space="preserve">confirmar </w:t>
      </w:r>
      <w:r>
        <w:rPr>
          <w:noProof/>
          <w:sz w:val="24"/>
          <w:szCs w:val="24"/>
        </w:rPr>
        <w:t xml:space="preserve">la anterior decisión. </w:t>
      </w:r>
    </w:p>
    <w:p w14:paraId="25B111F9" w14:textId="72A543C5" w:rsidR="00FD5F33" w:rsidRDefault="00FD5F33" w:rsidP="00945E2C">
      <w:pPr>
        <w:autoSpaceDE w:val="0"/>
        <w:autoSpaceDN w:val="0"/>
        <w:adjustRightInd w:val="0"/>
        <w:rPr>
          <w:sz w:val="24"/>
          <w:szCs w:val="24"/>
          <w:lang w:val="es-MX" w:eastAsia="ja-JP"/>
        </w:rPr>
      </w:pPr>
    </w:p>
    <w:p w14:paraId="4925C517" w14:textId="6AE0EB81" w:rsidR="00AB416F" w:rsidRPr="009C486B" w:rsidRDefault="00AB416F" w:rsidP="00945E2C">
      <w:pPr>
        <w:autoSpaceDE w:val="0"/>
        <w:autoSpaceDN w:val="0"/>
        <w:adjustRightInd w:val="0"/>
        <w:rPr>
          <w:sz w:val="24"/>
          <w:szCs w:val="24"/>
          <w:lang w:val="es-MX" w:eastAsia="ja-JP"/>
        </w:rPr>
      </w:pPr>
      <w:r>
        <w:rPr>
          <w:sz w:val="24"/>
          <w:szCs w:val="24"/>
          <w:lang w:val="es-MX" w:eastAsia="ja-JP"/>
        </w:rPr>
        <w:t xml:space="preserve">1.2.5. Por lo expuesto, </w:t>
      </w:r>
      <w:r>
        <w:rPr>
          <w:bCs/>
          <w:sz w:val="24"/>
          <w:szCs w:val="24"/>
        </w:rPr>
        <w:t xml:space="preserve">Pedro Pastor Aragón Canchila presentó demanda en ejercicio del medio de control de nulidad y restablecimiento del derecho, en contra de Colpensiones, con las pretensiones de que el juez administrativo declarara la nulidad de las Resoluciones </w:t>
      </w:r>
      <w:r w:rsidRPr="00AF5A35">
        <w:rPr>
          <w:b/>
          <w:bCs/>
          <w:noProof/>
          <w:sz w:val="24"/>
          <w:szCs w:val="24"/>
        </w:rPr>
        <w:t>GNR 217754</w:t>
      </w:r>
      <w:r>
        <w:rPr>
          <w:noProof/>
          <w:sz w:val="24"/>
          <w:szCs w:val="24"/>
        </w:rPr>
        <w:t xml:space="preserve"> de 2014, </w:t>
      </w:r>
      <w:r w:rsidRPr="003F435B">
        <w:rPr>
          <w:b/>
          <w:bCs/>
          <w:sz w:val="24"/>
          <w:szCs w:val="24"/>
          <w:lang w:val="es-MX" w:eastAsia="ja-JP"/>
        </w:rPr>
        <w:t>GNR 113438</w:t>
      </w:r>
      <w:r>
        <w:rPr>
          <w:sz w:val="24"/>
          <w:szCs w:val="24"/>
          <w:lang w:val="es-MX" w:eastAsia="ja-JP"/>
        </w:rPr>
        <w:t xml:space="preserve"> de 2015 y </w:t>
      </w:r>
      <w:r>
        <w:rPr>
          <w:b/>
          <w:bCs/>
          <w:noProof/>
          <w:sz w:val="24"/>
          <w:szCs w:val="24"/>
        </w:rPr>
        <w:t>VPN47156</w:t>
      </w:r>
      <w:r>
        <w:rPr>
          <w:noProof/>
          <w:sz w:val="24"/>
          <w:szCs w:val="24"/>
        </w:rPr>
        <w:t xml:space="preserve"> del 3 de junio siguiente, y, en consecuencia, ordenara el reconocimiento y pago</w:t>
      </w:r>
      <w:r w:rsidR="003A548B">
        <w:rPr>
          <w:noProof/>
          <w:sz w:val="24"/>
          <w:szCs w:val="24"/>
        </w:rPr>
        <w:t xml:space="preserve"> de: i)</w:t>
      </w:r>
      <w:r>
        <w:rPr>
          <w:noProof/>
          <w:sz w:val="24"/>
          <w:szCs w:val="24"/>
        </w:rPr>
        <w:t xml:space="preserve"> una pensión de jubilación </w:t>
      </w:r>
      <w:r w:rsidR="004B0477">
        <w:rPr>
          <w:noProof/>
          <w:sz w:val="24"/>
          <w:szCs w:val="24"/>
        </w:rPr>
        <w:t>conforme a</w:t>
      </w:r>
      <w:r>
        <w:rPr>
          <w:noProof/>
          <w:sz w:val="24"/>
          <w:szCs w:val="24"/>
        </w:rPr>
        <w:t xml:space="preserve"> las normas de la Ley 33 de 1985</w:t>
      </w:r>
      <w:r w:rsidR="003A548B">
        <w:rPr>
          <w:noProof/>
          <w:sz w:val="24"/>
          <w:szCs w:val="24"/>
        </w:rPr>
        <w:t xml:space="preserve"> y en tiempos cotizados al sector público; ii) </w:t>
      </w:r>
      <w:r>
        <w:rPr>
          <w:noProof/>
          <w:sz w:val="24"/>
          <w:szCs w:val="24"/>
        </w:rPr>
        <w:t xml:space="preserve">una pensión de vejez </w:t>
      </w:r>
      <w:r w:rsidR="004B0477">
        <w:rPr>
          <w:noProof/>
          <w:sz w:val="24"/>
          <w:szCs w:val="24"/>
        </w:rPr>
        <w:t>de acuerdo con</w:t>
      </w:r>
      <w:r>
        <w:rPr>
          <w:noProof/>
          <w:sz w:val="24"/>
          <w:szCs w:val="24"/>
        </w:rPr>
        <w:t xml:space="preserve"> las disposiciones del Decreto 758 de 1990</w:t>
      </w:r>
      <w:r w:rsidR="003A548B">
        <w:rPr>
          <w:noProof/>
          <w:sz w:val="24"/>
          <w:szCs w:val="24"/>
        </w:rPr>
        <w:t xml:space="preserve"> y en los aportes que realizó como particular; y, iii) el retroactivo y las diferencias resultantes. </w:t>
      </w:r>
    </w:p>
    <w:p w14:paraId="154299FE" w14:textId="0826900E" w:rsidR="0011024A" w:rsidRDefault="0011024A" w:rsidP="00945E2C">
      <w:pPr>
        <w:autoSpaceDE w:val="0"/>
        <w:autoSpaceDN w:val="0"/>
        <w:adjustRightInd w:val="0"/>
        <w:rPr>
          <w:sz w:val="24"/>
          <w:szCs w:val="24"/>
          <w:lang w:val="es-MX" w:eastAsia="ja-JP"/>
        </w:rPr>
      </w:pPr>
    </w:p>
    <w:p w14:paraId="4A712960" w14:textId="511F4C59" w:rsidR="003A548B" w:rsidRDefault="003A548B" w:rsidP="00945E2C">
      <w:pPr>
        <w:autoSpaceDE w:val="0"/>
        <w:autoSpaceDN w:val="0"/>
        <w:adjustRightInd w:val="0"/>
        <w:rPr>
          <w:sz w:val="24"/>
          <w:szCs w:val="24"/>
          <w:lang w:val="es-MX" w:eastAsia="ja-JP"/>
        </w:rPr>
      </w:pPr>
      <w:r>
        <w:rPr>
          <w:sz w:val="24"/>
          <w:szCs w:val="24"/>
          <w:lang w:val="es-MX" w:eastAsia="ja-JP"/>
        </w:rPr>
        <w:t>Como fundamento de sus pretensiones, reiteró los argumentos de</w:t>
      </w:r>
      <w:r w:rsidR="004B0477">
        <w:rPr>
          <w:sz w:val="24"/>
          <w:szCs w:val="24"/>
          <w:lang w:val="es-MX" w:eastAsia="ja-JP"/>
        </w:rPr>
        <w:t xml:space="preserve"> </w:t>
      </w:r>
      <w:r>
        <w:rPr>
          <w:sz w:val="24"/>
          <w:szCs w:val="24"/>
          <w:lang w:val="es-MX" w:eastAsia="ja-JP"/>
        </w:rPr>
        <w:t>l</w:t>
      </w:r>
      <w:r w:rsidR="004B0477">
        <w:rPr>
          <w:sz w:val="24"/>
          <w:szCs w:val="24"/>
          <w:lang w:val="es-MX" w:eastAsia="ja-JP"/>
        </w:rPr>
        <w:t>os</w:t>
      </w:r>
      <w:r>
        <w:rPr>
          <w:sz w:val="24"/>
          <w:szCs w:val="24"/>
          <w:lang w:val="es-MX" w:eastAsia="ja-JP"/>
        </w:rPr>
        <w:t xml:space="preserve"> recurso</w:t>
      </w:r>
      <w:r w:rsidR="004B0477">
        <w:rPr>
          <w:sz w:val="24"/>
          <w:szCs w:val="24"/>
          <w:lang w:val="es-MX" w:eastAsia="ja-JP"/>
        </w:rPr>
        <w:t>s</w:t>
      </w:r>
      <w:r>
        <w:rPr>
          <w:sz w:val="24"/>
          <w:szCs w:val="24"/>
          <w:lang w:val="es-MX" w:eastAsia="ja-JP"/>
        </w:rPr>
        <w:t xml:space="preserve"> de reposición y apelación que formuló en sede administrativa, que, en términos generales, exponen la compatibilidad de las prestaciones solicitadas cuando provienen de fuentes distintas por aportes como servidor público y como particular. </w:t>
      </w:r>
    </w:p>
    <w:p w14:paraId="106F08D3" w14:textId="0EB24020" w:rsidR="004B0477" w:rsidRDefault="004B0477" w:rsidP="00945E2C">
      <w:pPr>
        <w:autoSpaceDE w:val="0"/>
        <w:autoSpaceDN w:val="0"/>
        <w:adjustRightInd w:val="0"/>
        <w:rPr>
          <w:sz w:val="24"/>
          <w:szCs w:val="24"/>
          <w:lang w:val="es-MX" w:eastAsia="ja-JP"/>
        </w:rPr>
      </w:pPr>
    </w:p>
    <w:p w14:paraId="5FA16A6C" w14:textId="77777777" w:rsidR="00860FAB" w:rsidRDefault="004B0477" w:rsidP="00945E2C">
      <w:pPr>
        <w:autoSpaceDE w:val="0"/>
        <w:autoSpaceDN w:val="0"/>
        <w:adjustRightInd w:val="0"/>
        <w:rPr>
          <w:sz w:val="24"/>
          <w:szCs w:val="24"/>
          <w:lang w:val="es-MX" w:eastAsia="ja-JP"/>
        </w:rPr>
      </w:pPr>
      <w:r>
        <w:rPr>
          <w:sz w:val="24"/>
          <w:szCs w:val="24"/>
          <w:lang w:val="es-MX" w:eastAsia="ja-JP"/>
        </w:rPr>
        <w:t xml:space="preserve">1.2.6. El asunto correspondió conocerlo, en primera instancia y bajo </w:t>
      </w:r>
      <w:r w:rsidRPr="009C486B">
        <w:rPr>
          <w:bCs/>
          <w:sz w:val="24"/>
          <w:szCs w:val="24"/>
        </w:rPr>
        <w:t>radicado núm. 08-001-33-33-003-2016-00305-01</w:t>
      </w:r>
      <w:r>
        <w:rPr>
          <w:sz w:val="24"/>
          <w:szCs w:val="24"/>
          <w:lang w:val="es-MX" w:eastAsia="ja-JP"/>
        </w:rPr>
        <w:t xml:space="preserve">, al Juzgado Tercero Administrativo de Barranquilla, autoridad que, en sentencia del </w:t>
      </w:r>
      <w:r w:rsidRPr="00B11487">
        <w:rPr>
          <w:b/>
          <w:bCs/>
          <w:sz w:val="24"/>
          <w:szCs w:val="24"/>
          <w:lang w:val="es-MX" w:eastAsia="ja-JP"/>
        </w:rPr>
        <w:t>29 de enero de 2017</w:t>
      </w:r>
      <w:r>
        <w:rPr>
          <w:sz w:val="24"/>
          <w:szCs w:val="24"/>
          <w:lang w:val="es-MX" w:eastAsia="ja-JP"/>
        </w:rPr>
        <w:t xml:space="preserve">, accedió a las pretensiones de la demanda. </w:t>
      </w:r>
    </w:p>
    <w:p w14:paraId="1CB37546" w14:textId="77777777" w:rsidR="00860FAB" w:rsidRDefault="00860FAB" w:rsidP="00945E2C">
      <w:pPr>
        <w:autoSpaceDE w:val="0"/>
        <w:autoSpaceDN w:val="0"/>
        <w:adjustRightInd w:val="0"/>
        <w:rPr>
          <w:sz w:val="24"/>
          <w:szCs w:val="24"/>
          <w:lang w:val="es-MX" w:eastAsia="ja-JP"/>
        </w:rPr>
      </w:pPr>
    </w:p>
    <w:p w14:paraId="6752CB50" w14:textId="40107B6A" w:rsidR="004B0477" w:rsidRPr="009C486B" w:rsidRDefault="00474653" w:rsidP="00945E2C">
      <w:pPr>
        <w:autoSpaceDE w:val="0"/>
        <w:autoSpaceDN w:val="0"/>
        <w:adjustRightInd w:val="0"/>
        <w:rPr>
          <w:sz w:val="24"/>
          <w:szCs w:val="24"/>
          <w:lang w:val="es-MX" w:eastAsia="ja-JP"/>
        </w:rPr>
      </w:pPr>
      <w:r>
        <w:rPr>
          <w:sz w:val="24"/>
          <w:szCs w:val="24"/>
          <w:lang w:val="es-MX" w:eastAsia="ja-JP"/>
        </w:rPr>
        <w:lastRenderedPageBreak/>
        <w:t>El juzgado e</w:t>
      </w:r>
      <w:r w:rsidR="004B0477">
        <w:rPr>
          <w:sz w:val="24"/>
          <w:szCs w:val="24"/>
          <w:lang w:val="es-MX" w:eastAsia="ja-JP"/>
        </w:rPr>
        <w:t>xplicó los requisitos para ser beneficiario de</w:t>
      </w:r>
      <w:r w:rsidR="00860FAB">
        <w:rPr>
          <w:sz w:val="24"/>
          <w:szCs w:val="24"/>
          <w:lang w:val="es-MX" w:eastAsia="ja-JP"/>
        </w:rPr>
        <w:t xml:space="preserve"> la</w:t>
      </w:r>
      <w:r w:rsidR="004B0477">
        <w:rPr>
          <w:sz w:val="24"/>
          <w:szCs w:val="24"/>
          <w:lang w:val="es-MX" w:eastAsia="ja-JP"/>
        </w:rPr>
        <w:t xml:space="preserve"> transición </w:t>
      </w:r>
      <w:r w:rsidR="00860FAB">
        <w:rPr>
          <w:sz w:val="24"/>
          <w:szCs w:val="24"/>
          <w:lang w:val="es-MX" w:eastAsia="ja-JP"/>
        </w:rPr>
        <w:t xml:space="preserve">prevista en </w:t>
      </w:r>
      <w:r w:rsidR="004B0477">
        <w:rPr>
          <w:sz w:val="24"/>
          <w:szCs w:val="24"/>
          <w:lang w:val="es-MX" w:eastAsia="ja-JP"/>
        </w:rPr>
        <w:t>la Ley 100 de 1993</w:t>
      </w:r>
      <w:r w:rsidR="00860FAB">
        <w:rPr>
          <w:sz w:val="24"/>
          <w:szCs w:val="24"/>
          <w:lang w:val="es-MX" w:eastAsia="ja-JP"/>
        </w:rPr>
        <w:t xml:space="preserve"> (15 años de servicio o 40 años de edad para hombres</w:t>
      </w:r>
      <w:r w:rsidR="004724DC">
        <w:rPr>
          <w:sz w:val="24"/>
          <w:szCs w:val="24"/>
          <w:lang w:val="es-MX" w:eastAsia="ja-JP"/>
        </w:rPr>
        <w:t xml:space="preserve"> a su entrada en vigencia</w:t>
      </w:r>
      <w:r w:rsidR="00860FAB">
        <w:rPr>
          <w:sz w:val="24"/>
          <w:szCs w:val="24"/>
          <w:lang w:val="es-MX" w:eastAsia="ja-JP"/>
        </w:rPr>
        <w:t>) y los elementos sujetos a esta (edad de retiro, tiempo de servicio, monto de la prestación y semanas de cotización),</w:t>
      </w:r>
      <w:r w:rsidR="004B0477">
        <w:rPr>
          <w:sz w:val="24"/>
          <w:szCs w:val="24"/>
          <w:lang w:val="es-MX" w:eastAsia="ja-JP"/>
        </w:rPr>
        <w:t xml:space="preserve"> su </w:t>
      </w:r>
      <w:r w:rsidR="00860FAB">
        <w:rPr>
          <w:sz w:val="24"/>
          <w:szCs w:val="24"/>
          <w:lang w:val="es-MX" w:eastAsia="ja-JP"/>
        </w:rPr>
        <w:t>ámbito</w:t>
      </w:r>
      <w:r w:rsidR="004B0477">
        <w:rPr>
          <w:sz w:val="24"/>
          <w:szCs w:val="24"/>
          <w:lang w:val="es-MX" w:eastAsia="ja-JP"/>
        </w:rPr>
        <w:t xml:space="preserve"> de aplicación, las reglas bajo las cuales aplica</w:t>
      </w:r>
      <w:r w:rsidR="00860FAB">
        <w:rPr>
          <w:sz w:val="24"/>
          <w:szCs w:val="24"/>
          <w:lang w:val="es-MX" w:eastAsia="ja-JP"/>
        </w:rPr>
        <w:t xml:space="preserve"> la Ley 33 de 1985 (empleados oficiales – 20 años de servicio</w:t>
      </w:r>
      <w:r w:rsidR="004724DC">
        <w:rPr>
          <w:sz w:val="24"/>
          <w:szCs w:val="24"/>
          <w:lang w:val="es-MX" w:eastAsia="ja-JP"/>
        </w:rPr>
        <w:t>,</w:t>
      </w:r>
      <w:r w:rsidR="00860FAB">
        <w:rPr>
          <w:sz w:val="24"/>
          <w:szCs w:val="24"/>
          <w:lang w:val="es-MX" w:eastAsia="ja-JP"/>
        </w:rPr>
        <w:t xml:space="preserve"> 55 años de edad</w:t>
      </w:r>
      <w:r w:rsidR="004724DC">
        <w:rPr>
          <w:sz w:val="24"/>
          <w:szCs w:val="24"/>
          <w:lang w:val="es-MX" w:eastAsia="ja-JP"/>
        </w:rPr>
        <w:t xml:space="preserve"> y el IBL Ley 62 de 1985</w:t>
      </w:r>
      <w:r w:rsidR="00860FAB">
        <w:rPr>
          <w:sz w:val="24"/>
          <w:szCs w:val="24"/>
          <w:lang w:val="es-MX" w:eastAsia="ja-JP"/>
        </w:rPr>
        <w:t xml:space="preserve">), </w:t>
      </w:r>
      <w:r>
        <w:rPr>
          <w:sz w:val="24"/>
          <w:szCs w:val="24"/>
          <w:lang w:val="es-MX" w:eastAsia="ja-JP"/>
        </w:rPr>
        <w:t xml:space="preserve">y </w:t>
      </w:r>
      <w:r w:rsidR="00860FAB">
        <w:rPr>
          <w:sz w:val="24"/>
          <w:szCs w:val="24"/>
          <w:lang w:val="es-MX" w:eastAsia="ja-JP"/>
        </w:rPr>
        <w:t>los elementos requeridos para adquirir el derecho a la pensión de vejez de particulares reglada en el Decreto 758 de 1990</w:t>
      </w:r>
      <w:r w:rsidR="004B0477">
        <w:rPr>
          <w:sz w:val="24"/>
          <w:szCs w:val="24"/>
          <w:lang w:val="es-MX" w:eastAsia="ja-JP"/>
        </w:rPr>
        <w:t xml:space="preserve"> </w:t>
      </w:r>
      <w:r w:rsidR="004724DC">
        <w:rPr>
          <w:sz w:val="24"/>
          <w:szCs w:val="24"/>
          <w:lang w:val="es-MX" w:eastAsia="ja-JP"/>
        </w:rPr>
        <w:t>(60 años de edad y 500 semanas durante los 20 años</w:t>
      </w:r>
      <w:r w:rsidR="00302EC1">
        <w:rPr>
          <w:sz w:val="24"/>
          <w:szCs w:val="24"/>
          <w:lang w:val="es-MX" w:eastAsia="ja-JP"/>
        </w:rPr>
        <w:t xml:space="preserve"> anteriores</w:t>
      </w:r>
      <w:r w:rsidR="004724DC">
        <w:rPr>
          <w:sz w:val="24"/>
          <w:szCs w:val="24"/>
          <w:lang w:val="es-MX" w:eastAsia="ja-JP"/>
        </w:rPr>
        <w:t xml:space="preserve"> o 1000 durante todo el tiempo de servicio). </w:t>
      </w:r>
    </w:p>
    <w:p w14:paraId="0BFBEAB2" w14:textId="5A677492" w:rsidR="0011024A" w:rsidRPr="009C486B" w:rsidRDefault="0011024A" w:rsidP="00945E2C">
      <w:pPr>
        <w:autoSpaceDE w:val="0"/>
        <w:autoSpaceDN w:val="0"/>
        <w:adjustRightInd w:val="0"/>
        <w:rPr>
          <w:sz w:val="24"/>
          <w:szCs w:val="24"/>
          <w:lang w:val="es-MX" w:eastAsia="ja-JP"/>
        </w:rPr>
      </w:pPr>
    </w:p>
    <w:p w14:paraId="4DEFF0EF" w14:textId="099E30B4" w:rsidR="0011024A" w:rsidRDefault="004724DC" w:rsidP="00945E2C">
      <w:pPr>
        <w:autoSpaceDE w:val="0"/>
        <w:autoSpaceDN w:val="0"/>
        <w:adjustRightInd w:val="0"/>
        <w:rPr>
          <w:sz w:val="24"/>
          <w:szCs w:val="24"/>
          <w:lang w:val="es-MX" w:eastAsia="ja-JP"/>
        </w:rPr>
      </w:pPr>
      <w:r>
        <w:rPr>
          <w:sz w:val="24"/>
          <w:szCs w:val="24"/>
          <w:lang w:val="es-MX" w:eastAsia="ja-JP"/>
        </w:rPr>
        <w:t>En cuanto a la compatibilidad pensional, indicó que consiste en que una persona puede percibir dos pensiones al mismo tiempo dado su distinto origen, diferentes tiempos de cotización y fuentes de financiación, y recordó la prohibición del artículo 128 Constitucional</w:t>
      </w:r>
      <w:r>
        <w:rPr>
          <w:rStyle w:val="Refdenotaalpie"/>
          <w:sz w:val="24"/>
          <w:szCs w:val="24"/>
          <w:lang w:val="es-MX" w:eastAsia="ja-JP"/>
        </w:rPr>
        <w:footnoteReference w:id="12"/>
      </w:r>
      <w:r>
        <w:rPr>
          <w:sz w:val="24"/>
          <w:szCs w:val="24"/>
          <w:lang w:val="es-MX" w:eastAsia="ja-JP"/>
        </w:rPr>
        <w:t xml:space="preserve">. Además, </w:t>
      </w:r>
      <w:r w:rsidR="00474653">
        <w:rPr>
          <w:sz w:val="24"/>
          <w:szCs w:val="24"/>
          <w:lang w:val="es-MX" w:eastAsia="ja-JP"/>
        </w:rPr>
        <w:t xml:space="preserve">expresó </w:t>
      </w:r>
      <w:r>
        <w:rPr>
          <w:sz w:val="24"/>
          <w:szCs w:val="24"/>
          <w:lang w:val="es-MX" w:eastAsia="ja-JP"/>
        </w:rPr>
        <w:t xml:space="preserve">que </w:t>
      </w:r>
      <w:r w:rsidR="00804992">
        <w:rPr>
          <w:sz w:val="24"/>
          <w:szCs w:val="24"/>
          <w:lang w:val="es-MX" w:eastAsia="ja-JP"/>
        </w:rPr>
        <w:t xml:space="preserve">los recursos que administraba el ISS no eran públicos y por lo tanto, no se pude considerar que provengan del tesoro público. </w:t>
      </w:r>
    </w:p>
    <w:p w14:paraId="09A1A29A" w14:textId="18E7B162" w:rsidR="00804992" w:rsidRDefault="00804992" w:rsidP="00945E2C">
      <w:pPr>
        <w:autoSpaceDE w:val="0"/>
        <w:autoSpaceDN w:val="0"/>
        <w:adjustRightInd w:val="0"/>
        <w:rPr>
          <w:sz w:val="24"/>
          <w:szCs w:val="24"/>
          <w:lang w:val="es-MX" w:eastAsia="ja-JP"/>
        </w:rPr>
      </w:pPr>
    </w:p>
    <w:p w14:paraId="6422E5EC" w14:textId="048F2DA2" w:rsidR="002C4F2F" w:rsidRDefault="00804992" w:rsidP="00945E2C">
      <w:pPr>
        <w:autoSpaceDE w:val="0"/>
        <w:autoSpaceDN w:val="0"/>
        <w:adjustRightInd w:val="0"/>
        <w:rPr>
          <w:bCs/>
          <w:sz w:val="24"/>
          <w:szCs w:val="24"/>
        </w:rPr>
      </w:pPr>
      <w:r>
        <w:rPr>
          <w:sz w:val="24"/>
          <w:szCs w:val="24"/>
          <w:lang w:val="es-MX" w:eastAsia="ja-JP"/>
        </w:rPr>
        <w:t xml:space="preserve">En el caso concreto, el juzgado encontró que el señor </w:t>
      </w:r>
      <w:r>
        <w:rPr>
          <w:bCs/>
          <w:sz w:val="24"/>
          <w:szCs w:val="24"/>
        </w:rPr>
        <w:t xml:space="preserve">Aragón Canchila tenía más de 15 años de servicio y 40 de edad cuando entró en vigencia la Ley 100 de 1993, por lo que le era aplicable, como servidor público, las normas de la Ley 33 de 1985. Así, </w:t>
      </w:r>
      <w:r w:rsidR="00474653">
        <w:rPr>
          <w:bCs/>
          <w:sz w:val="24"/>
          <w:szCs w:val="24"/>
        </w:rPr>
        <w:t>enunció</w:t>
      </w:r>
      <w:r>
        <w:rPr>
          <w:bCs/>
          <w:sz w:val="24"/>
          <w:szCs w:val="24"/>
        </w:rPr>
        <w:t xml:space="preserve"> que cumplió con un tiempo al servicio del Estado de más de 20 años, en Corelca, la Electrificadora, el DAS y el Departamento y la Universidad del Atlántico, y que, al 31 de diciembre de 2011,</w:t>
      </w:r>
      <w:r w:rsidR="002C4F2F">
        <w:rPr>
          <w:bCs/>
          <w:sz w:val="24"/>
          <w:szCs w:val="24"/>
        </w:rPr>
        <w:t xml:space="preserve"> día de su</w:t>
      </w:r>
      <w:r>
        <w:rPr>
          <w:bCs/>
          <w:sz w:val="24"/>
          <w:szCs w:val="24"/>
        </w:rPr>
        <w:t xml:space="preserve"> retiro efectivo, contaba con más de 60 años de edad</w:t>
      </w:r>
      <w:r w:rsidR="002C4F2F">
        <w:rPr>
          <w:bCs/>
          <w:sz w:val="24"/>
          <w:szCs w:val="24"/>
        </w:rPr>
        <w:t>, circunstancias que lo hacían acreedor del derecho a la pensión de jubilación liquidada con el promedio de todos los factores devengados en el último año laborado.</w:t>
      </w:r>
    </w:p>
    <w:p w14:paraId="6510557D" w14:textId="6D0F8501" w:rsidR="002C4F2F" w:rsidRDefault="002C4F2F" w:rsidP="00945E2C">
      <w:pPr>
        <w:autoSpaceDE w:val="0"/>
        <w:autoSpaceDN w:val="0"/>
        <w:adjustRightInd w:val="0"/>
        <w:rPr>
          <w:bCs/>
          <w:sz w:val="24"/>
          <w:szCs w:val="24"/>
        </w:rPr>
      </w:pPr>
    </w:p>
    <w:p w14:paraId="076E5E05" w14:textId="56E57480" w:rsidR="002C4F2F" w:rsidRDefault="002C4F2F" w:rsidP="00945E2C">
      <w:pPr>
        <w:autoSpaceDE w:val="0"/>
        <w:autoSpaceDN w:val="0"/>
        <w:adjustRightInd w:val="0"/>
        <w:rPr>
          <w:bCs/>
          <w:sz w:val="24"/>
          <w:szCs w:val="24"/>
        </w:rPr>
      </w:pPr>
      <w:r>
        <w:rPr>
          <w:bCs/>
          <w:sz w:val="24"/>
          <w:szCs w:val="24"/>
        </w:rPr>
        <w:t xml:space="preserve">En cuanto a los tiempos </w:t>
      </w:r>
      <w:r w:rsidR="00302EC1">
        <w:rPr>
          <w:bCs/>
          <w:sz w:val="24"/>
          <w:szCs w:val="24"/>
        </w:rPr>
        <w:t>públicos y privados</w:t>
      </w:r>
      <w:r>
        <w:rPr>
          <w:bCs/>
          <w:sz w:val="24"/>
          <w:szCs w:val="24"/>
        </w:rPr>
        <w:t xml:space="preserve"> </w:t>
      </w:r>
      <w:r w:rsidR="00302EC1">
        <w:rPr>
          <w:bCs/>
          <w:sz w:val="24"/>
          <w:szCs w:val="24"/>
        </w:rPr>
        <w:t xml:space="preserve">simultáneos </w:t>
      </w:r>
      <w:r>
        <w:rPr>
          <w:bCs/>
          <w:sz w:val="24"/>
          <w:szCs w:val="24"/>
        </w:rPr>
        <w:t>que el juzgado tuvo en cuenta para reconocer la anterior prestación, manifestó que, si bien estos no podían ser contabilizados para otra pensión, lo cierto era que no se anulaban, pues los cotizó en esta última condición en ejercicio de la docencia.</w:t>
      </w:r>
    </w:p>
    <w:p w14:paraId="60402DBF" w14:textId="77777777" w:rsidR="002C4F2F" w:rsidRDefault="002C4F2F" w:rsidP="00945E2C">
      <w:pPr>
        <w:autoSpaceDE w:val="0"/>
        <w:autoSpaceDN w:val="0"/>
        <w:adjustRightInd w:val="0"/>
        <w:rPr>
          <w:bCs/>
          <w:sz w:val="24"/>
          <w:szCs w:val="24"/>
        </w:rPr>
      </w:pPr>
    </w:p>
    <w:p w14:paraId="0B8CC25D" w14:textId="503A8BE8" w:rsidR="00804992" w:rsidRDefault="002C4F2F" w:rsidP="00945E2C">
      <w:pPr>
        <w:autoSpaceDE w:val="0"/>
        <w:autoSpaceDN w:val="0"/>
        <w:adjustRightInd w:val="0"/>
        <w:rPr>
          <w:bCs/>
          <w:sz w:val="24"/>
          <w:szCs w:val="24"/>
        </w:rPr>
      </w:pPr>
      <w:r>
        <w:rPr>
          <w:bCs/>
          <w:sz w:val="24"/>
          <w:szCs w:val="24"/>
        </w:rPr>
        <w:t xml:space="preserve">Además, </w:t>
      </w:r>
      <w:r w:rsidR="00474653">
        <w:rPr>
          <w:bCs/>
          <w:sz w:val="24"/>
          <w:szCs w:val="24"/>
        </w:rPr>
        <w:t xml:space="preserve">el juzgado </w:t>
      </w:r>
      <w:r>
        <w:rPr>
          <w:bCs/>
          <w:sz w:val="24"/>
          <w:szCs w:val="24"/>
        </w:rPr>
        <w:t xml:space="preserve">observó que </w:t>
      </w:r>
      <w:r w:rsidR="00E87BBD">
        <w:rPr>
          <w:sz w:val="24"/>
          <w:szCs w:val="24"/>
          <w:lang w:val="es-MX" w:eastAsia="ja-JP"/>
        </w:rPr>
        <w:t xml:space="preserve">el señor </w:t>
      </w:r>
      <w:r w:rsidR="00E87BBD">
        <w:rPr>
          <w:bCs/>
          <w:sz w:val="24"/>
          <w:szCs w:val="24"/>
        </w:rPr>
        <w:t>Aragón Canchila</w:t>
      </w:r>
      <w:r w:rsidR="00302EC1">
        <w:rPr>
          <w:bCs/>
          <w:sz w:val="24"/>
          <w:szCs w:val="24"/>
        </w:rPr>
        <w:t xml:space="preserve"> </w:t>
      </w:r>
      <w:r w:rsidR="00481F8B">
        <w:rPr>
          <w:bCs/>
          <w:sz w:val="24"/>
          <w:szCs w:val="24"/>
        </w:rPr>
        <w:t xml:space="preserve">había </w:t>
      </w:r>
      <w:r w:rsidR="00302EC1">
        <w:rPr>
          <w:bCs/>
          <w:sz w:val="24"/>
          <w:szCs w:val="24"/>
        </w:rPr>
        <w:t>cotiz</w:t>
      </w:r>
      <w:r w:rsidR="00481F8B">
        <w:rPr>
          <w:bCs/>
          <w:sz w:val="24"/>
          <w:szCs w:val="24"/>
        </w:rPr>
        <w:t>ado</w:t>
      </w:r>
      <w:r w:rsidR="00302EC1">
        <w:rPr>
          <w:bCs/>
          <w:sz w:val="24"/>
          <w:szCs w:val="24"/>
        </w:rPr>
        <w:t xml:space="preserve"> de manera exclusiva y no simultánea, en su condición de particular, </w:t>
      </w:r>
      <w:r w:rsidR="00481F8B">
        <w:rPr>
          <w:bCs/>
          <w:sz w:val="24"/>
          <w:szCs w:val="24"/>
        </w:rPr>
        <w:t>704</w:t>
      </w:r>
      <w:r w:rsidR="00302EC1">
        <w:rPr>
          <w:bCs/>
          <w:sz w:val="24"/>
          <w:szCs w:val="24"/>
        </w:rPr>
        <w:t xml:space="preserve"> semanas</w:t>
      </w:r>
      <w:r w:rsidR="00481F8B">
        <w:rPr>
          <w:bCs/>
          <w:sz w:val="24"/>
          <w:szCs w:val="24"/>
        </w:rPr>
        <w:t xml:space="preserve"> cuando cumplió los 60 años de edad, el 19 de julio de 2010, por lo que cumplió con los requisitos previstos en el Decreto 758 de 1990 para ser acreedor de la pensión de vejez del sector privado. </w:t>
      </w:r>
    </w:p>
    <w:p w14:paraId="07ADAB59" w14:textId="2C932729" w:rsidR="00481F8B" w:rsidRDefault="00481F8B" w:rsidP="00945E2C">
      <w:pPr>
        <w:autoSpaceDE w:val="0"/>
        <w:autoSpaceDN w:val="0"/>
        <w:adjustRightInd w:val="0"/>
        <w:rPr>
          <w:bCs/>
          <w:sz w:val="24"/>
          <w:szCs w:val="24"/>
        </w:rPr>
      </w:pPr>
    </w:p>
    <w:p w14:paraId="315A8C70" w14:textId="3D946314" w:rsidR="00614A0F" w:rsidRDefault="00481F8B" w:rsidP="00945E2C">
      <w:pPr>
        <w:autoSpaceDE w:val="0"/>
        <w:autoSpaceDN w:val="0"/>
        <w:adjustRightInd w:val="0"/>
        <w:rPr>
          <w:bCs/>
          <w:sz w:val="24"/>
          <w:szCs w:val="24"/>
        </w:rPr>
      </w:pPr>
      <w:r>
        <w:rPr>
          <w:bCs/>
          <w:sz w:val="24"/>
          <w:szCs w:val="24"/>
        </w:rPr>
        <w:t>1.2.7. La decisión del juzgado fue apelada por Colpensiones</w:t>
      </w:r>
      <w:r w:rsidR="00614A0F">
        <w:rPr>
          <w:bCs/>
          <w:sz w:val="24"/>
          <w:szCs w:val="24"/>
        </w:rPr>
        <w:t xml:space="preserve">, para lo </w:t>
      </w:r>
      <w:r w:rsidR="00474653">
        <w:rPr>
          <w:bCs/>
          <w:sz w:val="24"/>
          <w:szCs w:val="24"/>
        </w:rPr>
        <w:t>cual</w:t>
      </w:r>
      <w:r w:rsidR="00614A0F">
        <w:rPr>
          <w:bCs/>
          <w:sz w:val="24"/>
          <w:szCs w:val="24"/>
        </w:rPr>
        <w:t xml:space="preserve"> invocó la incompatibilidad de las prestaciones</w:t>
      </w:r>
      <w:r w:rsidR="00474653">
        <w:rPr>
          <w:bCs/>
          <w:sz w:val="24"/>
          <w:szCs w:val="24"/>
        </w:rPr>
        <w:t xml:space="preserve"> y</w:t>
      </w:r>
      <w:r w:rsidR="00614A0F">
        <w:rPr>
          <w:bCs/>
          <w:sz w:val="24"/>
          <w:szCs w:val="24"/>
        </w:rPr>
        <w:t xml:space="preserve"> el aporte simultáneo de cotizaciones</w:t>
      </w:r>
      <w:r>
        <w:rPr>
          <w:bCs/>
          <w:sz w:val="24"/>
          <w:szCs w:val="24"/>
        </w:rPr>
        <w:t xml:space="preserve">. En segunda instancia, </w:t>
      </w:r>
      <w:r w:rsidR="00B11487">
        <w:rPr>
          <w:bCs/>
          <w:sz w:val="24"/>
          <w:szCs w:val="24"/>
        </w:rPr>
        <w:t>la Sección C d</w:t>
      </w:r>
      <w:r>
        <w:rPr>
          <w:bCs/>
          <w:sz w:val="24"/>
          <w:szCs w:val="24"/>
        </w:rPr>
        <w:t>el Tribunal Administrativo del Atlántico</w:t>
      </w:r>
      <w:r w:rsidR="00614A0F">
        <w:rPr>
          <w:bCs/>
          <w:sz w:val="24"/>
          <w:szCs w:val="24"/>
        </w:rPr>
        <w:t xml:space="preserve"> profirió auto de mejor proveer, el</w:t>
      </w:r>
      <w:r w:rsidR="00C133F0">
        <w:rPr>
          <w:bCs/>
          <w:sz w:val="24"/>
          <w:szCs w:val="24"/>
        </w:rPr>
        <w:t xml:space="preserve"> 12 de noviembre de 2019, en el que solicitó a Colpensiones que certificara si para el reconocimiento de la pensión de vejez de la Resolución </w:t>
      </w:r>
      <w:r w:rsidR="00C133F0" w:rsidRPr="00AF5A35">
        <w:rPr>
          <w:b/>
          <w:bCs/>
          <w:noProof/>
          <w:sz w:val="24"/>
          <w:szCs w:val="24"/>
        </w:rPr>
        <w:t>GNR 217754</w:t>
      </w:r>
      <w:r w:rsidR="00C133F0">
        <w:rPr>
          <w:noProof/>
          <w:sz w:val="24"/>
          <w:szCs w:val="24"/>
        </w:rPr>
        <w:t xml:space="preserve"> del 13 de junio de 2014, tuvo en cuenta tiempos laborados en el sector público, y en caso afirmativo, indicara las entidades empleadoras y los periodos incluidos. Esta petición fue reiterada por tercera vez, en providenci</w:t>
      </w:r>
      <w:r w:rsidR="00474653">
        <w:rPr>
          <w:noProof/>
          <w:sz w:val="24"/>
          <w:szCs w:val="24"/>
        </w:rPr>
        <w:t>a</w:t>
      </w:r>
      <w:r w:rsidR="00C133F0">
        <w:rPr>
          <w:noProof/>
          <w:sz w:val="24"/>
          <w:szCs w:val="24"/>
        </w:rPr>
        <w:t xml:space="preserve"> del 26 de mayo de 2022. </w:t>
      </w:r>
    </w:p>
    <w:p w14:paraId="1B8C8E61" w14:textId="5D119AAB" w:rsidR="00C133F0" w:rsidRDefault="00C133F0" w:rsidP="00945E2C">
      <w:pPr>
        <w:autoSpaceDE w:val="0"/>
        <w:autoSpaceDN w:val="0"/>
        <w:adjustRightInd w:val="0"/>
        <w:rPr>
          <w:bCs/>
          <w:sz w:val="24"/>
          <w:szCs w:val="24"/>
        </w:rPr>
      </w:pPr>
    </w:p>
    <w:p w14:paraId="07676EA9" w14:textId="00A9D102" w:rsidR="00C133F0" w:rsidRPr="00684DBC" w:rsidRDefault="00C133F0" w:rsidP="00945E2C">
      <w:pPr>
        <w:autoSpaceDE w:val="0"/>
        <w:autoSpaceDN w:val="0"/>
        <w:adjustRightInd w:val="0"/>
        <w:rPr>
          <w:bCs/>
          <w:sz w:val="24"/>
          <w:szCs w:val="24"/>
        </w:rPr>
      </w:pPr>
      <w:r>
        <w:rPr>
          <w:bCs/>
          <w:sz w:val="24"/>
          <w:szCs w:val="24"/>
        </w:rPr>
        <w:t>Al respecto, Colpensiones expidió respuesta</w:t>
      </w:r>
      <w:r w:rsidR="00474653">
        <w:rPr>
          <w:bCs/>
          <w:sz w:val="24"/>
          <w:szCs w:val="24"/>
        </w:rPr>
        <w:t>,</w:t>
      </w:r>
      <w:r>
        <w:rPr>
          <w:bCs/>
          <w:sz w:val="24"/>
          <w:szCs w:val="24"/>
        </w:rPr>
        <w:t xml:space="preserve"> el 6 de junio de 2022, en el que informó que </w:t>
      </w:r>
      <w:r w:rsidR="00131A49">
        <w:rPr>
          <w:bCs/>
          <w:sz w:val="24"/>
          <w:szCs w:val="24"/>
        </w:rPr>
        <w:t xml:space="preserve">atendió el auto del 12 de </w:t>
      </w:r>
      <w:r w:rsidR="00131A49" w:rsidRPr="00684DBC">
        <w:rPr>
          <w:bCs/>
          <w:sz w:val="24"/>
          <w:szCs w:val="24"/>
        </w:rPr>
        <w:t xml:space="preserve">noviembre de 2019 en memorial del 21 de septiembre de 2021. En este último escrito, explicó que en la Resolución </w:t>
      </w:r>
      <w:r w:rsidR="00131A49" w:rsidRPr="00684DBC">
        <w:rPr>
          <w:bCs/>
          <w:noProof/>
          <w:sz w:val="24"/>
          <w:szCs w:val="24"/>
        </w:rPr>
        <w:t xml:space="preserve">GNR 217754 tuvo en </w:t>
      </w:r>
      <w:r w:rsidR="00131A49" w:rsidRPr="00684DBC">
        <w:rPr>
          <w:bCs/>
          <w:noProof/>
          <w:sz w:val="24"/>
          <w:szCs w:val="24"/>
        </w:rPr>
        <w:lastRenderedPageBreak/>
        <w:t xml:space="preserve">cuenta un total de 1879 semanas (que incluyeron todo el tiempo cotizado por el señor </w:t>
      </w:r>
      <w:r w:rsidR="00131A49" w:rsidRPr="00684DBC">
        <w:rPr>
          <w:bCs/>
          <w:sz w:val="24"/>
          <w:szCs w:val="24"/>
        </w:rPr>
        <w:t xml:space="preserve">Aragón Canchila), con una tasa del 90% a partir del 1 de enero de 2014, que la Resolución GNR113438 modificó la anterior en cuanto reliquidó la prestación, y que la Resolución VPB 47156 confirmó la primera. </w:t>
      </w:r>
    </w:p>
    <w:p w14:paraId="5B096529" w14:textId="127AB222" w:rsidR="00E7347F" w:rsidRPr="00684DBC" w:rsidRDefault="00E7347F" w:rsidP="00945E2C">
      <w:pPr>
        <w:autoSpaceDE w:val="0"/>
        <w:autoSpaceDN w:val="0"/>
        <w:adjustRightInd w:val="0"/>
        <w:rPr>
          <w:sz w:val="24"/>
          <w:szCs w:val="24"/>
        </w:rPr>
      </w:pPr>
    </w:p>
    <w:p w14:paraId="753B4B92" w14:textId="318DE148" w:rsidR="00E83A09" w:rsidRDefault="00684DBC" w:rsidP="00945E2C">
      <w:pPr>
        <w:autoSpaceDE w:val="0"/>
        <w:autoSpaceDN w:val="0"/>
        <w:adjustRightInd w:val="0"/>
        <w:rPr>
          <w:bCs/>
          <w:sz w:val="24"/>
          <w:szCs w:val="24"/>
        </w:rPr>
      </w:pPr>
      <w:r w:rsidRPr="00684DBC">
        <w:rPr>
          <w:sz w:val="24"/>
          <w:szCs w:val="24"/>
        </w:rPr>
        <w:t xml:space="preserve">1.2.8. </w:t>
      </w:r>
      <w:r w:rsidR="00474653">
        <w:rPr>
          <w:sz w:val="24"/>
          <w:szCs w:val="24"/>
        </w:rPr>
        <w:t>Finalmente</w:t>
      </w:r>
      <w:r w:rsidR="00E7347F" w:rsidRPr="00684DBC">
        <w:rPr>
          <w:sz w:val="24"/>
          <w:szCs w:val="24"/>
        </w:rPr>
        <w:t xml:space="preserve">, </w:t>
      </w:r>
      <w:r w:rsidR="00E7347F" w:rsidRPr="00684DBC">
        <w:rPr>
          <w:bCs/>
          <w:sz w:val="24"/>
          <w:szCs w:val="24"/>
        </w:rPr>
        <w:t xml:space="preserve">la Sección C del Tribunal Administrativo del Atlántico profirió sentencia de segunda instancia, el </w:t>
      </w:r>
      <w:r w:rsidR="00E7347F" w:rsidRPr="00684DBC">
        <w:rPr>
          <w:b/>
          <w:sz w:val="24"/>
          <w:szCs w:val="24"/>
        </w:rPr>
        <w:t>30 de junio de 2022</w:t>
      </w:r>
      <w:r w:rsidR="00E7347F" w:rsidRPr="00684DBC">
        <w:rPr>
          <w:bCs/>
          <w:sz w:val="24"/>
          <w:szCs w:val="24"/>
        </w:rPr>
        <w:t xml:space="preserve">, </w:t>
      </w:r>
      <w:r w:rsidR="00B11487" w:rsidRPr="00684DBC">
        <w:rPr>
          <w:bCs/>
          <w:sz w:val="24"/>
          <w:szCs w:val="24"/>
        </w:rPr>
        <w:t xml:space="preserve">en la que revocó el fallo del </w:t>
      </w:r>
      <w:r w:rsidR="00B11487" w:rsidRPr="00684DBC">
        <w:rPr>
          <w:sz w:val="24"/>
          <w:szCs w:val="24"/>
          <w:lang w:val="es-MX" w:eastAsia="ja-JP"/>
        </w:rPr>
        <w:t>29 de enero de 2017 y negó las pretensiones de la demanda de nulidad y restablecimiento del derecho.</w:t>
      </w:r>
      <w:r w:rsidR="00E7347F" w:rsidRPr="00684DBC">
        <w:rPr>
          <w:sz w:val="24"/>
          <w:szCs w:val="24"/>
          <w:lang w:val="es-MX" w:eastAsia="ja-JP"/>
        </w:rPr>
        <w:t xml:space="preserve"> </w:t>
      </w:r>
      <w:r w:rsidR="00B11487" w:rsidRPr="00684DBC">
        <w:rPr>
          <w:sz w:val="24"/>
          <w:szCs w:val="24"/>
          <w:lang w:val="es-MX" w:eastAsia="ja-JP"/>
        </w:rPr>
        <w:t xml:space="preserve">Como fundamento de su postura, </w:t>
      </w:r>
      <w:r w:rsidR="00614A0F" w:rsidRPr="00684DBC">
        <w:rPr>
          <w:sz w:val="24"/>
          <w:szCs w:val="24"/>
          <w:lang w:val="es-MX" w:eastAsia="ja-JP"/>
        </w:rPr>
        <w:t xml:space="preserve">expuso </w:t>
      </w:r>
      <w:r w:rsidR="00E83A09" w:rsidRPr="00684DBC">
        <w:rPr>
          <w:sz w:val="24"/>
          <w:szCs w:val="24"/>
          <w:lang w:val="es-MX" w:eastAsia="ja-JP"/>
        </w:rPr>
        <w:t xml:space="preserve">los </w:t>
      </w:r>
      <w:r w:rsidR="00614A0F" w:rsidRPr="00684DBC">
        <w:rPr>
          <w:sz w:val="24"/>
          <w:szCs w:val="24"/>
          <w:lang w:val="es-MX" w:eastAsia="ja-JP"/>
        </w:rPr>
        <w:t>parámetros</w:t>
      </w:r>
      <w:r w:rsidR="00E7347F" w:rsidRPr="00684DBC">
        <w:rPr>
          <w:sz w:val="24"/>
          <w:szCs w:val="24"/>
          <w:lang w:val="es-MX" w:eastAsia="ja-JP"/>
        </w:rPr>
        <w:t xml:space="preserve"> contenidos en </w:t>
      </w:r>
      <w:r w:rsidR="00614A0F" w:rsidRPr="00684DBC">
        <w:rPr>
          <w:sz w:val="24"/>
          <w:szCs w:val="24"/>
          <w:lang w:val="es-MX" w:eastAsia="ja-JP"/>
        </w:rPr>
        <w:t xml:space="preserve">la Ley 33 de 1985 y </w:t>
      </w:r>
      <w:r w:rsidR="00E7347F" w:rsidRPr="00684DBC">
        <w:rPr>
          <w:sz w:val="24"/>
          <w:szCs w:val="24"/>
          <w:lang w:val="es-MX" w:eastAsia="ja-JP"/>
        </w:rPr>
        <w:t xml:space="preserve">en </w:t>
      </w:r>
      <w:r w:rsidR="00614A0F" w:rsidRPr="00684DBC">
        <w:rPr>
          <w:sz w:val="24"/>
          <w:szCs w:val="24"/>
          <w:lang w:val="es-MX" w:eastAsia="ja-JP"/>
        </w:rPr>
        <w:t>el Decreto 758 de 1990</w:t>
      </w:r>
      <w:r w:rsidR="00E83A09" w:rsidRPr="00684DBC">
        <w:rPr>
          <w:sz w:val="24"/>
          <w:szCs w:val="24"/>
          <w:lang w:val="es-MX" w:eastAsia="ja-JP"/>
        </w:rPr>
        <w:t xml:space="preserve"> para adquirir el derecho a una pensión</w:t>
      </w:r>
      <w:r w:rsidR="00BC013B" w:rsidRPr="00684DBC">
        <w:rPr>
          <w:sz w:val="24"/>
          <w:szCs w:val="24"/>
          <w:lang w:val="es-MX" w:eastAsia="ja-JP"/>
        </w:rPr>
        <w:t xml:space="preserve">, y sostuvo que era un hecho cierto y probado que </w:t>
      </w:r>
      <w:r w:rsidR="00BC013B" w:rsidRPr="00684DBC">
        <w:rPr>
          <w:bCs/>
          <w:sz w:val="24"/>
          <w:szCs w:val="24"/>
        </w:rPr>
        <w:t>Pedro Pastor Aragón Canchila</w:t>
      </w:r>
      <w:r w:rsidR="00BC013B">
        <w:rPr>
          <w:bCs/>
          <w:sz w:val="24"/>
          <w:szCs w:val="24"/>
        </w:rPr>
        <w:t xml:space="preserve"> era beneficiario del régimen de transición de la Ley 100 de 1993. </w:t>
      </w:r>
    </w:p>
    <w:p w14:paraId="6BF4F22E" w14:textId="77777777" w:rsidR="00E83A09" w:rsidRDefault="00E83A09" w:rsidP="00945E2C">
      <w:pPr>
        <w:autoSpaceDE w:val="0"/>
        <w:autoSpaceDN w:val="0"/>
        <w:adjustRightInd w:val="0"/>
        <w:rPr>
          <w:bCs/>
          <w:sz w:val="24"/>
          <w:szCs w:val="24"/>
        </w:rPr>
      </w:pPr>
    </w:p>
    <w:p w14:paraId="377F631D" w14:textId="1B35F147" w:rsidR="00474653" w:rsidRDefault="00E83A09" w:rsidP="00945E2C">
      <w:pPr>
        <w:autoSpaceDE w:val="0"/>
        <w:autoSpaceDN w:val="0"/>
        <w:adjustRightInd w:val="0"/>
        <w:rPr>
          <w:bCs/>
          <w:sz w:val="24"/>
          <w:szCs w:val="24"/>
        </w:rPr>
      </w:pPr>
      <w:r>
        <w:rPr>
          <w:bCs/>
          <w:sz w:val="24"/>
          <w:szCs w:val="24"/>
        </w:rPr>
        <w:t>Además</w:t>
      </w:r>
      <w:r w:rsidR="00BC013B">
        <w:rPr>
          <w:bCs/>
          <w:sz w:val="24"/>
          <w:szCs w:val="24"/>
        </w:rPr>
        <w:t xml:space="preserve">, citó todas las cotizaciones que el interesado aportó durante </w:t>
      </w:r>
      <w:r>
        <w:rPr>
          <w:bCs/>
          <w:sz w:val="24"/>
          <w:szCs w:val="24"/>
        </w:rPr>
        <w:t xml:space="preserve">toda </w:t>
      </w:r>
      <w:r w:rsidR="00BC013B">
        <w:rPr>
          <w:bCs/>
          <w:sz w:val="24"/>
          <w:szCs w:val="24"/>
        </w:rPr>
        <w:t>su vida laboral a los sectores público y privado, y discriminó aquellas que fueron en periodos simultáneos</w:t>
      </w:r>
      <w:r>
        <w:rPr>
          <w:bCs/>
          <w:sz w:val="24"/>
          <w:szCs w:val="24"/>
        </w:rPr>
        <w:t>, punto en el que expresó que estos tiempos no pueden ser contados de manera doble sino que est</w:t>
      </w:r>
      <w:r w:rsidR="00474653">
        <w:rPr>
          <w:bCs/>
          <w:sz w:val="24"/>
          <w:szCs w:val="24"/>
        </w:rPr>
        <w:t>aban</w:t>
      </w:r>
      <w:r>
        <w:rPr>
          <w:bCs/>
          <w:sz w:val="24"/>
          <w:szCs w:val="24"/>
        </w:rPr>
        <w:t xml:space="preserve"> encaminados a incrementar el respectivo IBL</w:t>
      </w:r>
      <w:r w:rsidR="00684DBC">
        <w:rPr>
          <w:bCs/>
          <w:sz w:val="24"/>
          <w:szCs w:val="24"/>
        </w:rPr>
        <w:t>, según el artículo 81 del Decreto 3063 de 1989</w:t>
      </w:r>
      <w:r>
        <w:rPr>
          <w:bCs/>
          <w:sz w:val="24"/>
          <w:szCs w:val="24"/>
        </w:rPr>
        <w:t xml:space="preserve">. </w:t>
      </w:r>
    </w:p>
    <w:p w14:paraId="75D4683B" w14:textId="77777777" w:rsidR="00474653" w:rsidRDefault="00474653" w:rsidP="00945E2C">
      <w:pPr>
        <w:autoSpaceDE w:val="0"/>
        <w:autoSpaceDN w:val="0"/>
        <w:adjustRightInd w:val="0"/>
        <w:rPr>
          <w:bCs/>
          <w:sz w:val="24"/>
          <w:szCs w:val="24"/>
        </w:rPr>
      </w:pPr>
    </w:p>
    <w:p w14:paraId="34BFAD8C" w14:textId="2D0A0E54" w:rsidR="00E83A09" w:rsidRDefault="00E83A09" w:rsidP="00945E2C">
      <w:pPr>
        <w:autoSpaceDE w:val="0"/>
        <w:autoSpaceDN w:val="0"/>
        <w:adjustRightInd w:val="0"/>
        <w:rPr>
          <w:bCs/>
          <w:sz w:val="24"/>
          <w:szCs w:val="24"/>
        </w:rPr>
      </w:pPr>
      <w:r>
        <w:rPr>
          <w:bCs/>
          <w:sz w:val="24"/>
          <w:szCs w:val="24"/>
        </w:rPr>
        <w:t xml:space="preserve">Así, para establecer si el actor tenía derecho a la prestación definida en la Ley 33 de 1985, tuvo en cuenta que le fue reconocida la pensión de vejez en la Resolución </w:t>
      </w:r>
      <w:r w:rsidRPr="00E83A09">
        <w:rPr>
          <w:noProof/>
          <w:sz w:val="24"/>
          <w:szCs w:val="24"/>
        </w:rPr>
        <w:t>GNR217754</w:t>
      </w:r>
      <w:r>
        <w:rPr>
          <w:noProof/>
          <w:sz w:val="24"/>
          <w:szCs w:val="24"/>
        </w:rPr>
        <w:t xml:space="preserve">, </w:t>
      </w:r>
      <w:r>
        <w:rPr>
          <w:bCs/>
          <w:sz w:val="24"/>
          <w:szCs w:val="24"/>
        </w:rPr>
        <w:t xml:space="preserve">depuró los tiempos dobles y los excluyó, calculó los resultantes cotizados al sector público, y concluyó: </w:t>
      </w:r>
    </w:p>
    <w:p w14:paraId="79D43835" w14:textId="33E25494" w:rsidR="00E83A09" w:rsidRDefault="00E83A09" w:rsidP="00945E2C">
      <w:pPr>
        <w:autoSpaceDE w:val="0"/>
        <w:autoSpaceDN w:val="0"/>
        <w:adjustRightInd w:val="0"/>
        <w:rPr>
          <w:bCs/>
          <w:sz w:val="24"/>
          <w:szCs w:val="24"/>
        </w:rPr>
      </w:pPr>
    </w:p>
    <w:p w14:paraId="0CD38670" w14:textId="0D1CB0FE" w:rsidR="00E83A09" w:rsidRPr="00D41C63" w:rsidRDefault="00E83A09" w:rsidP="00E83A09">
      <w:pPr>
        <w:autoSpaceDE w:val="0"/>
        <w:autoSpaceDN w:val="0"/>
        <w:adjustRightInd w:val="0"/>
        <w:ind w:left="706"/>
        <w:rPr>
          <w:bCs/>
          <w:sz w:val="22"/>
          <w:szCs w:val="22"/>
        </w:rPr>
      </w:pPr>
      <w:r w:rsidRPr="00D41C63">
        <w:rPr>
          <w:bCs/>
          <w:sz w:val="22"/>
          <w:szCs w:val="22"/>
        </w:rPr>
        <w:t>“[…]</w:t>
      </w:r>
    </w:p>
    <w:p w14:paraId="391DD147" w14:textId="20BEA6DD" w:rsidR="00BC013B" w:rsidRPr="00D41C63" w:rsidRDefault="00E83A09" w:rsidP="00E83A09">
      <w:pPr>
        <w:autoSpaceDE w:val="0"/>
        <w:autoSpaceDN w:val="0"/>
        <w:adjustRightInd w:val="0"/>
        <w:ind w:left="706"/>
        <w:rPr>
          <w:bCs/>
          <w:sz w:val="22"/>
          <w:szCs w:val="22"/>
        </w:rPr>
      </w:pPr>
      <w:r w:rsidRPr="00D41C63">
        <w:rPr>
          <w:noProof/>
          <w:sz w:val="22"/>
          <w:szCs w:val="22"/>
          <w:lang w:eastAsia="es-CO"/>
        </w:rPr>
        <w:drawing>
          <wp:inline distT="0" distB="0" distL="0" distR="0" wp14:anchorId="24F1E33D" wp14:editId="17E23356">
            <wp:extent cx="4536440" cy="12794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52800" cy="1284046"/>
                    </a:xfrm>
                    <a:prstGeom prst="rect">
                      <a:avLst/>
                    </a:prstGeom>
                  </pic:spPr>
                </pic:pic>
              </a:graphicData>
            </a:graphic>
          </wp:inline>
        </w:drawing>
      </w:r>
      <w:r w:rsidRPr="00D41C63">
        <w:rPr>
          <w:bCs/>
          <w:sz w:val="22"/>
          <w:szCs w:val="22"/>
        </w:rPr>
        <w:t xml:space="preserve"> </w:t>
      </w:r>
    </w:p>
    <w:p w14:paraId="4D1434AA" w14:textId="50E7CDEE" w:rsidR="00E83A09" w:rsidRPr="00D41C63" w:rsidRDefault="00E83A09" w:rsidP="00E83A09">
      <w:pPr>
        <w:autoSpaceDE w:val="0"/>
        <w:autoSpaceDN w:val="0"/>
        <w:adjustRightInd w:val="0"/>
        <w:ind w:left="706"/>
        <w:rPr>
          <w:bCs/>
          <w:sz w:val="22"/>
          <w:szCs w:val="22"/>
        </w:rPr>
      </w:pPr>
      <w:r w:rsidRPr="00D41C63">
        <w:rPr>
          <w:bCs/>
          <w:sz w:val="22"/>
          <w:szCs w:val="22"/>
        </w:rPr>
        <w:t>[…]</w:t>
      </w:r>
    </w:p>
    <w:p w14:paraId="67D4107B" w14:textId="6BBD7953" w:rsidR="00E83A09" w:rsidRPr="00D41C63" w:rsidRDefault="00E83A09" w:rsidP="00E83A09">
      <w:pPr>
        <w:autoSpaceDE w:val="0"/>
        <w:autoSpaceDN w:val="0"/>
        <w:adjustRightInd w:val="0"/>
        <w:ind w:left="706"/>
        <w:rPr>
          <w:bCs/>
          <w:sz w:val="22"/>
          <w:szCs w:val="22"/>
        </w:rPr>
      </w:pPr>
      <w:r w:rsidRPr="00D41C63">
        <w:rPr>
          <w:sz w:val="22"/>
          <w:szCs w:val="22"/>
        </w:rPr>
        <w:t>Visto lo anterior, y teniendo en cuenta que el demandante, a pesar de ser beneficiario del régimen de transición y haber cumplido los 55 años de edad el 19 de julio de 2005, no cumplió con los 20 años de servicios que exige la Ley 33 de 1985, para tener derecho a la pensión de jubilación ahora pretensionada [sic], pues a la fecha del 22 de noviembre de 2013, solo acreditó 13 años, 13 días”.</w:t>
      </w:r>
    </w:p>
    <w:p w14:paraId="1AD4C03E" w14:textId="5EE4486E" w:rsidR="00E83A09" w:rsidRDefault="00E83A09" w:rsidP="00945E2C">
      <w:pPr>
        <w:autoSpaceDE w:val="0"/>
        <w:autoSpaceDN w:val="0"/>
        <w:adjustRightInd w:val="0"/>
        <w:rPr>
          <w:bCs/>
          <w:sz w:val="24"/>
          <w:szCs w:val="24"/>
        </w:rPr>
      </w:pPr>
    </w:p>
    <w:p w14:paraId="1F282C7B" w14:textId="77777777" w:rsidR="00811793" w:rsidRPr="002D7F44" w:rsidRDefault="00811793" w:rsidP="00945E2C">
      <w:pPr>
        <w:overflowPunct w:val="0"/>
        <w:autoSpaceDE w:val="0"/>
        <w:autoSpaceDN w:val="0"/>
        <w:adjustRightInd w:val="0"/>
        <w:contextualSpacing/>
        <w:rPr>
          <w:rFonts w:eastAsia="Times New Roman"/>
          <w:b/>
          <w:sz w:val="24"/>
          <w:szCs w:val="24"/>
          <w:lang w:eastAsia="es-ES"/>
        </w:rPr>
      </w:pPr>
      <w:r w:rsidRPr="002D7F44">
        <w:rPr>
          <w:rFonts w:eastAsia="Times New Roman"/>
          <w:b/>
          <w:sz w:val="24"/>
          <w:szCs w:val="24"/>
          <w:lang w:eastAsia="es-ES"/>
        </w:rPr>
        <w:t>1.3. Pretensiones de la tutela</w:t>
      </w:r>
    </w:p>
    <w:p w14:paraId="633F2966" w14:textId="77777777" w:rsidR="00811793" w:rsidRPr="00AD0C8F" w:rsidRDefault="00811793" w:rsidP="00945E2C">
      <w:pPr>
        <w:overflowPunct w:val="0"/>
        <w:autoSpaceDE w:val="0"/>
        <w:autoSpaceDN w:val="0"/>
        <w:adjustRightInd w:val="0"/>
        <w:contextualSpacing/>
        <w:rPr>
          <w:rFonts w:eastAsia="Times New Roman"/>
          <w:sz w:val="20"/>
          <w:szCs w:val="20"/>
          <w:lang w:eastAsia="es-ES"/>
        </w:rPr>
      </w:pPr>
    </w:p>
    <w:p w14:paraId="742C82E5" w14:textId="126E1027" w:rsidR="00625E6B" w:rsidRDefault="00625E6B" w:rsidP="00353811">
      <w:pPr>
        <w:autoSpaceDE w:val="0"/>
        <w:autoSpaceDN w:val="0"/>
        <w:adjustRightInd w:val="0"/>
        <w:rPr>
          <w:sz w:val="24"/>
          <w:szCs w:val="24"/>
        </w:rPr>
      </w:pPr>
      <w:r>
        <w:rPr>
          <w:bCs/>
          <w:sz w:val="24"/>
          <w:szCs w:val="24"/>
        </w:rPr>
        <w:t>Pedro Pastor Aragón Canchila</w:t>
      </w:r>
      <w:r w:rsidRPr="002D7F44">
        <w:rPr>
          <w:rFonts w:eastAsia="Times New Roman"/>
          <w:sz w:val="24"/>
          <w:szCs w:val="24"/>
          <w:lang w:eastAsia="es-ES"/>
        </w:rPr>
        <w:t xml:space="preserve"> </w:t>
      </w:r>
      <w:r w:rsidR="00811793" w:rsidRPr="002D7F44">
        <w:rPr>
          <w:rFonts w:eastAsia="Times New Roman"/>
          <w:sz w:val="24"/>
          <w:szCs w:val="24"/>
          <w:lang w:eastAsia="es-ES"/>
        </w:rPr>
        <w:t>present</w:t>
      </w:r>
      <w:r w:rsidR="00F37DA2">
        <w:rPr>
          <w:rFonts w:eastAsia="Times New Roman"/>
          <w:sz w:val="24"/>
          <w:szCs w:val="24"/>
          <w:lang w:eastAsia="es-ES"/>
        </w:rPr>
        <w:t>ó escrito de</w:t>
      </w:r>
      <w:r w:rsidR="00811793" w:rsidRPr="002D7F44">
        <w:rPr>
          <w:rFonts w:eastAsia="Times New Roman"/>
          <w:sz w:val="24"/>
          <w:szCs w:val="24"/>
          <w:lang w:eastAsia="es-ES"/>
        </w:rPr>
        <w:t xml:space="preserve"> tutela en </w:t>
      </w:r>
      <w:r w:rsidR="000B1493">
        <w:rPr>
          <w:rFonts w:eastAsia="Times New Roman"/>
          <w:sz w:val="24"/>
          <w:szCs w:val="24"/>
          <w:lang w:eastAsia="es-ES"/>
        </w:rPr>
        <w:t>el</w:t>
      </w:r>
      <w:r w:rsidR="00811793" w:rsidRPr="002D7F44">
        <w:rPr>
          <w:rFonts w:eastAsia="Times New Roman"/>
          <w:sz w:val="24"/>
          <w:szCs w:val="24"/>
          <w:lang w:eastAsia="es-ES"/>
        </w:rPr>
        <w:t xml:space="preserve"> que pidi</w:t>
      </w:r>
      <w:r w:rsidR="00F37DA2">
        <w:rPr>
          <w:rFonts w:eastAsia="Times New Roman"/>
          <w:sz w:val="24"/>
          <w:szCs w:val="24"/>
          <w:lang w:eastAsia="es-ES"/>
        </w:rPr>
        <w:t>ó</w:t>
      </w:r>
      <w:r w:rsidR="00811793" w:rsidRPr="002D7F44">
        <w:rPr>
          <w:rFonts w:eastAsia="Times New Roman"/>
          <w:sz w:val="24"/>
          <w:szCs w:val="24"/>
          <w:lang w:eastAsia="es-ES"/>
        </w:rPr>
        <w:t xml:space="preserve"> al juez constitucional </w:t>
      </w:r>
      <w:r w:rsidR="00F37DA2">
        <w:rPr>
          <w:rFonts w:eastAsia="Times New Roman"/>
          <w:sz w:val="24"/>
          <w:szCs w:val="24"/>
          <w:lang w:eastAsia="es-ES"/>
        </w:rPr>
        <w:t>que</w:t>
      </w:r>
      <w:r w:rsidR="00F52E7A">
        <w:rPr>
          <w:rFonts w:eastAsia="Times New Roman"/>
          <w:sz w:val="24"/>
          <w:szCs w:val="24"/>
          <w:lang w:eastAsia="es-ES"/>
        </w:rPr>
        <w:t xml:space="preserve"> ampare su</w:t>
      </w:r>
      <w:r w:rsidR="003B67B3">
        <w:rPr>
          <w:rFonts w:eastAsia="Times New Roman"/>
          <w:sz w:val="24"/>
          <w:szCs w:val="24"/>
          <w:lang w:eastAsia="es-ES"/>
        </w:rPr>
        <w:t>s</w:t>
      </w:r>
      <w:r w:rsidR="00F52E7A">
        <w:rPr>
          <w:rFonts w:eastAsia="Times New Roman"/>
          <w:sz w:val="24"/>
          <w:szCs w:val="24"/>
          <w:lang w:eastAsia="es-ES"/>
        </w:rPr>
        <w:t xml:space="preserve"> </w:t>
      </w:r>
      <w:r w:rsidR="0063591D">
        <w:rPr>
          <w:sz w:val="24"/>
          <w:szCs w:val="24"/>
        </w:rPr>
        <w:t>derecho</w:t>
      </w:r>
      <w:r w:rsidR="003B67B3">
        <w:rPr>
          <w:sz w:val="24"/>
          <w:szCs w:val="24"/>
        </w:rPr>
        <w:t xml:space="preserve">s fundamentales </w:t>
      </w:r>
      <w:r>
        <w:rPr>
          <w:sz w:val="24"/>
          <w:szCs w:val="24"/>
        </w:rPr>
        <w:t>al debido proceso y al acceso a la administración de justicia;</w:t>
      </w:r>
      <w:r w:rsidR="003B67B3">
        <w:rPr>
          <w:sz w:val="24"/>
          <w:szCs w:val="24"/>
        </w:rPr>
        <w:t xml:space="preserve"> deje sin efectos la sentencia del 3</w:t>
      </w:r>
      <w:r>
        <w:rPr>
          <w:sz w:val="24"/>
          <w:szCs w:val="24"/>
        </w:rPr>
        <w:t>0</w:t>
      </w:r>
      <w:r w:rsidR="003B67B3">
        <w:rPr>
          <w:sz w:val="24"/>
          <w:szCs w:val="24"/>
        </w:rPr>
        <w:t xml:space="preserve"> de </w:t>
      </w:r>
      <w:r>
        <w:rPr>
          <w:sz w:val="24"/>
          <w:szCs w:val="24"/>
        </w:rPr>
        <w:t>junio</w:t>
      </w:r>
      <w:r w:rsidR="003B67B3">
        <w:rPr>
          <w:sz w:val="24"/>
          <w:szCs w:val="24"/>
        </w:rPr>
        <w:t xml:space="preserve"> de 2022</w:t>
      </w:r>
      <w:r>
        <w:rPr>
          <w:sz w:val="24"/>
          <w:szCs w:val="24"/>
        </w:rPr>
        <w:t xml:space="preserve"> emitida dentro del proceso de nulidad y restablecimiento del derecho con radicado núm. </w:t>
      </w:r>
      <w:r w:rsidRPr="009C486B">
        <w:rPr>
          <w:bCs/>
          <w:sz w:val="24"/>
          <w:szCs w:val="24"/>
        </w:rPr>
        <w:t>08-001-33-33-003-2016-00305-01</w:t>
      </w:r>
      <w:r w:rsidR="00353811">
        <w:rPr>
          <w:sz w:val="24"/>
          <w:szCs w:val="24"/>
        </w:rPr>
        <w:t>; y, orden</w:t>
      </w:r>
      <w:r w:rsidR="000744EF">
        <w:rPr>
          <w:sz w:val="24"/>
          <w:szCs w:val="24"/>
        </w:rPr>
        <w:t>e</w:t>
      </w:r>
      <w:r>
        <w:rPr>
          <w:sz w:val="24"/>
          <w:szCs w:val="24"/>
        </w:rPr>
        <w:t xml:space="preserve"> </w:t>
      </w:r>
      <w:r w:rsidR="00353811">
        <w:rPr>
          <w:sz w:val="24"/>
          <w:szCs w:val="24"/>
        </w:rPr>
        <w:t>a</w:t>
      </w:r>
      <w:r>
        <w:rPr>
          <w:sz w:val="24"/>
          <w:szCs w:val="24"/>
        </w:rPr>
        <w:t xml:space="preserve">l magistrado ponente de la Sección C del Tribunal Administrativo del Atlántico que, por un lado, corra traslado de la prueba decretada de oficio y aportada por Colpensiones al expediente el 6 de junio de 2022 para garantizar los derechos a la defensa y contradicción de las partes, y, por otro lado, que emita un fallo de reemplazo en la que se tenga en cuenta las consideraciones que correspondan. </w:t>
      </w:r>
    </w:p>
    <w:p w14:paraId="46808BAA" w14:textId="7F7601F0" w:rsidR="00353811" w:rsidRDefault="00353811" w:rsidP="00353811">
      <w:pPr>
        <w:autoSpaceDE w:val="0"/>
        <w:autoSpaceDN w:val="0"/>
        <w:adjustRightInd w:val="0"/>
        <w:rPr>
          <w:rFonts w:eastAsia="Times New Roman"/>
          <w:sz w:val="24"/>
          <w:szCs w:val="24"/>
          <w:lang w:eastAsia="es-ES"/>
        </w:rPr>
      </w:pPr>
    </w:p>
    <w:p w14:paraId="6D354986" w14:textId="305284E7" w:rsidR="00474653" w:rsidRDefault="00474653" w:rsidP="00353811">
      <w:pPr>
        <w:autoSpaceDE w:val="0"/>
        <w:autoSpaceDN w:val="0"/>
        <w:adjustRightInd w:val="0"/>
        <w:rPr>
          <w:rFonts w:eastAsia="Times New Roman"/>
          <w:sz w:val="24"/>
          <w:szCs w:val="24"/>
          <w:lang w:eastAsia="es-ES"/>
        </w:rPr>
      </w:pPr>
    </w:p>
    <w:p w14:paraId="4C7AD8D1" w14:textId="77777777" w:rsidR="00811793" w:rsidRPr="002D7F44" w:rsidRDefault="00811793" w:rsidP="00945E2C">
      <w:pPr>
        <w:overflowPunct w:val="0"/>
        <w:autoSpaceDE w:val="0"/>
        <w:autoSpaceDN w:val="0"/>
        <w:adjustRightInd w:val="0"/>
        <w:contextualSpacing/>
        <w:rPr>
          <w:rFonts w:eastAsia="Times New Roman"/>
          <w:b/>
          <w:sz w:val="24"/>
          <w:szCs w:val="24"/>
          <w:lang w:eastAsia="es-ES"/>
        </w:rPr>
      </w:pPr>
      <w:r w:rsidRPr="002D7F44">
        <w:rPr>
          <w:rFonts w:eastAsia="Times New Roman"/>
          <w:b/>
          <w:sz w:val="24"/>
          <w:szCs w:val="24"/>
          <w:lang w:eastAsia="es-ES"/>
        </w:rPr>
        <w:lastRenderedPageBreak/>
        <w:t>1.4. Argumentos de la solicitud de tutela</w:t>
      </w:r>
    </w:p>
    <w:p w14:paraId="1FDC9E86" w14:textId="77777777" w:rsidR="00AD0C8F" w:rsidRPr="00AD0C8F" w:rsidRDefault="00AD0C8F" w:rsidP="00945E2C">
      <w:pPr>
        <w:overflowPunct w:val="0"/>
        <w:autoSpaceDE w:val="0"/>
        <w:autoSpaceDN w:val="0"/>
        <w:adjustRightInd w:val="0"/>
        <w:contextualSpacing/>
        <w:rPr>
          <w:sz w:val="20"/>
          <w:szCs w:val="20"/>
          <w:lang w:val="es-MX" w:eastAsia="ja-JP"/>
        </w:rPr>
      </w:pPr>
    </w:p>
    <w:p w14:paraId="1ECC5B84" w14:textId="70C8D03E" w:rsidR="00625E6B" w:rsidRDefault="00D33B78" w:rsidP="00945E2C">
      <w:pPr>
        <w:overflowPunct w:val="0"/>
        <w:autoSpaceDE w:val="0"/>
        <w:autoSpaceDN w:val="0"/>
        <w:adjustRightInd w:val="0"/>
        <w:contextualSpacing/>
        <w:rPr>
          <w:sz w:val="24"/>
          <w:szCs w:val="24"/>
        </w:rPr>
      </w:pPr>
      <w:r>
        <w:rPr>
          <w:sz w:val="24"/>
          <w:szCs w:val="24"/>
          <w:lang w:val="es-MX" w:eastAsia="ja-JP"/>
        </w:rPr>
        <w:t xml:space="preserve">La parte </w:t>
      </w:r>
      <w:r w:rsidR="00E357AB">
        <w:rPr>
          <w:sz w:val="24"/>
          <w:szCs w:val="24"/>
          <w:lang w:val="es-MX" w:eastAsia="ja-JP"/>
        </w:rPr>
        <w:t>tutelante</w:t>
      </w:r>
      <w:r w:rsidR="00811793" w:rsidRPr="002D7F44">
        <w:rPr>
          <w:rFonts w:eastAsia="Times New Roman"/>
          <w:sz w:val="24"/>
          <w:szCs w:val="24"/>
          <w:lang w:eastAsia="es-ES"/>
        </w:rPr>
        <w:t xml:space="preserve"> </w:t>
      </w:r>
      <w:r w:rsidR="00336E02">
        <w:rPr>
          <w:rFonts w:eastAsia="Times New Roman"/>
          <w:sz w:val="24"/>
          <w:szCs w:val="24"/>
          <w:lang w:eastAsia="es-ES"/>
        </w:rPr>
        <w:t>argumentó que la</w:t>
      </w:r>
      <w:r w:rsidR="00625E6B">
        <w:rPr>
          <w:sz w:val="24"/>
          <w:szCs w:val="24"/>
        </w:rPr>
        <w:t xml:space="preserve"> Sección C del Tribunal Administrativo del Atlántico vulneró sus derechos fundamentales al debido proceso y al acceso a la administración de justicia, dado que, </w:t>
      </w:r>
      <w:r w:rsidR="00980B69">
        <w:rPr>
          <w:sz w:val="24"/>
          <w:szCs w:val="24"/>
        </w:rPr>
        <w:t xml:space="preserve">a su juicio, </w:t>
      </w:r>
      <w:r w:rsidR="00625E6B">
        <w:rPr>
          <w:sz w:val="24"/>
          <w:szCs w:val="24"/>
        </w:rPr>
        <w:t xml:space="preserve">incurrió en los defectos fáctico y sustantivo con la sentencia del 30 de junio de 2022, por las razones que la Sala resume a continuación: </w:t>
      </w:r>
    </w:p>
    <w:p w14:paraId="2ADD49FA" w14:textId="066BD7E9" w:rsidR="00625E6B" w:rsidRDefault="00625E6B" w:rsidP="00945E2C">
      <w:pPr>
        <w:overflowPunct w:val="0"/>
        <w:autoSpaceDE w:val="0"/>
        <w:autoSpaceDN w:val="0"/>
        <w:adjustRightInd w:val="0"/>
        <w:contextualSpacing/>
        <w:rPr>
          <w:sz w:val="24"/>
          <w:szCs w:val="24"/>
        </w:rPr>
      </w:pPr>
    </w:p>
    <w:p w14:paraId="62885E7A" w14:textId="462D4791" w:rsidR="00FC62CE" w:rsidRDefault="007B5FAE" w:rsidP="00FC62CE">
      <w:pPr>
        <w:overflowPunct w:val="0"/>
        <w:autoSpaceDE w:val="0"/>
        <w:autoSpaceDN w:val="0"/>
        <w:adjustRightInd w:val="0"/>
        <w:contextualSpacing/>
        <w:rPr>
          <w:sz w:val="24"/>
          <w:szCs w:val="24"/>
        </w:rPr>
      </w:pPr>
      <w:r>
        <w:rPr>
          <w:sz w:val="24"/>
          <w:szCs w:val="24"/>
        </w:rPr>
        <w:t xml:space="preserve">1.4.1 </w:t>
      </w:r>
      <w:r w:rsidR="00FC62CE">
        <w:rPr>
          <w:sz w:val="24"/>
          <w:szCs w:val="24"/>
        </w:rPr>
        <w:t>Luego de</w:t>
      </w:r>
      <w:r w:rsidR="00474653">
        <w:rPr>
          <w:sz w:val="24"/>
          <w:szCs w:val="24"/>
        </w:rPr>
        <w:t xml:space="preserve"> que fue proferido el</w:t>
      </w:r>
      <w:r w:rsidR="00FC62CE">
        <w:rPr>
          <w:sz w:val="24"/>
          <w:szCs w:val="24"/>
        </w:rPr>
        <w:t xml:space="preserve"> auto de mejor proveer y en ejercicio de la virtualidad, el demandante presentó 5 memoriales</w:t>
      </w:r>
      <w:r w:rsidR="00FC62CE">
        <w:rPr>
          <w:rStyle w:val="Refdenotaalpie"/>
          <w:sz w:val="24"/>
          <w:szCs w:val="24"/>
        </w:rPr>
        <w:footnoteReference w:id="13"/>
      </w:r>
      <w:r w:rsidR="00FC62CE">
        <w:rPr>
          <w:sz w:val="24"/>
          <w:szCs w:val="24"/>
        </w:rPr>
        <w:t xml:space="preserve"> en los que solicitó tener acceso al expediente digital, sin embargo, solo 1 de estos fue cargado al sistema y ninguno fue atendido por el Tribunal sino hasta después de que fue emitida la sentencia de segunda instancia, a pesar de que el Decreto 806 de 2020 dispuso la consulta de expedientes de manera virtual. </w:t>
      </w:r>
    </w:p>
    <w:p w14:paraId="4E45E26D" w14:textId="6A0C5F50" w:rsidR="00BB0EF2" w:rsidRDefault="00BB0EF2" w:rsidP="00FC62CE">
      <w:pPr>
        <w:overflowPunct w:val="0"/>
        <w:autoSpaceDE w:val="0"/>
        <w:autoSpaceDN w:val="0"/>
        <w:adjustRightInd w:val="0"/>
        <w:contextualSpacing/>
        <w:rPr>
          <w:sz w:val="24"/>
          <w:szCs w:val="24"/>
        </w:rPr>
      </w:pPr>
    </w:p>
    <w:p w14:paraId="31BAB396" w14:textId="26B53043" w:rsidR="00FC62CE" w:rsidRDefault="00BB0EF2" w:rsidP="00945E2C">
      <w:pPr>
        <w:overflowPunct w:val="0"/>
        <w:autoSpaceDE w:val="0"/>
        <w:autoSpaceDN w:val="0"/>
        <w:adjustRightInd w:val="0"/>
        <w:contextualSpacing/>
        <w:rPr>
          <w:sz w:val="24"/>
          <w:szCs w:val="24"/>
        </w:rPr>
      </w:pPr>
      <w:r>
        <w:rPr>
          <w:sz w:val="24"/>
          <w:szCs w:val="24"/>
        </w:rPr>
        <w:t xml:space="preserve">Una vez finalizó el proceso, el interesado presentó </w:t>
      </w:r>
      <w:r w:rsidR="008C28C2">
        <w:rPr>
          <w:sz w:val="24"/>
          <w:szCs w:val="24"/>
        </w:rPr>
        <w:t xml:space="preserve">una </w:t>
      </w:r>
      <w:r>
        <w:rPr>
          <w:sz w:val="24"/>
          <w:szCs w:val="24"/>
        </w:rPr>
        <w:t>petición ante el Tribunal, a</w:t>
      </w:r>
      <w:r w:rsidR="008C28C2">
        <w:rPr>
          <w:sz w:val="24"/>
          <w:szCs w:val="24"/>
        </w:rPr>
        <w:t xml:space="preserve"> </w:t>
      </w:r>
      <w:r>
        <w:rPr>
          <w:sz w:val="24"/>
          <w:szCs w:val="24"/>
        </w:rPr>
        <w:t>l</w:t>
      </w:r>
      <w:r w:rsidR="008C28C2">
        <w:rPr>
          <w:sz w:val="24"/>
          <w:szCs w:val="24"/>
        </w:rPr>
        <w:t xml:space="preserve">a </w:t>
      </w:r>
      <w:r>
        <w:rPr>
          <w:sz w:val="24"/>
          <w:szCs w:val="24"/>
        </w:rPr>
        <w:t xml:space="preserve">que le contestaron que sí recibieron los mencionados memoriales, que la prueba aportada por Colpensiones no fue cargada a la plataforma de Samai, que el artículo 213 del CPACA no dispone el traslado de </w:t>
      </w:r>
      <w:r w:rsidR="008C28C2">
        <w:rPr>
          <w:sz w:val="24"/>
          <w:szCs w:val="24"/>
        </w:rPr>
        <w:t>esta</w:t>
      </w:r>
      <w:r>
        <w:rPr>
          <w:sz w:val="24"/>
          <w:szCs w:val="24"/>
        </w:rPr>
        <w:t xml:space="preserve">, y que el 12 y 14 de julio de 2022 dieron respuesta a las solicitudes de acceso al expediente ordinario. </w:t>
      </w:r>
    </w:p>
    <w:p w14:paraId="0F303B63" w14:textId="77777777" w:rsidR="00BB0EF2" w:rsidRDefault="00BB0EF2" w:rsidP="00945E2C">
      <w:pPr>
        <w:overflowPunct w:val="0"/>
        <w:autoSpaceDE w:val="0"/>
        <w:autoSpaceDN w:val="0"/>
        <w:adjustRightInd w:val="0"/>
        <w:contextualSpacing/>
        <w:rPr>
          <w:sz w:val="24"/>
          <w:szCs w:val="24"/>
        </w:rPr>
      </w:pPr>
    </w:p>
    <w:p w14:paraId="3DCECDCD" w14:textId="6415462D" w:rsidR="000B55EA" w:rsidRDefault="00FC62CE" w:rsidP="00945E2C">
      <w:pPr>
        <w:overflowPunct w:val="0"/>
        <w:autoSpaceDE w:val="0"/>
        <w:autoSpaceDN w:val="0"/>
        <w:adjustRightInd w:val="0"/>
        <w:contextualSpacing/>
        <w:rPr>
          <w:sz w:val="24"/>
          <w:szCs w:val="24"/>
        </w:rPr>
      </w:pPr>
      <w:r>
        <w:rPr>
          <w:sz w:val="24"/>
          <w:szCs w:val="24"/>
        </w:rPr>
        <w:t>1.4.</w:t>
      </w:r>
      <w:r w:rsidR="00D41C63">
        <w:rPr>
          <w:sz w:val="24"/>
          <w:szCs w:val="24"/>
        </w:rPr>
        <w:t>2</w:t>
      </w:r>
      <w:r>
        <w:rPr>
          <w:sz w:val="24"/>
          <w:szCs w:val="24"/>
        </w:rPr>
        <w:t>. Ahora bien, e</w:t>
      </w:r>
      <w:r w:rsidR="000B55EA">
        <w:rPr>
          <w:sz w:val="24"/>
          <w:szCs w:val="24"/>
        </w:rPr>
        <w:t xml:space="preserve">l Tribunal emitió auto de mejor proveer, el 12 de noviembre de 2019, </w:t>
      </w:r>
      <w:r>
        <w:rPr>
          <w:sz w:val="24"/>
          <w:szCs w:val="24"/>
        </w:rPr>
        <w:t>con fundamento en el artículo 213 del CPACA</w:t>
      </w:r>
      <w:r>
        <w:rPr>
          <w:rStyle w:val="Refdenotaalpie"/>
          <w:sz w:val="24"/>
          <w:szCs w:val="24"/>
        </w:rPr>
        <w:footnoteReference w:id="14"/>
      </w:r>
      <w:r>
        <w:rPr>
          <w:sz w:val="24"/>
          <w:szCs w:val="24"/>
        </w:rPr>
        <w:t xml:space="preserve">, </w:t>
      </w:r>
      <w:r w:rsidR="000B55EA">
        <w:rPr>
          <w:sz w:val="24"/>
          <w:szCs w:val="24"/>
        </w:rPr>
        <w:t xml:space="preserve">luego de </w:t>
      </w:r>
      <w:r>
        <w:rPr>
          <w:sz w:val="24"/>
          <w:szCs w:val="24"/>
        </w:rPr>
        <w:t>vencido</w:t>
      </w:r>
      <w:r w:rsidR="000B55EA">
        <w:rPr>
          <w:sz w:val="24"/>
          <w:szCs w:val="24"/>
        </w:rPr>
        <w:t xml:space="preserve"> el término para alegar de conclusión, </w:t>
      </w:r>
      <w:r w:rsidR="00434961">
        <w:rPr>
          <w:sz w:val="24"/>
          <w:szCs w:val="24"/>
        </w:rPr>
        <w:t xml:space="preserve">y reiteró esta petición en proveído del 26 de mayo, </w:t>
      </w:r>
      <w:r w:rsidR="000B55EA">
        <w:rPr>
          <w:sz w:val="24"/>
          <w:szCs w:val="24"/>
        </w:rPr>
        <w:t xml:space="preserve">en el que solicitó a Colpensiones que certificara si para la pensión de vejez del Decreto 758 de 1990 que reconoció en la Resolución GNR217754, tuvo en cuenta tiempos cotizados en el sector público. </w:t>
      </w:r>
    </w:p>
    <w:p w14:paraId="7C53F4DC" w14:textId="77777777" w:rsidR="00FC62CE" w:rsidRDefault="00FC62CE" w:rsidP="00945E2C">
      <w:pPr>
        <w:overflowPunct w:val="0"/>
        <w:autoSpaceDE w:val="0"/>
        <w:autoSpaceDN w:val="0"/>
        <w:adjustRightInd w:val="0"/>
        <w:contextualSpacing/>
        <w:rPr>
          <w:sz w:val="24"/>
          <w:szCs w:val="24"/>
        </w:rPr>
      </w:pPr>
    </w:p>
    <w:p w14:paraId="40F05B90" w14:textId="78F99378" w:rsidR="000B55EA" w:rsidRDefault="00FC62CE" w:rsidP="00945E2C">
      <w:pPr>
        <w:overflowPunct w:val="0"/>
        <w:autoSpaceDE w:val="0"/>
        <w:autoSpaceDN w:val="0"/>
        <w:adjustRightInd w:val="0"/>
        <w:contextualSpacing/>
        <w:rPr>
          <w:sz w:val="24"/>
          <w:szCs w:val="24"/>
        </w:rPr>
      </w:pPr>
      <w:r>
        <w:rPr>
          <w:sz w:val="24"/>
          <w:szCs w:val="24"/>
        </w:rPr>
        <w:t xml:space="preserve">Al respecto, Colpensiones dio respuesta al requerimiento </w:t>
      </w:r>
      <w:r w:rsidR="00790650">
        <w:rPr>
          <w:sz w:val="24"/>
          <w:szCs w:val="24"/>
        </w:rPr>
        <w:t xml:space="preserve">del auto de mejor proveer, </w:t>
      </w:r>
      <w:r>
        <w:rPr>
          <w:sz w:val="24"/>
          <w:szCs w:val="24"/>
        </w:rPr>
        <w:t>en oficio del 6 de julio de 2022, sin embargo, el Tribunal de segunda instancia no corrió traslado esa prueba</w:t>
      </w:r>
      <w:r w:rsidR="00790650">
        <w:rPr>
          <w:sz w:val="24"/>
          <w:szCs w:val="24"/>
        </w:rPr>
        <w:t xml:space="preserve"> a las partes,</w:t>
      </w:r>
      <w:r>
        <w:rPr>
          <w:sz w:val="24"/>
          <w:szCs w:val="24"/>
        </w:rPr>
        <w:t xml:space="preserve"> de conformidad con lo dispuesto por el legislado</w:t>
      </w:r>
      <w:r w:rsidR="00790650">
        <w:rPr>
          <w:sz w:val="24"/>
          <w:szCs w:val="24"/>
        </w:rPr>
        <w:t>r</w:t>
      </w:r>
      <w:r>
        <w:rPr>
          <w:sz w:val="24"/>
          <w:szCs w:val="24"/>
        </w:rPr>
        <w:t xml:space="preserve"> en los artículos 110</w:t>
      </w:r>
      <w:r>
        <w:rPr>
          <w:rStyle w:val="Refdenotaalpie"/>
          <w:sz w:val="24"/>
          <w:szCs w:val="24"/>
        </w:rPr>
        <w:footnoteReference w:id="15"/>
      </w:r>
      <w:r>
        <w:rPr>
          <w:sz w:val="24"/>
          <w:szCs w:val="24"/>
        </w:rPr>
        <w:t xml:space="preserve"> y 170</w:t>
      </w:r>
      <w:r>
        <w:rPr>
          <w:rStyle w:val="Refdenotaalpie"/>
          <w:sz w:val="24"/>
          <w:szCs w:val="24"/>
        </w:rPr>
        <w:footnoteReference w:id="16"/>
      </w:r>
      <w:r>
        <w:rPr>
          <w:sz w:val="24"/>
          <w:szCs w:val="24"/>
        </w:rPr>
        <w:t xml:space="preserve"> de la Ley 1564 de 2012 (CGP) que garantiza</w:t>
      </w:r>
      <w:r w:rsidR="00790650">
        <w:rPr>
          <w:sz w:val="24"/>
          <w:szCs w:val="24"/>
        </w:rPr>
        <w:t>n</w:t>
      </w:r>
      <w:r>
        <w:rPr>
          <w:sz w:val="24"/>
          <w:szCs w:val="24"/>
        </w:rPr>
        <w:t xml:space="preserve"> el derecho a </w:t>
      </w:r>
      <w:r>
        <w:rPr>
          <w:sz w:val="24"/>
          <w:szCs w:val="24"/>
        </w:rPr>
        <w:lastRenderedPageBreak/>
        <w:t>la contradicción, y tampoco la cargó al aplicativo Sa</w:t>
      </w:r>
      <w:r w:rsidR="00790650">
        <w:rPr>
          <w:sz w:val="24"/>
          <w:szCs w:val="24"/>
        </w:rPr>
        <w:t>mai, por lo que el demandante no tuvo la oportunidad de controvertirla a</w:t>
      </w:r>
      <w:r>
        <w:rPr>
          <w:sz w:val="24"/>
          <w:szCs w:val="24"/>
        </w:rPr>
        <w:t>nte la imposibilidad de acceder al expediente</w:t>
      </w:r>
      <w:r w:rsidR="00790650">
        <w:rPr>
          <w:sz w:val="24"/>
          <w:szCs w:val="24"/>
        </w:rPr>
        <w:t>,</w:t>
      </w:r>
      <w:r>
        <w:rPr>
          <w:sz w:val="24"/>
          <w:szCs w:val="24"/>
        </w:rPr>
        <w:t xml:space="preserve"> pese a las reiteradas solicitudes en tal sentido</w:t>
      </w:r>
      <w:r w:rsidR="000B55EA">
        <w:rPr>
          <w:sz w:val="24"/>
          <w:szCs w:val="24"/>
        </w:rPr>
        <w:t>.</w:t>
      </w:r>
    </w:p>
    <w:p w14:paraId="199B6BDD" w14:textId="7A85CE21" w:rsidR="00434961" w:rsidRDefault="00434961" w:rsidP="00945E2C">
      <w:pPr>
        <w:overflowPunct w:val="0"/>
        <w:autoSpaceDE w:val="0"/>
        <w:autoSpaceDN w:val="0"/>
        <w:adjustRightInd w:val="0"/>
        <w:contextualSpacing/>
        <w:rPr>
          <w:sz w:val="24"/>
          <w:szCs w:val="24"/>
        </w:rPr>
      </w:pPr>
    </w:p>
    <w:p w14:paraId="5C951BA1" w14:textId="30B5900C" w:rsidR="000B55EA" w:rsidRDefault="00434961" w:rsidP="00945E2C">
      <w:pPr>
        <w:overflowPunct w:val="0"/>
        <w:autoSpaceDE w:val="0"/>
        <w:autoSpaceDN w:val="0"/>
        <w:adjustRightInd w:val="0"/>
        <w:contextualSpacing/>
        <w:rPr>
          <w:sz w:val="24"/>
          <w:szCs w:val="24"/>
        </w:rPr>
      </w:pPr>
      <w:r>
        <w:rPr>
          <w:sz w:val="24"/>
          <w:szCs w:val="24"/>
        </w:rPr>
        <w:t xml:space="preserve">Lo anterior, </w:t>
      </w:r>
      <w:r w:rsidR="001B20CC">
        <w:rPr>
          <w:sz w:val="24"/>
          <w:szCs w:val="24"/>
        </w:rPr>
        <w:t xml:space="preserve">considera el demandante, </w:t>
      </w:r>
      <w:r>
        <w:rPr>
          <w:sz w:val="24"/>
          <w:szCs w:val="24"/>
        </w:rPr>
        <w:t xml:space="preserve">alteró la relación de igualdad </w:t>
      </w:r>
      <w:r w:rsidR="008C28C2">
        <w:rPr>
          <w:sz w:val="24"/>
          <w:szCs w:val="24"/>
        </w:rPr>
        <w:t>entre</w:t>
      </w:r>
      <w:r>
        <w:rPr>
          <w:sz w:val="24"/>
          <w:szCs w:val="24"/>
        </w:rPr>
        <w:t xml:space="preserve"> las partes, </w:t>
      </w:r>
      <w:r w:rsidR="003B7A46">
        <w:rPr>
          <w:sz w:val="24"/>
          <w:szCs w:val="24"/>
        </w:rPr>
        <w:t xml:space="preserve">en cuanto </w:t>
      </w:r>
      <w:r>
        <w:rPr>
          <w:sz w:val="24"/>
          <w:szCs w:val="24"/>
        </w:rPr>
        <w:t xml:space="preserve">ubicó a Colpensiones en una posición de producir una prueba sin que fueran garantizados los principios de publicidad y contradicción, </w:t>
      </w:r>
      <w:r w:rsidR="00334923">
        <w:rPr>
          <w:sz w:val="24"/>
          <w:szCs w:val="24"/>
        </w:rPr>
        <w:t xml:space="preserve">por lo que el Tribunal Administrativo del Atlántico dictó sentencia con fundamento en una prueba obtenida con violación del debido proceso, lo que originó un defecto fáctico. </w:t>
      </w:r>
    </w:p>
    <w:p w14:paraId="01EB6AF5" w14:textId="3F72DB8C" w:rsidR="00334923" w:rsidRDefault="00334923" w:rsidP="00945E2C">
      <w:pPr>
        <w:overflowPunct w:val="0"/>
        <w:autoSpaceDE w:val="0"/>
        <w:autoSpaceDN w:val="0"/>
        <w:adjustRightInd w:val="0"/>
        <w:contextualSpacing/>
        <w:rPr>
          <w:sz w:val="24"/>
          <w:szCs w:val="24"/>
        </w:rPr>
      </w:pPr>
    </w:p>
    <w:p w14:paraId="2457F8C0" w14:textId="5C4809BA" w:rsidR="00334923" w:rsidRDefault="00334923" w:rsidP="00945E2C">
      <w:pPr>
        <w:overflowPunct w:val="0"/>
        <w:autoSpaceDE w:val="0"/>
        <w:autoSpaceDN w:val="0"/>
        <w:adjustRightInd w:val="0"/>
        <w:contextualSpacing/>
        <w:rPr>
          <w:sz w:val="24"/>
          <w:szCs w:val="24"/>
        </w:rPr>
      </w:pPr>
      <w:r>
        <w:rPr>
          <w:sz w:val="24"/>
          <w:szCs w:val="24"/>
        </w:rPr>
        <w:t xml:space="preserve">De otra parte, </w:t>
      </w:r>
      <w:r w:rsidR="003B7A46">
        <w:rPr>
          <w:sz w:val="24"/>
          <w:szCs w:val="24"/>
        </w:rPr>
        <w:t xml:space="preserve">reprocha el accionante que </w:t>
      </w:r>
      <w:r>
        <w:rPr>
          <w:sz w:val="24"/>
          <w:szCs w:val="24"/>
        </w:rPr>
        <w:t xml:space="preserve">el oficio del 6 de junio de 2022 de Colpensiones, no </w:t>
      </w:r>
      <w:r w:rsidR="003B7A46">
        <w:rPr>
          <w:sz w:val="24"/>
          <w:szCs w:val="24"/>
        </w:rPr>
        <w:t xml:space="preserve">haya </w:t>
      </w:r>
      <w:r>
        <w:rPr>
          <w:sz w:val="24"/>
          <w:szCs w:val="24"/>
        </w:rPr>
        <w:t>respondi</w:t>
      </w:r>
      <w:r w:rsidR="003B7A46">
        <w:rPr>
          <w:sz w:val="24"/>
          <w:szCs w:val="24"/>
        </w:rPr>
        <w:t>do</w:t>
      </w:r>
      <w:r>
        <w:rPr>
          <w:sz w:val="24"/>
          <w:szCs w:val="24"/>
        </w:rPr>
        <w:t xml:space="preserve"> correctamente a lo que se le pidió en el auto del 12 de noviembre de 2019, </w:t>
      </w:r>
      <w:r w:rsidR="003B7A46">
        <w:rPr>
          <w:sz w:val="24"/>
          <w:szCs w:val="24"/>
        </w:rPr>
        <w:t xml:space="preserve">circunstancia que habría </w:t>
      </w:r>
      <w:r>
        <w:rPr>
          <w:sz w:val="24"/>
          <w:szCs w:val="24"/>
        </w:rPr>
        <w:t>incidi</w:t>
      </w:r>
      <w:r w:rsidR="003B7A46">
        <w:rPr>
          <w:sz w:val="24"/>
          <w:szCs w:val="24"/>
        </w:rPr>
        <w:t>do</w:t>
      </w:r>
      <w:r>
        <w:rPr>
          <w:sz w:val="24"/>
          <w:szCs w:val="24"/>
        </w:rPr>
        <w:t xml:space="preserve"> en la decisión </w:t>
      </w:r>
      <w:r w:rsidR="003B7A46">
        <w:rPr>
          <w:sz w:val="24"/>
          <w:szCs w:val="24"/>
        </w:rPr>
        <w:t>adoptada en</w:t>
      </w:r>
      <w:r>
        <w:rPr>
          <w:sz w:val="24"/>
          <w:szCs w:val="24"/>
        </w:rPr>
        <w:t xml:space="preserve"> la sentencia, pues la Resolución GNR217754 tuvo en cuenta para el reconocimiento de la pensión de vejez la totalidad de tiempos cotizados por el interesado durante su vida laboral, circunstancia que creó confusión y que dio como resultado que el Tribunal solo contabilizara un poco más de 11 años al servicio público, lo cual no permitió tener por acreditado el requisito de 20 años aportados previsto en la Ley 33 de 1985. Por lo expuesto, estimó el tutelante: </w:t>
      </w:r>
    </w:p>
    <w:p w14:paraId="0AB5461A" w14:textId="674F0A37" w:rsidR="00334923" w:rsidRDefault="00334923" w:rsidP="00945E2C">
      <w:pPr>
        <w:overflowPunct w:val="0"/>
        <w:autoSpaceDE w:val="0"/>
        <w:autoSpaceDN w:val="0"/>
        <w:adjustRightInd w:val="0"/>
        <w:contextualSpacing/>
        <w:rPr>
          <w:sz w:val="24"/>
          <w:szCs w:val="24"/>
        </w:rPr>
      </w:pPr>
    </w:p>
    <w:p w14:paraId="5E47D7B7" w14:textId="39865B50" w:rsidR="00334923" w:rsidRPr="00D41C63" w:rsidRDefault="00334923" w:rsidP="00D41C63">
      <w:pPr>
        <w:overflowPunct w:val="0"/>
        <w:autoSpaceDE w:val="0"/>
        <w:autoSpaceDN w:val="0"/>
        <w:adjustRightInd w:val="0"/>
        <w:ind w:left="706"/>
        <w:contextualSpacing/>
        <w:rPr>
          <w:sz w:val="22"/>
          <w:szCs w:val="22"/>
        </w:rPr>
      </w:pPr>
      <w:r w:rsidRPr="00D41C63">
        <w:rPr>
          <w:sz w:val="22"/>
          <w:szCs w:val="22"/>
        </w:rPr>
        <w:t>“</w:t>
      </w:r>
      <w:r w:rsidR="00D41C63" w:rsidRPr="00D41C63">
        <w:rPr>
          <w:sz w:val="22"/>
          <w:szCs w:val="22"/>
        </w:rPr>
        <w:t>Todo lo anterior patenta la incidencia en el fallo que tuvo de la prueba oficio 2022_6948814 del 6 de junio de 2022 y oficio BZ 2021_10337337 de 10 de septiembre de 202136 (Exp. P. NYRD37), al tiempo que devela la información errada contenida en la prueba que resulta conveniente para la demanda que desorienta al juez colegiado contrariando por completo el único fin que persigue la prueba del artículo 213 del CPACA, cual era, esclarecer aspectos oscuros al magistrado sustanciador”.</w:t>
      </w:r>
    </w:p>
    <w:p w14:paraId="2C6EE6BD" w14:textId="3596BB53" w:rsidR="009A75CB" w:rsidRDefault="009A75CB" w:rsidP="00945E2C">
      <w:pPr>
        <w:overflowPunct w:val="0"/>
        <w:autoSpaceDE w:val="0"/>
        <w:autoSpaceDN w:val="0"/>
        <w:adjustRightInd w:val="0"/>
        <w:contextualSpacing/>
        <w:rPr>
          <w:sz w:val="24"/>
          <w:szCs w:val="24"/>
        </w:rPr>
      </w:pPr>
    </w:p>
    <w:p w14:paraId="586576EC" w14:textId="289867CF" w:rsidR="006B2681" w:rsidRDefault="009A75CB" w:rsidP="00945E2C">
      <w:pPr>
        <w:overflowPunct w:val="0"/>
        <w:autoSpaceDE w:val="0"/>
        <w:autoSpaceDN w:val="0"/>
        <w:adjustRightInd w:val="0"/>
        <w:contextualSpacing/>
        <w:rPr>
          <w:sz w:val="24"/>
          <w:szCs w:val="24"/>
        </w:rPr>
      </w:pPr>
      <w:r>
        <w:rPr>
          <w:sz w:val="24"/>
          <w:szCs w:val="24"/>
        </w:rPr>
        <w:t>1.4.</w:t>
      </w:r>
      <w:r w:rsidR="00684DBC">
        <w:rPr>
          <w:sz w:val="24"/>
          <w:szCs w:val="24"/>
        </w:rPr>
        <w:t>3</w:t>
      </w:r>
      <w:r>
        <w:rPr>
          <w:sz w:val="24"/>
          <w:szCs w:val="24"/>
        </w:rPr>
        <w:t xml:space="preserve">. </w:t>
      </w:r>
      <w:r w:rsidR="004A0DC1">
        <w:rPr>
          <w:sz w:val="24"/>
          <w:szCs w:val="24"/>
        </w:rPr>
        <w:t xml:space="preserve">Afirmó el tutelante que </w:t>
      </w:r>
      <w:r w:rsidR="00D41C63">
        <w:rPr>
          <w:sz w:val="24"/>
          <w:szCs w:val="24"/>
        </w:rPr>
        <w:t>la autoridad judicial accionada incurrió en un defecto fáctico por</w:t>
      </w:r>
      <w:r w:rsidR="006B2681">
        <w:rPr>
          <w:sz w:val="24"/>
          <w:szCs w:val="24"/>
        </w:rPr>
        <w:t>que</w:t>
      </w:r>
      <w:r w:rsidR="00D41C63">
        <w:rPr>
          <w:sz w:val="24"/>
          <w:szCs w:val="24"/>
        </w:rPr>
        <w:t xml:space="preserve"> </w:t>
      </w:r>
      <w:r w:rsidR="006B2681">
        <w:rPr>
          <w:sz w:val="24"/>
          <w:szCs w:val="24"/>
        </w:rPr>
        <w:t>valoró</w:t>
      </w:r>
      <w:r w:rsidR="00D41C63">
        <w:rPr>
          <w:sz w:val="24"/>
          <w:szCs w:val="24"/>
        </w:rPr>
        <w:t xml:space="preserve"> </w:t>
      </w:r>
      <w:r w:rsidR="006B2681">
        <w:rPr>
          <w:sz w:val="24"/>
          <w:szCs w:val="24"/>
        </w:rPr>
        <w:t>irracionalmente</w:t>
      </w:r>
      <w:r w:rsidR="00D41C63">
        <w:rPr>
          <w:sz w:val="24"/>
          <w:szCs w:val="24"/>
        </w:rPr>
        <w:t xml:space="preserve"> los certificados de información laboral del Departamento y la Universidad del Atlántico, de Corelca, de la Electrificadora y del DAS, y de las Resoluciones demandadas, en la medida en que est</w:t>
      </w:r>
      <w:r w:rsidR="008C28C2">
        <w:rPr>
          <w:sz w:val="24"/>
          <w:szCs w:val="24"/>
        </w:rPr>
        <w:t>o</w:t>
      </w:r>
      <w:r w:rsidR="00D41C63">
        <w:rPr>
          <w:sz w:val="24"/>
          <w:szCs w:val="24"/>
        </w:rPr>
        <w:t xml:space="preserve">s demostraron que el actor cotizó para pensión como empleado público, durante más de 20 años, y </w:t>
      </w:r>
      <w:r w:rsidR="008C28C2">
        <w:rPr>
          <w:sz w:val="24"/>
          <w:szCs w:val="24"/>
        </w:rPr>
        <w:t xml:space="preserve">de </w:t>
      </w:r>
      <w:r w:rsidR="00D41C63">
        <w:rPr>
          <w:sz w:val="24"/>
          <w:szCs w:val="24"/>
        </w:rPr>
        <w:t>manera exclusiva</w:t>
      </w:r>
      <w:r w:rsidR="006B2681">
        <w:rPr>
          <w:sz w:val="24"/>
          <w:szCs w:val="24"/>
        </w:rPr>
        <w:t>,</w:t>
      </w:r>
      <w:r w:rsidR="00D41C63">
        <w:rPr>
          <w:sz w:val="24"/>
          <w:szCs w:val="24"/>
        </w:rPr>
        <w:t xml:space="preserve"> como particular, más de 1000 semanas. </w:t>
      </w:r>
    </w:p>
    <w:p w14:paraId="0055DA86" w14:textId="77777777" w:rsidR="006B2681" w:rsidRDefault="006B2681" w:rsidP="00945E2C">
      <w:pPr>
        <w:overflowPunct w:val="0"/>
        <w:autoSpaceDE w:val="0"/>
        <w:autoSpaceDN w:val="0"/>
        <w:adjustRightInd w:val="0"/>
        <w:contextualSpacing/>
        <w:rPr>
          <w:sz w:val="24"/>
          <w:szCs w:val="24"/>
        </w:rPr>
      </w:pPr>
    </w:p>
    <w:p w14:paraId="729D30BF" w14:textId="477E24B5" w:rsidR="009A75CB" w:rsidRDefault="00D41C63" w:rsidP="00945E2C">
      <w:pPr>
        <w:overflowPunct w:val="0"/>
        <w:autoSpaceDE w:val="0"/>
        <w:autoSpaceDN w:val="0"/>
        <w:adjustRightInd w:val="0"/>
        <w:contextualSpacing/>
        <w:rPr>
          <w:sz w:val="24"/>
          <w:szCs w:val="24"/>
        </w:rPr>
      </w:pPr>
      <w:r>
        <w:rPr>
          <w:sz w:val="24"/>
          <w:szCs w:val="24"/>
        </w:rPr>
        <w:t>Además,</w:t>
      </w:r>
      <w:r w:rsidR="006B2681">
        <w:rPr>
          <w:sz w:val="24"/>
          <w:szCs w:val="24"/>
        </w:rPr>
        <w:t xml:space="preserve"> porque el tribunal</w:t>
      </w:r>
      <w:r>
        <w:rPr>
          <w:sz w:val="24"/>
          <w:szCs w:val="24"/>
        </w:rPr>
        <w:t xml:space="preserve"> </w:t>
      </w:r>
      <w:r w:rsidR="006B2681">
        <w:rPr>
          <w:sz w:val="24"/>
          <w:szCs w:val="24"/>
        </w:rPr>
        <w:t>desconoció que el reconocimiento de la prestación de vejez otorgada tuvo en cuenta todo el tiempo cotizado por el interesado durante su vida laboral, sin perjuicio de que para</w:t>
      </w:r>
      <w:r w:rsidR="00802003">
        <w:rPr>
          <w:sz w:val="24"/>
          <w:szCs w:val="24"/>
        </w:rPr>
        <w:t xml:space="preserve"> el</w:t>
      </w:r>
      <w:r w:rsidR="006B2681">
        <w:rPr>
          <w:sz w:val="24"/>
          <w:szCs w:val="24"/>
        </w:rPr>
        <w:t xml:space="preserve"> régimen de Ley 33 de 1985 no aplique</w:t>
      </w:r>
      <w:r w:rsidR="00802003">
        <w:rPr>
          <w:sz w:val="24"/>
          <w:szCs w:val="24"/>
        </w:rPr>
        <w:t>n</w:t>
      </w:r>
      <w:r w:rsidR="006B2681">
        <w:rPr>
          <w:sz w:val="24"/>
          <w:szCs w:val="24"/>
        </w:rPr>
        <w:t xml:space="preserve"> los tiempos cotizados como particular, y que en el régimen del Decreto 758 de 1990 no </w:t>
      </w:r>
      <w:r w:rsidR="00802003">
        <w:rPr>
          <w:sz w:val="24"/>
          <w:szCs w:val="24"/>
        </w:rPr>
        <w:t>apliquen tiempos públicos. En ese orden, la accionada se contradijo, pues aunque reconoció que fueron laborados ante entidades públicas mas de 20 años, luego concluy</w:t>
      </w:r>
      <w:r w:rsidR="008C28C2">
        <w:rPr>
          <w:sz w:val="24"/>
          <w:szCs w:val="24"/>
        </w:rPr>
        <w:t>ó</w:t>
      </w:r>
      <w:r w:rsidR="00802003">
        <w:rPr>
          <w:sz w:val="24"/>
          <w:szCs w:val="24"/>
        </w:rPr>
        <w:t xml:space="preserve"> que solo se probó 13 años de aportes. </w:t>
      </w:r>
    </w:p>
    <w:p w14:paraId="0747A660" w14:textId="62C65E21" w:rsidR="00802003" w:rsidRDefault="00802003" w:rsidP="00945E2C">
      <w:pPr>
        <w:overflowPunct w:val="0"/>
        <w:autoSpaceDE w:val="0"/>
        <w:autoSpaceDN w:val="0"/>
        <w:adjustRightInd w:val="0"/>
        <w:contextualSpacing/>
        <w:rPr>
          <w:sz w:val="24"/>
          <w:szCs w:val="24"/>
        </w:rPr>
      </w:pPr>
    </w:p>
    <w:p w14:paraId="6F160D19" w14:textId="76B5CC01" w:rsidR="00802003" w:rsidRDefault="00802003" w:rsidP="00945E2C">
      <w:pPr>
        <w:overflowPunct w:val="0"/>
        <w:autoSpaceDE w:val="0"/>
        <w:autoSpaceDN w:val="0"/>
        <w:adjustRightInd w:val="0"/>
        <w:contextualSpacing/>
        <w:rPr>
          <w:bCs/>
          <w:sz w:val="24"/>
          <w:szCs w:val="24"/>
        </w:rPr>
      </w:pPr>
      <w:r>
        <w:rPr>
          <w:sz w:val="24"/>
          <w:szCs w:val="24"/>
        </w:rPr>
        <w:t>La valoración realizada por el Tribunal,</w:t>
      </w:r>
      <w:r w:rsidR="003B7A46">
        <w:rPr>
          <w:sz w:val="24"/>
          <w:szCs w:val="24"/>
        </w:rPr>
        <w:t xml:space="preserve"> habría tenido, así, como </w:t>
      </w:r>
      <w:r>
        <w:rPr>
          <w:sz w:val="24"/>
          <w:szCs w:val="24"/>
        </w:rPr>
        <w:t xml:space="preserve">consecuencia la negación del derecho </w:t>
      </w:r>
      <w:r w:rsidR="003B7A46">
        <w:rPr>
          <w:sz w:val="24"/>
          <w:szCs w:val="24"/>
        </w:rPr>
        <w:t>d</w:t>
      </w:r>
      <w:r>
        <w:rPr>
          <w:sz w:val="24"/>
          <w:szCs w:val="24"/>
        </w:rPr>
        <w:t>e</w:t>
      </w:r>
      <w:r w:rsidR="003B7A46">
        <w:rPr>
          <w:sz w:val="24"/>
          <w:szCs w:val="24"/>
        </w:rPr>
        <w:t xml:space="preserve"> acceso a una pensión de jubilación por parte del señor Aragón Archila</w:t>
      </w:r>
      <w:r>
        <w:rPr>
          <w:bCs/>
          <w:sz w:val="24"/>
          <w:szCs w:val="24"/>
        </w:rPr>
        <w:t xml:space="preserve">, conforme a la Ley 33 de 1985, por tiempos servidos al Estado, y a una pensión de vejez, de acuerdo con el Decreto 758 de 1990, por el tiempo laborado como particular y cotizado en tiempos de manera exclusiva en tal condición. </w:t>
      </w:r>
      <w:r w:rsidR="00684DBC">
        <w:rPr>
          <w:bCs/>
          <w:sz w:val="24"/>
          <w:szCs w:val="24"/>
        </w:rPr>
        <w:t xml:space="preserve">Por tal razón: </w:t>
      </w:r>
    </w:p>
    <w:p w14:paraId="1F9DF898" w14:textId="0A56A85A" w:rsidR="00684DBC" w:rsidRDefault="00684DBC" w:rsidP="00945E2C">
      <w:pPr>
        <w:overflowPunct w:val="0"/>
        <w:autoSpaceDE w:val="0"/>
        <w:autoSpaceDN w:val="0"/>
        <w:adjustRightInd w:val="0"/>
        <w:contextualSpacing/>
        <w:rPr>
          <w:bCs/>
          <w:sz w:val="24"/>
          <w:szCs w:val="24"/>
        </w:rPr>
      </w:pPr>
    </w:p>
    <w:p w14:paraId="398542F6" w14:textId="3129795F" w:rsidR="00684DBC" w:rsidRPr="00684DBC" w:rsidRDefault="00684DBC" w:rsidP="00684DBC">
      <w:pPr>
        <w:overflowPunct w:val="0"/>
        <w:autoSpaceDE w:val="0"/>
        <w:autoSpaceDN w:val="0"/>
        <w:adjustRightInd w:val="0"/>
        <w:ind w:left="706"/>
        <w:contextualSpacing/>
        <w:rPr>
          <w:bCs/>
          <w:sz w:val="22"/>
          <w:szCs w:val="22"/>
        </w:rPr>
      </w:pPr>
      <w:r w:rsidRPr="00684DBC">
        <w:rPr>
          <w:bCs/>
          <w:sz w:val="22"/>
          <w:szCs w:val="22"/>
        </w:rPr>
        <w:t>“De no presentarse el desacierto sustentado en este cargo que llevó a concluir que el actor “no demostró haber prestado los 20 años de que exige la legislación en comento”, el juzgador, hubiera pasado al examen de la compatibilidad pensional que se extraña en el fallo acusado, pues es este el eje de litis y la materia principal que concita la alzada”.</w:t>
      </w:r>
    </w:p>
    <w:p w14:paraId="001F9ED2" w14:textId="581C7F08" w:rsidR="00802003" w:rsidRDefault="00802003" w:rsidP="00945E2C">
      <w:pPr>
        <w:overflowPunct w:val="0"/>
        <w:autoSpaceDE w:val="0"/>
        <w:autoSpaceDN w:val="0"/>
        <w:adjustRightInd w:val="0"/>
        <w:contextualSpacing/>
        <w:rPr>
          <w:bCs/>
          <w:sz w:val="24"/>
          <w:szCs w:val="24"/>
        </w:rPr>
      </w:pPr>
    </w:p>
    <w:p w14:paraId="7EBDCFE2" w14:textId="0973B19F" w:rsidR="00BF29D4" w:rsidRDefault="00684DBC" w:rsidP="00945E2C">
      <w:pPr>
        <w:overflowPunct w:val="0"/>
        <w:autoSpaceDE w:val="0"/>
        <w:autoSpaceDN w:val="0"/>
        <w:adjustRightInd w:val="0"/>
        <w:contextualSpacing/>
        <w:rPr>
          <w:rFonts w:eastAsia="Times New Roman"/>
          <w:sz w:val="24"/>
          <w:szCs w:val="24"/>
          <w:lang w:eastAsia="es-ES"/>
        </w:rPr>
      </w:pPr>
      <w:r>
        <w:rPr>
          <w:rFonts w:eastAsia="Times New Roman"/>
          <w:sz w:val="24"/>
          <w:szCs w:val="24"/>
          <w:lang w:eastAsia="es-ES"/>
        </w:rPr>
        <w:lastRenderedPageBreak/>
        <w:t xml:space="preserve">1.4.4. Finalmente, </w:t>
      </w:r>
      <w:r w:rsidR="003B7A46">
        <w:rPr>
          <w:rFonts w:eastAsia="Times New Roman"/>
          <w:sz w:val="24"/>
          <w:szCs w:val="24"/>
          <w:lang w:eastAsia="es-ES"/>
        </w:rPr>
        <w:t xml:space="preserve">señala el accionante que </w:t>
      </w:r>
      <w:r>
        <w:rPr>
          <w:rFonts w:eastAsia="Times New Roman"/>
          <w:sz w:val="24"/>
          <w:szCs w:val="24"/>
          <w:lang w:eastAsia="es-ES"/>
        </w:rPr>
        <w:t>el Tribunal Administrativo del Atlántico incurrió en un defecto sustantivo, en la medida en que otorgó efectos distintos a los artículos 1 de la Ley 33 de 1985 y 81 del Decreto 3063 de 1989,</w:t>
      </w:r>
      <w:r w:rsidR="003B7A46">
        <w:rPr>
          <w:rFonts w:eastAsia="Times New Roman"/>
          <w:sz w:val="24"/>
          <w:szCs w:val="24"/>
          <w:lang w:eastAsia="es-ES"/>
        </w:rPr>
        <w:t xml:space="preserve"> artículos que fueran determinantes </w:t>
      </w:r>
      <w:r w:rsidR="00BF29D4">
        <w:rPr>
          <w:rFonts w:eastAsia="Times New Roman"/>
          <w:sz w:val="24"/>
          <w:szCs w:val="24"/>
          <w:lang w:eastAsia="es-ES"/>
        </w:rPr>
        <w:t>para que anulara más de 9 años cotizados en el sector público y pasar</w:t>
      </w:r>
      <w:r w:rsidR="003B7A46">
        <w:rPr>
          <w:rFonts w:eastAsia="Times New Roman"/>
          <w:sz w:val="24"/>
          <w:szCs w:val="24"/>
          <w:lang w:eastAsia="es-ES"/>
        </w:rPr>
        <w:t>a</w:t>
      </w:r>
      <w:r w:rsidR="00BF29D4">
        <w:rPr>
          <w:rFonts w:eastAsia="Times New Roman"/>
          <w:sz w:val="24"/>
          <w:szCs w:val="24"/>
          <w:lang w:eastAsia="es-ES"/>
        </w:rPr>
        <w:t xml:space="preserve"> de 22 a 13 años probados en tal condición, bajo la noción de “depuración de tiempos”.</w:t>
      </w:r>
      <w:r w:rsidR="003B7A46">
        <w:rPr>
          <w:rFonts w:eastAsia="Times New Roman"/>
          <w:sz w:val="24"/>
          <w:szCs w:val="24"/>
          <w:lang w:eastAsia="es-ES"/>
        </w:rPr>
        <w:t xml:space="preserve"> Argumenta que l</w:t>
      </w:r>
      <w:r w:rsidR="00BF29D4">
        <w:rPr>
          <w:rFonts w:eastAsia="Times New Roman"/>
          <w:sz w:val="24"/>
          <w:szCs w:val="24"/>
          <w:lang w:eastAsia="es-ES"/>
        </w:rPr>
        <w:t>as mencionadas normas no prevén que puedan ser invalidad</w:t>
      </w:r>
      <w:r w:rsidR="003B7A46">
        <w:rPr>
          <w:rFonts w:eastAsia="Times New Roman"/>
          <w:sz w:val="24"/>
          <w:szCs w:val="24"/>
          <w:lang w:eastAsia="es-ES"/>
        </w:rPr>
        <w:t>a</w:t>
      </w:r>
      <w:r w:rsidR="00BF29D4">
        <w:rPr>
          <w:rFonts w:eastAsia="Times New Roman"/>
          <w:sz w:val="24"/>
          <w:szCs w:val="24"/>
          <w:lang w:eastAsia="es-ES"/>
        </w:rPr>
        <w:t>s cotizaciones en el sector público, en razón a que, de manera simultánea, fueran aportadas semanas en el sector privado, ya que lo indicado es que estas últimas sumen al IBL, es decir que, no pueden ser tenidas en cuenta para definir el derecho pensional en ambos regímenes.</w:t>
      </w:r>
    </w:p>
    <w:p w14:paraId="0671E923" w14:textId="77777777" w:rsidR="00BF29D4" w:rsidRDefault="00BF29D4" w:rsidP="00945E2C">
      <w:pPr>
        <w:overflowPunct w:val="0"/>
        <w:autoSpaceDE w:val="0"/>
        <w:autoSpaceDN w:val="0"/>
        <w:adjustRightInd w:val="0"/>
        <w:contextualSpacing/>
        <w:rPr>
          <w:rFonts w:eastAsia="Times New Roman"/>
          <w:sz w:val="24"/>
          <w:szCs w:val="24"/>
          <w:lang w:eastAsia="es-ES"/>
        </w:rPr>
      </w:pPr>
    </w:p>
    <w:p w14:paraId="35747084" w14:textId="77777777" w:rsidR="00BF29D4" w:rsidRDefault="00BF29D4" w:rsidP="00945E2C">
      <w:pPr>
        <w:overflowPunct w:val="0"/>
        <w:autoSpaceDE w:val="0"/>
        <w:autoSpaceDN w:val="0"/>
        <w:adjustRightInd w:val="0"/>
        <w:contextualSpacing/>
        <w:rPr>
          <w:rFonts w:eastAsia="Times New Roman"/>
          <w:sz w:val="24"/>
          <w:szCs w:val="24"/>
          <w:lang w:eastAsia="es-ES"/>
        </w:rPr>
      </w:pPr>
      <w:r>
        <w:rPr>
          <w:rFonts w:eastAsia="Times New Roman"/>
          <w:sz w:val="24"/>
          <w:szCs w:val="24"/>
          <w:lang w:eastAsia="es-ES"/>
        </w:rPr>
        <w:t xml:space="preserve">Por las razones expuestas, el accionante afirmó: </w:t>
      </w:r>
    </w:p>
    <w:p w14:paraId="499AF1DD" w14:textId="77777777" w:rsidR="00BF29D4" w:rsidRDefault="00BF29D4" w:rsidP="00945E2C">
      <w:pPr>
        <w:overflowPunct w:val="0"/>
        <w:autoSpaceDE w:val="0"/>
        <w:autoSpaceDN w:val="0"/>
        <w:adjustRightInd w:val="0"/>
        <w:contextualSpacing/>
        <w:rPr>
          <w:rFonts w:eastAsia="Times New Roman"/>
          <w:sz w:val="24"/>
          <w:szCs w:val="24"/>
          <w:lang w:eastAsia="es-ES"/>
        </w:rPr>
      </w:pPr>
    </w:p>
    <w:p w14:paraId="00B6B2DA" w14:textId="0058021B" w:rsidR="00BF29D4" w:rsidRPr="00176052" w:rsidRDefault="00176052" w:rsidP="00176052">
      <w:pPr>
        <w:overflowPunct w:val="0"/>
        <w:autoSpaceDE w:val="0"/>
        <w:autoSpaceDN w:val="0"/>
        <w:adjustRightInd w:val="0"/>
        <w:ind w:left="706"/>
        <w:contextualSpacing/>
        <w:rPr>
          <w:rFonts w:eastAsia="Times New Roman"/>
          <w:sz w:val="22"/>
          <w:szCs w:val="22"/>
          <w:lang w:eastAsia="es-ES"/>
        </w:rPr>
      </w:pPr>
      <w:r w:rsidRPr="00176052">
        <w:rPr>
          <w:rFonts w:eastAsia="Times New Roman"/>
          <w:sz w:val="22"/>
          <w:szCs w:val="22"/>
          <w:lang w:eastAsia="es-ES"/>
        </w:rPr>
        <w:t xml:space="preserve">“Acotado lo anterior, constatado como ya está que el actor cuenta con más de 20 años de servicio público y tiene pleno derecho a la pensión de ley 33 de 198559, </w:t>
      </w:r>
      <w:r w:rsidRPr="00176052">
        <w:rPr>
          <w:rFonts w:eastAsia="Times New Roman"/>
          <w:b/>
          <w:bCs/>
          <w:sz w:val="22"/>
          <w:szCs w:val="22"/>
          <w:lang w:eastAsia="es-ES"/>
        </w:rPr>
        <w:t xml:space="preserve">deben extraerse los tiempos privados60 QUE RIGUROSAMENTE NO CONCURRAN CON LOS TIEMPOS PÚBLICOS </w:t>
      </w:r>
      <w:r w:rsidRPr="00176052">
        <w:rPr>
          <w:rFonts w:eastAsia="Times New Roman"/>
          <w:sz w:val="22"/>
          <w:szCs w:val="22"/>
          <w:lang w:eastAsia="es-ES"/>
        </w:rPr>
        <w:t xml:space="preserve">- sin que esto implique DEPURAR a modo de anulación, ni los unos ni los otros - a efectos de establecer bajo esta égida </w:t>
      </w:r>
      <w:r w:rsidRPr="00176052">
        <w:rPr>
          <w:rFonts w:eastAsia="Times New Roman"/>
          <w:b/>
          <w:bCs/>
          <w:sz w:val="22"/>
          <w:szCs w:val="22"/>
          <w:lang w:eastAsia="es-ES"/>
        </w:rPr>
        <w:t xml:space="preserve">si se obtiene el cumplimiento de requisitos para acceder a la pensión de vejez </w:t>
      </w:r>
      <w:r w:rsidRPr="00176052">
        <w:rPr>
          <w:rFonts w:eastAsia="Times New Roman"/>
          <w:sz w:val="22"/>
          <w:szCs w:val="22"/>
          <w:lang w:eastAsia="es-ES"/>
        </w:rPr>
        <w:t xml:space="preserve">previsto en el decreto 758 de 1990, </w:t>
      </w:r>
      <w:r w:rsidRPr="00176052">
        <w:rPr>
          <w:rFonts w:eastAsia="Times New Roman"/>
          <w:b/>
          <w:bCs/>
          <w:sz w:val="22"/>
          <w:szCs w:val="22"/>
          <w:lang w:eastAsia="es-ES"/>
        </w:rPr>
        <w:t xml:space="preserve">sin allanar cualquier tiempo público </w:t>
      </w:r>
      <w:r w:rsidRPr="00176052">
        <w:rPr>
          <w:rFonts w:eastAsia="Times New Roman"/>
          <w:sz w:val="22"/>
          <w:szCs w:val="22"/>
          <w:lang w:eastAsia="es-ES"/>
        </w:rPr>
        <w:t>que da lugar al derecho de ley 33 de 1985”.</w:t>
      </w:r>
      <w:r w:rsidR="00BF29D4" w:rsidRPr="00176052">
        <w:rPr>
          <w:rFonts w:eastAsia="Times New Roman"/>
          <w:sz w:val="22"/>
          <w:szCs w:val="22"/>
          <w:lang w:eastAsia="es-ES"/>
        </w:rPr>
        <w:t xml:space="preserve"> </w:t>
      </w:r>
    </w:p>
    <w:p w14:paraId="620B40B1" w14:textId="77777777" w:rsidR="00176052" w:rsidRDefault="00176052" w:rsidP="00945E2C">
      <w:pPr>
        <w:overflowPunct w:val="0"/>
        <w:autoSpaceDE w:val="0"/>
        <w:autoSpaceDN w:val="0"/>
        <w:adjustRightInd w:val="0"/>
        <w:contextualSpacing/>
        <w:rPr>
          <w:rFonts w:eastAsia="Times New Roman"/>
          <w:sz w:val="24"/>
          <w:szCs w:val="24"/>
          <w:lang w:eastAsia="es-ES"/>
        </w:rPr>
      </w:pPr>
    </w:p>
    <w:p w14:paraId="2DFF81BF" w14:textId="29028DEB" w:rsidR="00811793" w:rsidRPr="002D7F44" w:rsidRDefault="00811793" w:rsidP="00945E2C">
      <w:pPr>
        <w:overflowPunct w:val="0"/>
        <w:autoSpaceDE w:val="0"/>
        <w:autoSpaceDN w:val="0"/>
        <w:adjustRightInd w:val="0"/>
        <w:contextualSpacing/>
        <w:rPr>
          <w:b/>
          <w:sz w:val="24"/>
          <w:szCs w:val="24"/>
        </w:rPr>
      </w:pPr>
      <w:r w:rsidRPr="002D7F44">
        <w:rPr>
          <w:b/>
          <w:sz w:val="24"/>
          <w:szCs w:val="24"/>
        </w:rPr>
        <w:t xml:space="preserve">1.5. Trámite de tutela e intervenciones </w:t>
      </w:r>
    </w:p>
    <w:p w14:paraId="3E214E6F" w14:textId="77777777" w:rsidR="00811793" w:rsidRPr="002D7F44" w:rsidRDefault="00811793" w:rsidP="00945E2C">
      <w:pPr>
        <w:overflowPunct w:val="0"/>
        <w:autoSpaceDE w:val="0"/>
        <w:autoSpaceDN w:val="0"/>
        <w:adjustRightInd w:val="0"/>
        <w:contextualSpacing/>
        <w:rPr>
          <w:sz w:val="24"/>
          <w:szCs w:val="24"/>
        </w:rPr>
      </w:pPr>
      <w:r w:rsidRPr="002D7F44">
        <w:rPr>
          <w:sz w:val="24"/>
          <w:szCs w:val="24"/>
        </w:rPr>
        <w:t xml:space="preserve"> </w:t>
      </w:r>
    </w:p>
    <w:p w14:paraId="1ECACE32" w14:textId="32CAE196" w:rsidR="005228D3" w:rsidRDefault="00811793" w:rsidP="00945E2C">
      <w:pPr>
        <w:overflowPunct w:val="0"/>
        <w:autoSpaceDE w:val="0"/>
        <w:autoSpaceDN w:val="0"/>
        <w:adjustRightInd w:val="0"/>
        <w:contextualSpacing/>
        <w:rPr>
          <w:sz w:val="24"/>
          <w:szCs w:val="24"/>
        </w:rPr>
      </w:pPr>
      <w:r w:rsidRPr="00F66EF2">
        <w:rPr>
          <w:sz w:val="24"/>
          <w:szCs w:val="24"/>
          <w:lang w:val="es-MX" w:eastAsia="ja-JP"/>
        </w:rPr>
        <w:t>1.5.1.</w:t>
      </w:r>
      <w:r w:rsidRPr="002D7F44">
        <w:rPr>
          <w:sz w:val="24"/>
          <w:szCs w:val="24"/>
          <w:lang w:val="es-MX" w:eastAsia="ja-JP"/>
        </w:rPr>
        <w:t xml:space="preserve"> </w:t>
      </w:r>
      <w:r w:rsidRPr="002D7F44">
        <w:rPr>
          <w:rFonts w:eastAsia="Times New Roman"/>
          <w:bCs/>
          <w:sz w:val="24"/>
          <w:szCs w:val="24"/>
          <w:lang w:eastAsia="es-ES"/>
        </w:rPr>
        <w:t xml:space="preserve">El Despacho del magistrado ponente, con auto del </w:t>
      </w:r>
      <w:r w:rsidR="00176052">
        <w:rPr>
          <w:rFonts w:eastAsia="Times New Roman"/>
          <w:b/>
          <w:bCs/>
          <w:sz w:val="24"/>
          <w:szCs w:val="24"/>
          <w:lang w:eastAsia="es-ES"/>
        </w:rPr>
        <w:t>14</w:t>
      </w:r>
      <w:r w:rsidRPr="002D7F44">
        <w:rPr>
          <w:rFonts w:eastAsia="Times New Roman"/>
          <w:b/>
          <w:bCs/>
          <w:sz w:val="24"/>
          <w:szCs w:val="24"/>
          <w:lang w:eastAsia="es-ES"/>
        </w:rPr>
        <w:t xml:space="preserve"> de </w:t>
      </w:r>
      <w:r w:rsidR="00176052">
        <w:rPr>
          <w:rFonts w:eastAsia="Times New Roman"/>
          <w:b/>
          <w:bCs/>
          <w:sz w:val="24"/>
          <w:szCs w:val="24"/>
          <w:lang w:eastAsia="es-ES"/>
        </w:rPr>
        <w:t>octubre</w:t>
      </w:r>
      <w:r w:rsidR="00C163ED">
        <w:rPr>
          <w:rFonts w:eastAsia="Times New Roman"/>
          <w:b/>
          <w:bCs/>
          <w:sz w:val="24"/>
          <w:szCs w:val="24"/>
          <w:lang w:eastAsia="es-ES"/>
        </w:rPr>
        <w:t xml:space="preserve"> </w:t>
      </w:r>
      <w:r w:rsidRPr="002D7F44">
        <w:rPr>
          <w:rFonts w:eastAsia="Times New Roman"/>
          <w:b/>
          <w:bCs/>
          <w:sz w:val="24"/>
          <w:szCs w:val="24"/>
          <w:lang w:eastAsia="es-ES"/>
        </w:rPr>
        <w:t>de 202</w:t>
      </w:r>
      <w:r w:rsidR="005228D3">
        <w:rPr>
          <w:rFonts w:eastAsia="Times New Roman"/>
          <w:b/>
          <w:bCs/>
          <w:sz w:val="24"/>
          <w:szCs w:val="24"/>
          <w:lang w:eastAsia="es-ES"/>
        </w:rPr>
        <w:t>2</w:t>
      </w:r>
      <w:r w:rsidR="00847890" w:rsidRPr="002D7F44">
        <w:rPr>
          <w:rStyle w:val="Refdenotaalpie"/>
          <w:rFonts w:eastAsia="Times New Roman"/>
          <w:bCs/>
          <w:sz w:val="24"/>
          <w:szCs w:val="24"/>
          <w:lang w:eastAsia="es-ES"/>
        </w:rPr>
        <w:footnoteReference w:id="17"/>
      </w:r>
      <w:r w:rsidRPr="002D7F44">
        <w:rPr>
          <w:rFonts w:eastAsia="Times New Roman"/>
          <w:bCs/>
          <w:sz w:val="24"/>
          <w:szCs w:val="24"/>
          <w:lang w:eastAsia="es-ES"/>
        </w:rPr>
        <w:t xml:space="preserve">, admitió la acción; </w:t>
      </w:r>
      <w:r w:rsidR="00A57A00">
        <w:rPr>
          <w:rFonts w:eastAsia="Times New Roman"/>
          <w:bCs/>
          <w:sz w:val="24"/>
          <w:szCs w:val="24"/>
          <w:lang w:eastAsia="es-ES"/>
        </w:rPr>
        <w:t xml:space="preserve">vinculó </w:t>
      </w:r>
      <w:r w:rsidR="001A1BD3">
        <w:rPr>
          <w:sz w:val="24"/>
          <w:szCs w:val="24"/>
        </w:rPr>
        <w:t>como tercero</w:t>
      </w:r>
      <w:r w:rsidR="00176052">
        <w:rPr>
          <w:sz w:val="24"/>
          <w:szCs w:val="24"/>
        </w:rPr>
        <w:t>s</w:t>
      </w:r>
      <w:r w:rsidR="001A1BD3">
        <w:rPr>
          <w:sz w:val="24"/>
          <w:szCs w:val="24"/>
        </w:rPr>
        <w:t xml:space="preserve"> interesados </w:t>
      </w:r>
      <w:r w:rsidR="00022035">
        <w:rPr>
          <w:sz w:val="24"/>
          <w:szCs w:val="24"/>
        </w:rPr>
        <w:t>a</w:t>
      </w:r>
      <w:r w:rsidR="00176052">
        <w:rPr>
          <w:sz w:val="24"/>
          <w:szCs w:val="24"/>
        </w:rPr>
        <w:t xml:space="preserve"> Colpensiones y al Juzgado Tercero Administrativo de Barranquilla</w:t>
      </w:r>
      <w:r w:rsidR="005228D3">
        <w:rPr>
          <w:sz w:val="24"/>
          <w:szCs w:val="24"/>
        </w:rPr>
        <w:t>;</w:t>
      </w:r>
      <w:r w:rsidR="00C163ED">
        <w:rPr>
          <w:sz w:val="24"/>
          <w:szCs w:val="24"/>
        </w:rPr>
        <w:t xml:space="preserve"> ordenó notificar a los sujetos procesales</w:t>
      </w:r>
      <w:r w:rsidR="005228D3">
        <w:rPr>
          <w:sz w:val="24"/>
          <w:szCs w:val="24"/>
        </w:rPr>
        <w:t xml:space="preserve"> y suspendió </w:t>
      </w:r>
      <w:r w:rsidR="00914F6F">
        <w:rPr>
          <w:sz w:val="24"/>
          <w:szCs w:val="24"/>
        </w:rPr>
        <w:t xml:space="preserve">los términos del trámite constitucional. </w:t>
      </w:r>
    </w:p>
    <w:p w14:paraId="65550DC8" w14:textId="77777777" w:rsidR="00914F6F" w:rsidRDefault="00914F6F" w:rsidP="00945E2C">
      <w:pPr>
        <w:overflowPunct w:val="0"/>
        <w:autoSpaceDE w:val="0"/>
        <w:autoSpaceDN w:val="0"/>
        <w:adjustRightInd w:val="0"/>
        <w:contextualSpacing/>
        <w:rPr>
          <w:sz w:val="24"/>
          <w:szCs w:val="24"/>
        </w:rPr>
      </w:pPr>
    </w:p>
    <w:p w14:paraId="0D570D34" w14:textId="23F84654" w:rsidR="00B656CF" w:rsidRDefault="00811793" w:rsidP="00945E2C">
      <w:pPr>
        <w:autoSpaceDE w:val="0"/>
        <w:autoSpaceDN w:val="0"/>
        <w:adjustRightInd w:val="0"/>
        <w:rPr>
          <w:sz w:val="24"/>
          <w:szCs w:val="24"/>
        </w:rPr>
      </w:pPr>
      <w:r w:rsidRPr="00F66EF2">
        <w:rPr>
          <w:sz w:val="24"/>
          <w:szCs w:val="24"/>
          <w:lang w:val="es-MX" w:eastAsia="ja-JP"/>
        </w:rPr>
        <w:t>1.5.2.</w:t>
      </w:r>
      <w:r w:rsidRPr="002D7F44">
        <w:rPr>
          <w:sz w:val="24"/>
          <w:szCs w:val="24"/>
        </w:rPr>
        <w:t xml:space="preserve"> </w:t>
      </w:r>
      <w:r w:rsidR="00B656CF" w:rsidRPr="00B656CF">
        <w:rPr>
          <w:b/>
          <w:bCs/>
          <w:sz w:val="24"/>
          <w:szCs w:val="24"/>
        </w:rPr>
        <w:t>Colpensiones</w:t>
      </w:r>
      <w:r w:rsidR="00475EC1">
        <w:rPr>
          <w:sz w:val="24"/>
          <w:szCs w:val="24"/>
        </w:rPr>
        <w:t xml:space="preserve"> manifestó que </w:t>
      </w:r>
      <w:r w:rsidR="00B656CF">
        <w:rPr>
          <w:sz w:val="24"/>
          <w:szCs w:val="24"/>
        </w:rPr>
        <w:t>no tenía competencia para atender las pretensiones de la acción de tutela, sintetizó las actuaciones surtidas en el expediente administrativo pensional del accionante y el de nulidad y restablecimiento del derecho, y afirmó que el Tribunal Administrativo del Atlántico aplicó las normas vigentes en la materia en discusión. Asimismo, expuso que este mecanismo constitucional no es una tercera instancia, que no existió vulneración de derechos fundamentales y que no tiene legitimación en la causa por pasiva. Pidió declarar improcedente la solicitud de amparo</w:t>
      </w:r>
      <w:r w:rsidR="00B656CF" w:rsidRPr="002D7F44">
        <w:rPr>
          <w:rStyle w:val="Refdenotaalpie"/>
          <w:rFonts w:eastAsia="Times New Roman"/>
          <w:bCs/>
          <w:sz w:val="24"/>
          <w:szCs w:val="24"/>
          <w:lang w:eastAsia="es-ES"/>
        </w:rPr>
        <w:footnoteReference w:id="18"/>
      </w:r>
      <w:r w:rsidR="00B656CF">
        <w:rPr>
          <w:sz w:val="24"/>
          <w:szCs w:val="24"/>
        </w:rPr>
        <w:t xml:space="preserve">. </w:t>
      </w:r>
    </w:p>
    <w:p w14:paraId="78ED622B" w14:textId="45DBF9EA" w:rsidR="00B656CF" w:rsidRDefault="00B656CF" w:rsidP="00945E2C">
      <w:pPr>
        <w:autoSpaceDE w:val="0"/>
        <w:autoSpaceDN w:val="0"/>
        <w:adjustRightInd w:val="0"/>
        <w:rPr>
          <w:sz w:val="24"/>
          <w:szCs w:val="24"/>
        </w:rPr>
      </w:pPr>
    </w:p>
    <w:p w14:paraId="5F51658A" w14:textId="38707131" w:rsidR="00B656CF" w:rsidRDefault="00475EC1" w:rsidP="00945E2C">
      <w:pPr>
        <w:autoSpaceDE w:val="0"/>
        <w:autoSpaceDN w:val="0"/>
        <w:adjustRightInd w:val="0"/>
        <w:rPr>
          <w:sz w:val="24"/>
          <w:szCs w:val="24"/>
        </w:rPr>
      </w:pPr>
      <w:r>
        <w:rPr>
          <w:sz w:val="24"/>
          <w:szCs w:val="24"/>
        </w:rPr>
        <w:t xml:space="preserve">1.5.3. </w:t>
      </w:r>
      <w:r w:rsidR="00B656CF">
        <w:rPr>
          <w:sz w:val="24"/>
          <w:szCs w:val="24"/>
        </w:rPr>
        <w:t xml:space="preserve">El </w:t>
      </w:r>
      <w:r w:rsidR="00B656CF">
        <w:rPr>
          <w:b/>
          <w:bCs/>
          <w:sz w:val="24"/>
          <w:szCs w:val="24"/>
        </w:rPr>
        <w:t xml:space="preserve">Juzgado Tercero Administrativo de Barranquilla </w:t>
      </w:r>
      <w:r>
        <w:rPr>
          <w:sz w:val="24"/>
          <w:szCs w:val="24"/>
        </w:rPr>
        <w:t>contestó que</w:t>
      </w:r>
      <w:r w:rsidR="00BB0EF2">
        <w:rPr>
          <w:sz w:val="24"/>
          <w:szCs w:val="24"/>
        </w:rPr>
        <w:t xml:space="preserve"> la tutela fue interpuesta para agotar una tercera instancia adicional a las surtidas en el proceso ordinario, por lo que pidió que se declarara que ese despacho judicial no quebrantó garantías constitucionales</w:t>
      </w:r>
      <w:r w:rsidR="00BB0EF2" w:rsidRPr="002D7F44">
        <w:rPr>
          <w:rStyle w:val="Refdenotaalpie"/>
          <w:rFonts w:eastAsia="Times New Roman"/>
          <w:bCs/>
          <w:sz w:val="24"/>
          <w:szCs w:val="24"/>
          <w:lang w:eastAsia="es-ES"/>
        </w:rPr>
        <w:footnoteReference w:id="19"/>
      </w:r>
      <w:r w:rsidR="00BB0EF2">
        <w:rPr>
          <w:sz w:val="24"/>
          <w:szCs w:val="24"/>
        </w:rPr>
        <w:t xml:space="preserve">. </w:t>
      </w:r>
    </w:p>
    <w:p w14:paraId="4CB32743" w14:textId="77777777" w:rsidR="00556BCF" w:rsidRPr="00556BCF" w:rsidRDefault="00556BCF" w:rsidP="00945E2C">
      <w:pPr>
        <w:autoSpaceDE w:val="0"/>
        <w:autoSpaceDN w:val="0"/>
        <w:adjustRightInd w:val="0"/>
        <w:rPr>
          <w:sz w:val="18"/>
          <w:szCs w:val="18"/>
        </w:rPr>
      </w:pPr>
    </w:p>
    <w:p w14:paraId="162B5531" w14:textId="44495255" w:rsidR="00592585" w:rsidRPr="00592585" w:rsidRDefault="00BB0EF2" w:rsidP="00945E2C">
      <w:pPr>
        <w:autoSpaceDE w:val="0"/>
        <w:autoSpaceDN w:val="0"/>
        <w:adjustRightInd w:val="0"/>
        <w:rPr>
          <w:sz w:val="24"/>
          <w:szCs w:val="24"/>
        </w:rPr>
      </w:pPr>
      <w:r>
        <w:rPr>
          <w:sz w:val="24"/>
          <w:szCs w:val="24"/>
        </w:rPr>
        <w:t xml:space="preserve">1.5.4. La </w:t>
      </w:r>
      <w:r w:rsidRPr="00286053">
        <w:rPr>
          <w:b/>
          <w:bCs/>
          <w:sz w:val="24"/>
          <w:szCs w:val="24"/>
        </w:rPr>
        <w:t>Sección C del Tribunal Administrativo del Atlántico</w:t>
      </w:r>
      <w:r>
        <w:rPr>
          <w:sz w:val="24"/>
          <w:szCs w:val="24"/>
        </w:rPr>
        <w:t xml:space="preserve"> </w:t>
      </w:r>
      <w:r w:rsidR="001B7BC1">
        <w:rPr>
          <w:sz w:val="24"/>
          <w:szCs w:val="24"/>
        </w:rPr>
        <w:t xml:space="preserve">remitió al expediente de tutela las actuaciones surtidas al interior del proceso de nulidad y restablecimiento del derecho con radicado núm. </w:t>
      </w:r>
      <w:r w:rsidR="001B7BC1" w:rsidRPr="009C486B">
        <w:rPr>
          <w:bCs/>
          <w:sz w:val="24"/>
          <w:szCs w:val="24"/>
        </w:rPr>
        <w:t>08-001-33-33-003-2016-00305-01</w:t>
      </w:r>
      <w:r w:rsidR="001B7BC1">
        <w:rPr>
          <w:bCs/>
          <w:sz w:val="24"/>
          <w:szCs w:val="24"/>
        </w:rPr>
        <w:t>.</w:t>
      </w:r>
      <w:r w:rsidR="002757B6">
        <w:rPr>
          <w:sz w:val="24"/>
          <w:szCs w:val="24"/>
        </w:rPr>
        <w:t xml:space="preserve"> </w:t>
      </w:r>
    </w:p>
    <w:p w14:paraId="3AFEFA85" w14:textId="77777777" w:rsidR="00811793" w:rsidRPr="002D7F44" w:rsidRDefault="00811793" w:rsidP="00945E2C">
      <w:pPr>
        <w:pStyle w:val="Ttulo1"/>
        <w:spacing w:before="0" w:after="0" w:line="240" w:lineRule="auto"/>
        <w:rPr>
          <w:rFonts w:cs="Arial"/>
          <w:szCs w:val="24"/>
          <w:lang w:val="es-ES_tradnl"/>
        </w:rPr>
      </w:pPr>
      <w:r w:rsidRPr="002D7F44">
        <w:rPr>
          <w:rFonts w:cs="Arial"/>
          <w:szCs w:val="24"/>
          <w:lang w:val="es-ES_tradnl"/>
        </w:rPr>
        <w:lastRenderedPageBreak/>
        <w:t>CONSIDERACIONES</w:t>
      </w:r>
    </w:p>
    <w:p w14:paraId="62DD8746" w14:textId="77777777" w:rsidR="00811793" w:rsidRPr="002D7F44" w:rsidRDefault="00811793" w:rsidP="00945E2C">
      <w:pPr>
        <w:rPr>
          <w:sz w:val="24"/>
          <w:szCs w:val="24"/>
          <w:lang w:val="es-ES_tradnl"/>
        </w:rPr>
      </w:pPr>
    </w:p>
    <w:p w14:paraId="679B62CB" w14:textId="77777777" w:rsidR="00811793" w:rsidRPr="002D7F44" w:rsidRDefault="00811793" w:rsidP="00945E2C">
      <w:pPr>
        <w:tabs>
          <w:tab w:val="left" w:pos="426"/>
        </w:tabs>
        <w:contextualSpacing/>
        <w:rPr>
          <w:b/>
          <w:sz w:val="24"/>
          <w:szCs w:val="24"/>
          <w:lang w:val="es-ES_tradnl"/>
        </w:rPr>
      </w:pPr>
      <w:r w:rsidRPr="002D7F44">
        <w:rPr>
          <w:b/>
          <w:sz w:val="24"/>
          <w:szCs w:val="24"/>
          <w:lang w:val="es-ES_tradnl"/>
        </w:rPr>
        <w:t>2.1. Competencia</w:t>
      </w:r>
    </w:p>
    <w:p w14:paraId="4F29E1D5" w14:textId="77777777" w:rsidR="00811793" w:rsidRPr="00811793" w:rsidRDefault="00811793" w:rsidP="00945E2C">
      <w:pPr>
        <w:tabs>
          <w:tab w:val="left" w:pos="426"/>
        </w:tabs>
        <w:contextualSpacing/>
        <w:rPr>
          <w:b/>
          <w:sz w:val="24"/>
          <w:szCs w:val="24"/>
          <w:lang w:val="es-ES_tradnl"/>
        </w:rPr>
      </w:pPr>
    </w:p>
    <w:p w14:paraId="14C98B4A" w14:textId="77777777" w:rsidR="00811793" w:rsidRDefault="00811793" w:rsidP="00945E2C">
      <w:pPr>
        <w:pStyle w:val="Prrafodelista"/>
        <w:ind w:left="0"/>
        <w:rPr>
          <w:sz w:val="24"/>
          <w:szCs w:val="24"/>
        </w:rPr>
      </w:pPr>
      <w:r w:rsidRPr="00811793">
        <w:rPr>
          <w:sz w:val="24"/>
          <w:szCs w:val="24"/>
        </w:rPr>
        <w:t xml:space="preserve">La Sala tiene competencia para decidir la presente acción de tutela, en virtud de lo dispuesto en los artículos 86 de la Constitución Política y 37 del Decreto 2591 de 1991, y lo previsto en el reglamento interno de la Corporación. </w:t>
      </w:r>
    </w:p>
    <w:p w14:paraId="12F1405F" w14:textId="77777777" w:rsidR="00552578" w:rsidRPr="00811793" w:rsidRDefault="00552578" w:rsidP="00945E2C">
      <w:pPr>
        <w:pStyle w:val="Prrafodelista"/>
        <w:ind w:left="0"/>
        <w:rPr>
          <w:sz w:val="24"/>
          <w:szCs w:val="24"/>
        </w:rPr>
      </w:pPr>
    </w:p>
    <w:p w14:paraId="4C3F2F9D" w14:textId="68E13D0E" w:rsidR="00811793" w:rsidRDefault="00811793" w:rsidP="00945E2C">
      <w:pPr>
        <w:autoSpaceDE w:val="0"/>
        <w:autoSpaceDN w:val="0"/>
        <w:adjustRightInd w:val="0"/>
        <w:rPr>
          <w:bCs/>
          <w:sz w:val="24"/>
          <w:szCs w:val="24"/>
        </w:rPr>
      </w:pPr>
      <w:r w:rsidRPr="002D7F44">
        <w:rPr>
          <w:rFonts w:eastAsia="Verdana"/>
          <w:b/>
          <w:sz w:val="24"/>
          <w:szCs w:val="24"/>
          <w:lang w:val="es-ES_tradnl"/>
        </w:rPr>
        <w:t xml:space="preserve">2.2. </w:t>
      </w:r>
      <w:r w:rsidRPr="002D7F44">
        <w:rPr>
          <w:rFonts w:eastAsia="Verdana"/>
          <w:sz w:val="24"/>
          <w:szCs w:val="24"/>
          <w:lang w:val="es-ES_tradnl"/>
        </w:rPr>
        <w:t xml:space="preserve">La </w:t>
      </w:r>
      <w:r w:rsidRPr="002D7F44">
        <w:rPr>
          <w:b/>
          <w:sz w:val="24"/>
          <w:szCs w:val="24"/>
          <w:lang w:val="es-ES_tradnl"/>
        </w:rPr>
        <w:t>legitimación</w:t>
      </w:r>
      <w:r w:rsidRPr="002D7F44">
        <w:rPr>
          <w:sz w:val="24"/>
          <w:szCs w:val="24"/>
          <w:lang w:val="es-ES_tradnl"/>
        </w:rPr>
        <w:t xml:space="preserve"> </w:t>
      </w:r>
      <w:r w:rsidRPr="002D7F44">
        <w:rPr>
          <w:b/>
          <w:sz w:val="24"/>
          <w:szCs w:val="24"/>
          <w:lang w:val="es-ES_tradnl"/>
        </w:rPr>
        <w:t>en la causa</w:t>
      </w:r>
      <w:r w:rsidRPr="002D7F44">
        <w:rPr>
          <w:sz w:val="24"/>
          <w:szCs w:val="24"/>
          <w:lang w:val="es-ES_tradnl"/>
        </w:rPr>
        <w:t xml:space="preserve"> </w:t>
      </w:r>
      <w:r w:rsidRPr="002D7F44">
        <w:rPr>
          <w:b/>
          <w:sz w:val="24"/>
          <w:szCs w:val="24"/>
          <w:lang w:val="es-ES_tradnl"/>
        </w:rPr>
        <w:t>por</w:t>
      </w:r>
      <w:r w:rsidRPr="002D7F44">
        <w:rPr>
          <w:sz w:val="24"/>
          <w:szCs w:val="24"/>
          <w:lang w:val="es-ES_tradnl"/>
        </w:rPr>
        <w:t xml:space="preserve"> </w:t>
      </w:r>
      <w:r w:rsidRPr="00685F98">
        <w:rPr>
          <w:b/>
          <w:sz w:val="24"/>
          <w:szCs w:val="24"/>
          <w:lang w:val="es-ES_tradnl"/>
        </w:rPr>
        <w:t>activa</w:t>
      </w:r>
      <w:r w:rsidRPr="00685F98">
        <w:rPr>
          <w:sz w:val="24"/>
          <w:szCs w:val="24"/>
          <w:lang w:val="es-ES_tradnl"/>
        </w:rPr>
        <w:t xml:space="preserve"> de </w:t>
      </w:r>
      <w:r w:rsidR="001B7BC1">
        <w:rPr>
          <w:bCs/>
          <w:sz w:val="24"/>
          <w:szCs w:val="24"/>
        </w:rPr>
        <w:t>Pedro Pastor Aragón Canchila</w:t>
      </w:r>
      <w:r w:rsidR="001B7BC1" w:rsidRPr="002D7F44">
        <w:rPr>
          <w:sz w:val="24"/>
          <w:szCs w:val="24"/>
          <w:lang w:val="es-ES_tradnl"/>
        </w:rPr>
        <w:t xml:space="preserve"> </w:t>
      </w:r>
      <w:r w:rsidRPr="002D7F44">
        <w:rPr>
          <w:sz w:val="24"/>
          <w:szCs w:val="24"/>
          <w:lang w:val="es-ES_tradnl"/>
        </w:rPr>
        <w:t xml:space="preserve">se encuentra acreditada, puesto que </w:t>
      </w:r>
      <w:r w:rsidR="00931B18">
        <w:rPr>
          <w:sz w:val="24"/>
          <w:szCs w:val="24"/>
          <w:lang w:val="es-ES_tradnl"/>
        </w:rPr>
        <w:t xml:space="preserve">fue </w:t>
      </w:r>
      <w:r w:rsidR="00472CAE">
        <w:rPr>
          <w:sz w:val="24"/>
          <w:szCs w:val="24"/>
          <w:lang w:val="es-ES_tradnl"/>
        </w:rPr>
        <w:t>el</w:t>
      </w:r>
      <w:r w:rsidRPr="002D7F44">
        <w:rPr>
          <w:sz w:val="24"/>
          <w:szCs w:val="24"/>
          <w:lang w:val="es-ES_tradnl"/>
        </w:rPr>
        <w:t xml:space="preserve"> demand</w:t>
      </w:r>
      <w:r w:rsidR="00931B18">
        <w:rPr>
          <w:sz w:val="24"/>
          <w:szCs w:val="24"/>
          <w:lang w:val="es-ES_tradnl"/>
        </w:rPr>
        <w:t>a</w:t>
      </w:r>
      <w:r w:rsidR="00297D86">
        <w:rPr>
          <w:sz w:val="24"/>
          <w:szCs w:val="24"/>
          <w:lang w:val="es-ES_tradnl"/>
        </w:rPr>
        <w:t>nte</w:t>
      </w:r>
      <w:r w:rsidRPr="002D7F44">
        <w:rPr>
          <w:sz w:val="24"/>
          <w:szCs w:val="24"/>
          <w:lang w:val="es-ES_tradnl"/>
        </w:rPr>
        <w:t xml:space="preserve"> dentro </w:t>
      </w:r>
      <w:r w:rsidRPr="002D7F44">
        <w:rPr>
          <w:sz w:val="24"/>
          <w:szCs w:val="24"/>
        </w:rPr>
        <w:t xml:space="preserve">del proceso </w:t>
      </w:r>
      <w:r w:rsidR="0068321F">
        <w:rPr>
          <w:sz w:val="24"/>
          <w:szCs w:val="24"/>
        </w:rPr>
        <w:t>que dio curso</w:t>
      </w:r>
      <w:r w:rsidR="003D687E">
        <w:rPr>
          <w:sz w:val="24"/>
          <w:szCs w:val="24"/>
        </w:rPr>
        <w:t xml:space="preserve"> </w:t>
      </w:r>
      <w:r w:rsidR="00C122FA">
        <w:rPr>
          <w:sz w:val="24"/>
          <w:szCs w:val="24"/>
        </w:rPr>
        <w:t xml:space="preserve">a la acción de nulidad y restablecimiento del derecho </w:t>
      </w:r>
      <w:r w:rsidRPr="002D7F44">
        <w:rPr>
          <w:sz w:val="24"/>
          <w:szCs w:val="24"/>
        </w:rPr>
        <w:t xml:space="preserve">con </w:t>
      </w:r>
      <w:r w:rsidR="001B7BC1">
        <w:rPr>
          <w:sz w:val="24"/>
          <w:szCs w:val="24"/>
        </w:rPr>
        <w:t xml:space="preserve">radicado núm. </w:t>
      </w:r>
      <w:r w:rsidR="001B7BC1" w:rsidRPr="009C486B">
        <w:rPr>
          <w:bCs/>
          <w:sz w:val="24"/>
          <w:szCs w:val="24"/>
        </w:rPr>
        <w:t>08-001-33-33-003-2016-00305-01</w:t>
      </w:r>
      <w:r w:rsidR="001B7BC1">
        <w:rPr>
          <w:bCs/>
          <w:sz w:val="24"/>
          <w:szCs w:val="24"/>
        </w:rPr>
        <w:t xml:space="preserve"> </w:t>
      </w:r>
      <w:r w:rsidR="0068321F">
        <w:rPr>
          <w:bCs/>
          <w:sz w:val="24"/>
          <w:szCs w:val="24"/>
        </w:rPr>
        <w:t xml:space="preserve">en el que </w:t>
      </w:r>
      <w:r w:rsidR="000C5C88">
        <w:rPr>
          <w:bCs/>
          <w:sz w:val="24"/>
          <w:szCs w:val="24"/>
        </w:rPr>
        <w:t>fu</w:t>
      </w:r>
      <w:r w:rsidR="00C122FA">
        <w:rPr>
          <w:bCs/>
          <w:sz w:val="24"/>
          <w:szCs w:val="24"/>
        </w:rPr>
        <w:t>e</w:t>
      </w:r>
      <w:r w:rsidR="000C5C88">
        <w:rPr>
          <w:bCs/>
          <w:sz w:val="24"/>
          <w:szCs w:val="24"/>
        </w:rPr>
        <w:t xml:space="preserve"> emiti</w:t>
      </w:r>
      <w:r w:rsidR="00C122FA">
        <w:rPr>
          <w:bCs/>
          <w:sz w:val="24"/>
          <w:szCs w:val="24"/>
        </w:rPr>
        <w:t>da la sentencia del 3</w:t>
      </w:r>
      <w:r w:rsidR="00DC64F4">
        <w:rPr>
          <w:bCs/>
          <w:sz w:val="24"/>
          <w:szCs w:val="24"/>
        </w:rPr>
        <w:t>0</w:t>
      </w:r>
      <w:r w:rsidR="00C122FA">
        <w:rPr>
          <w:bCs/>
          <w:sz w:val="24"/>
          <w:szCs w:val="24"/>
        </w:rPr>
        <w:t xml:space="preserve"> de </w:t>
      </w:r>
      <w:r w:rsidR="00DC64F4">
        <w:rPr>
          <w:bCs/>
          <w:sz w:val="24"/>
          <w:szCs w:val="24"/>
        </w:rPr>
        <w:t>junio</w:t>
      </w:r>
      <w:r w:rsidR="00C122FA">
        <w:rPr>
          <w:bCs/>
          <w:sz w:val="24"/>
          <w:szCs w:val="24"/>
        </w:rPr>
        <w:t xml:space="preserve"> de 2022</w:t>
      </w:r>
      <w:r w:rsidR="000C5C88">
        <w:rPr>
          <w:bCs/>
          <w:sz w:val="24"/>
          <w:szCs w:val="24"/>
        </w:rPr>
        <w:t xml:space="preserve"> y</w:t>
      </w:r>
      <w:r w:rsidR="00C122FA">
        <w:rPr>
          <w:bCs/>
          <w:sz w:val="24"/>
          <w:szCs w:val="24"/>
        </w:rPr>
        <w:t>,</w:t>
      </w:r>
      <w:r w:rsidR="000C5C88">
        <w:rPr>
          <w:bCs/>
          <w:sz w:val="24"/>
          <w:szCs w:val="24"/>
        </w:rPr>
        <w:t xml:space="preserve"> por ende, es el titular de los derechos fundamentales cuyo amparo pretende. </w:t>
      </w:r>
    </w:p>
    <w:p w14:paraId="2F126F3B" w14:textId="77777777" w:rsidR="00C122FA" w:rsidRPr="002D7F44" w:rsidRDefault="00C122FA" w:rsidP="00945E2C">
      <w:pPr>
        <w:autoSpaceDE w:val="0"/>
        <w:autoSpaceDN w:val="0"/>
        <w:adjustRightInd w:val="0"/>
        <w:rPr>
          <w:sz w:val="24"/>
          <w:szCs w:val="24"/>
          <w:lang w:val="es-ES_tradnl"/>
        </w:rPr>
      </w:pPr>
    </w:p>
    <w:p w14:paraId="7141F210" w14:textId="0B8640D1" w:rsidR="00811793" w:rsidRPr="00FF19EE" w:rsidRDefault="00811793" w:rsidP="00945E2C">
      <w:pPr>
        <w:rPr>
          <w:sz w:val="24"/>
          <w:szCs w:val="24"/>
        </w:rPr>
      </w:pPr>
      <w:r w:rsidRPr="002D7F44">
        <w:rPr>
          <w:sz w:val="24"/>
          <w:szCs w:val="24"/>
          <w:lang w:val="es-ES_tradnl"/>
        </w:rPr>
        <w:t xml:space="preserve">También está probada </w:t>
      </w:r>
      <w:r w:rsidRPr="002D7F44">
        <w:rPr>
          <w:b/>
          <w:sz w:val="24"/>
          <w:szCs w:val="24"/>
          <w:lang w:val="es-ES_tradnl"/>
        </w:rPr>
        <w:t>la legitimación en la causa por pasiva</w:t>
      </w:r>
      <w:r w:rsidR="00C122FA">
        <w:rPr>
          <w:bCs/>
          <w:sz w:val="24"/>
          <w:szCs w:val="24"/>
          <w:lang w:val="es-ES_tradnl"/>
        </w:rPr>
        <w:t xml:space="preserve"> de la</w:t>
      </w:r>
      <w:r w:rsidR="00DC64F4">
        <w:rPr>
          <w:bCs/>
          <w:sz w:val="24"/>
          <w:szCs w:val="24"/>
          <w:lang w:val="es-ES_tradnl"/>
        </w:rPr>
        <w:t xml:space="preserve"> Sección C del Tribunal Administrativo del Atlántico</w:t>
      </w:r>
      <w:r w:rsidRPr="002D7F44">
        <w:rPr>
          <w:sz w:val="24"/>
          <w:szCs w:val="24"/>
        </w:rPr>
        <w:t xml:space="preserve">, </w:t>
      </w:r>
      <w:r w:rsidRPr="002D7F44">
        <w:rPr>
          <w:sz w:val="24"/>
          <w:szCs w:val="24"/>
          <w:lang w:val="es-ES_tradnl"/>
        </w:rPr>
        <w:t>en la medida en que fue l</w:t>
      </w:r>
      <w:r w:rsidR="00FF19EE">
        <w:rPr>
          <w:sz w:val="24"/>
          <w:szCs w:val="24"/>
          <w:lang w:val="es-ES_tradnl"/>
        </w:rPr>
        <w:t>a a</w:t>
      </w:r>
      <w:r w:rsidRPr="002D7F44">
        <w:rPr>
          <w:sz w:val="24"/>
          <w:szCs w:val="24"/>
          <w:lang w:val="es-ES_tradnl"/>
        </w:rPr>
        <w:t>utoridad que profir</w:t>
      </w:r>
      <w:r w:rsidR="00FF19EE">
        <w:rPr>
          <w:sz w:val="24"/>
          <w:szCs w:val="24"/>
          <w:lang w:val="es-ES_tradnl"/>
        </w:rPr>
        <w:t>i</w:t>
      </w:r>
      <w:r w:rsidR="00297D86">
        <w:rPr>
          <w:sz w:val="24"/>
          <w:szCs w:val="24"/>
          <w:lang w:val="es-ES_tradnl"/>
        </w:rPr>
        <w:t>ó</w:t>
      </w:r>
      <w:r w:rsidRPr="002D7F44">
        <w:rPr>
          <w:sz w:val="24"/>
          <w:szCs w:val="24"/>
          <w:lang w:val="es-ES_tradnl"/>
        </w:rPr>
        <w:t xml:space="preserve"> </w:t>
      </w:r>
      <w:r w:rsidR="00C122FA">
        <w:rPr>
          <w:bCs/>
          <w:sz w:val="24"/>
          <w:szCs w:val="24"/>
        </w:rPr>
        <w:t>la sentencia del 3</w:t>
      </w:r>
      <w:r w:rsidR="00DC64F4">
        <w:rPr>
          <w:bCs/>
          <w:sz w:val="24"/>
          <w:szCs w:val="24"/>
        </w:rPr>
        <w:t>0</w:t>
      </w:r>
      <w:r w:rsidR="00C122FA">
        <w:rPr>
          <w:bCs/>
          <w:sz w:val="24"/>
          <w:szCs w:val="24"/>
        </w:rPr>
        <w:t xml:space="preserve"> de </w:t>
      </w:r>
      <w:r w:rsidR="00DC64F4">
        <w:rPr>
          <w:bCs/>
          <w:sz w:val="24"/>
          <w:szCs w:val="24"/>
        </w:rPr>
        <w:t>junio</w:t>
      </w:r>
      <w:r w:rsidR="00C122FA">
        <w:rPr>
          <w:bCs/>
          <w:sz w:val="24"/>
          <w:szCs w:val="24"/>
        </w:rPr>
        <w:t xml:space="preserve"> de 2022 </w:t>
      </w:r>
      <w:r w:rsidRPr="002D7F44">
        <w:rPr>
          <w:sz w:val="24"/>
          <w:szCs w:val="24"/>
          <w:lang w:val="es-ES_tradnl"/>
        </w:rPr>
        <w:t xml:space="preserve">que, según </w:t>
      </w:r>
      <w:r w:rsidR="005D652D">
        <w:rPr>
          <w:sz w:val="24"/>
          <w:szCs w:val="24"/>
          <w:lang w:val="es-ES_tradnl"/>
        </w:rPr>
        <w:t>el</w:t>
      </w:r>
      <w:r w:rsidRPr="002D7F44">
        <w:rPr>
          <w:sz w:val="24"/>
          <w:szCs w:val="24"/>
          <w:lang w:val="es-ES_tradnl"/>
        </w:rPr>
        <w:t xml:space="preserve"> tutelante, vulner</w:t>
      </w:r>
      <w:r w:rsidR="005D652D">
        <w:rPr>
          <w:sz w:val="24"/>
          <w:szCs w:val="24"/>
          <w:lang w:val="es-ES_tradnl"/>
        </w:rPr>
        <w:t>ó</w:t>
      </w:r>
      <w:r w:rsidRPr="002D7F44">
        <w:rPr>
          <w:sz w:val="24"/>
          <w:szCs w:val="24"/>
          <w:lang w:val="es-ES_tradnl"/>
        </w:rPr>
        <w:t xml:space="preserve"> sus derechos fundamentales.</w:t>
      </w:r>
    </w:p>
    <w:p w14:paraId="09F04288" w14:textId="77777777" w:rsidR="00811793" w:rsidRPr="002D7F44" w:rsidRDefault="00811793" w:rsidP="00945E2C">
      <w:pPr>
        <w:overflowPunct w:val="0"/>
        <w:autoSpaceDE w:val="0"/>
        <w:autoSpaceDN w:val="0"/>
        <w:adjustRightInd w:val="0"/>
        <w:contextualSpacing/>
        <w:rPr>
          <w:rFonts w:eastAsia="Times New Roman"/>
          <w:sz w:val="24"/>
          <w:szCs w:val="24"/>
          <w:lang w:val="es-MX" w:eastAsia="es-ES"/>
        </w:rPr>
      </w:pPr>
    </w:p>
    <w:p w14:paraId="6135127A" w14:textId="77777777" w:rsidR="00811793" w:rsidRPr="002D7F44" w:rsidRDefault="00811793" w:rsidP="00945E2C">
      <w:pPr>
        <w:keepNext/>
        <w:textAlignment w:val="baseline"/>
        <w:rPr>
          <w:rFonts w:eastAsia="Times New Roman"/>
          <w:b/>
          <w:bCs/>
          <w:sz w:val="24"/>
          <w:szCs w:val="24"/>
          <w:lang w:eastAsia="es-CO"/>
        </w:rPr>
      </w:pPr>
      <w:r w:rsidRPr="002D7F44">
        <w:rPr>
          <w:rFonts w:eastAsia="Times New Roman"/>
          <w:b/>
          <w:bCs/>
          <w:sz w:val="24"/>
          <w:szCs w:val="24"/>
          <w:lang w:eastAsia="es-CO"/>
        </w:rPr>
        <w:t xml:space="preserve">2.3. Procedibilidad de la acción </w:t>
      </w:r>
    </w:p>
    <w:p w14:paraId="4C12BF91" w14:textId="77777777" w:rsidR="00811793" w:rsidRDefault="00811793" w:rsidP="00945E2C">
      <w:pPr>
        <w:keepNext/>
        <w:textAlignment w:val="baseline"/>
        <w:rPr>
          <w:rFonts w:eastAsia="Times New Roman"/>
          <w:b/>
          <w:bCs/>
          <w:sz w:val="24"/>
          <w:szCs w:val="24"/>
          <w:lang w:eastAsia="es-CO"/>
        </w:rPr>
      </w:pPr>
    </w:p>
    <w:p w14:paraId="064BF113" w14:textId="6FF8FCE5" w:rsidR="0070680B" w:rsidRDefault="0070680B" w:rsidP="00945E2C">
      <w:pPr>
        <w:contextualSpacing/>
        <w:rPr>
          <w:rFonts w:eastAsia="Arial"/>
          <w:sz w:val="24"/>
          <w:szCs w:val="24"/>
          <w:lang w:val="es-MX"/>
        </w:rPr>
      </w:pPr>
      <w:r w:rsidRPr="00E42E66">
        <w:rPr>
          <w:rFonts w:eastAsia="Arial"/>
          <w:sz w:val="24"/>
          <w:szCs w:val="24"/>
          <w:lang w:val="es-MX"/>
        </w:rPr>
        <w:t>En los casos en que la solicitud de amparo ataca una providencia judicial, la doctrina constitucional ha indicado que el juez de tutela debe, en forma preliminar, realizar un examen de procedibilidad general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E42E66">
        <w:rPr>
          <w:sz w:val="24"/>
          <w:szCs w:val="24"/>
          <w:vertAlign w:val="superscript"/>
        </w:rPr>
        <w:footnoteReference w:id="20"/>
      </w:r>
      <w:r w:rsidRPr="00E42E66">
        <w:rPr>
          <w:rFonts w:eastAsia="Arial"/>
          <w:sz w:val="24"/>
          <w:szCs w:val="24"/>
          <w:lang w:val="es-MX"/>
        </w:rPr>
        <w:t>.</w:t>
      </w:r>
    </w:p>
    <w:p w14:paraId="3E0ADB12" w14:textId="77777777" w:rsidR="008C28C2" w:rsidRDefault="008C28C2" w:rsidP="00945E2C">
      <w:pPr>
        <w:contextualSpacing/>
        <w:rPr>
          <w:rFonts w:eastAsia="Arial"/>
          <w:sz w:val="24"/>
          <w:szCs w:val="24"/>
          <w:lang w:val="es-MX"/>
        </w:rPr>
      </w:pPr>
    </w:p>
    <w:p w14:paraId="0F5C0BDD" w14:textId="77777777" w:rsidR="00C6238D" w:rsidRDefault="0070680B" w:rsidP="00C6238D">
      <w:pPr>
        <w:ind w:right="-93"/>
        <w:rPr>
          <w:b/>
          <w:sz w:val="24"/>
          <w:szCs w:val="24"/>
        </w:rPr>
      </w:pPr>
      <w:r w:rsidRPr="00C97F04">
        <w:rPr>
          <w:bCs/>
          <w:sz w:val="24"/>
          <w:szCs w:val="24"/>
        </w:rPr>
        <w:t>2.3.1.</w:t>
      </w:r>
      <w:r w:rsidR="009A6A1E">
        <w:rPr>
          <w:b/>
          <w:sz w:val="24"/>
          <w:szCs w:val="24"/>
        </w:rPr>
        <w:t xml:space="preserve"> </w:t>
      </w:r>
      <w:r w:rsidR="00C6238D">
        <w:rPr>
          <w:b/>
          <w:sz w:val="24"/>
          <w:szCs w:val="24"/>
        </w:rPr>
        <w:t>Subsidiariedad</w:t>
      </w:r>
    </w:p>
    <w:p w14:paraId="593FE045" w14:textId="77777777" w:rsidR="00C6238D" w:rsidRDefault="00C6238D" w:rsidP="00C6238D">
      <w:pPr>
        <w:ind w:right="-93"/>
        <w:rPr>
          <w:b/>
          <w:sz w:val="24"/>
          <w:szCs w:val="24"/>
        </w:rPr>
      </w:pPr>
    </w:p>
    <w:p w14:paraId="028B9FBF" w14:textId="0B9708EA" w:rsidR="00C6238D" w:rsidRPr="004D0E1E" w:rsidRDefault="00C6238D" w:rsidP="00C6238D">
      <w:pPr>
        <w:rPr>
          <w:rFonts w:eastAsia="Times New Roman"/>
          <w:sz w:val="24"/>
          <w:szCs w:val="24"/>
          <w:lang w:eastAsia="es-ES"/>
        </w:rPr>
      </w:pPr>
      <w:r>
        <w:rPr>
          <w:rFonts w:eastAsia="Times New Roman"/>
          <w:sz w:val="24"/>
          <w:szCs w:val="24"/>
          <w:lang w:val="es-MX" w:eastAsia="es-ES"/>
        </w:rPr>
        <w:t>Uno de los requisitos de procedibilidad es la</w:t>
      </w:r>
      <w:r w:rsidRPr="004D0E1E">
        <w:rPr>
          <w:rFonts w:eastAsia="Times New Roman"/>
          <w:sz w:val="24"/>
          <w:szCs w:val="24"/>
          <w:lang w:val="es-MX" w:eastAsia="es-ES"/>
        </w:rPr>
        <w:t xml:space="preserve"> </w:t>
      </w:r>
      <w:r w:rsidRPr="004D0E1E">
        <w:rPr>
          <w:rFonts w:eastAsia="Times New Roman"/>
          <w:b/>
          <w:bCs/>
          <w:iCs/>
          <w:sz w:val="24"/>
          <w:szCs w:val="24"/>
          <w:lang w:val="es-MX" w:eastAsia="es-ES"/>
        </w:rPr>
        <w:t>subsidiariedad</w:t>
      </w:r>
      <w:r>
        <w:rPr>
          <w:rFonts w:eastAsia="Times New Roman"/>
          <w:iCs/>
          <w:sz w:val="24"/>
          <w:szCs w:val="24"/>
          <w:lang w:val="es-MX" w:eastAsia="es-ES"/>
        </w:rPr>
        <w:t>, que</w:t>
      </w:r>
      <w:r w:rsidRPr="004D0E1E">
        <w:rPr>
          <w:rFonts w:eastAsia="Times New Roman"/>
          <w:sz w:val="24"/>
          <w:szCs w:val="24"/>
          <w:lang w:val="es-MX" w:eastAsia="es-ES"/>
        </w:rPr>
        <w:t xml:space="preserve"> impide</w:t>
      </w:r>
      <w:r w:rsidRPr="004D0E1E">
        <w:rPr>
          <w:rFonts w:eastAsia="Times New Roman"/>
          <w:sz w:val="24"/>
          <w:szCs w:val="24"/>
          <w:lang w:eastAsia="es-ES"/>
        </w:rPr>
        <w:t xml:space="preserve"> que la acción </w:t>
      </w:r>
      <w:r>
        <w:rPr>
          <w:rFonts w:eastAsia="Times New Roman"/>
          <w:sz w:val="24"/>
          <w:szCs w:val="24"/>
          <w:lang w:eastAsia="es-ES"/>
        </w:rPr>
        <w:t xml:space="preserve">de </w:t>
      </w:r>
      <w:r w:rsidRPr="004D0E1E">
        <w:rPr>
          <w:rFonts w:eastAsia="Times New Roman"/>
          <w:sz w:val="24"/>
          <w:szCs w:val="24"/>
          <w:lang w:eastAsia="es-ES"/>
        </w:rPr>
        <w:t xml:space="preserve">tutela se use como un mecanismo principal, alternativo o supletorio de los mecanismos ordinarios que el legislador tiene previsto para controvertir las decisiones judiciales, con el fin de: (i) prevenir la intromisión indebida de una autoridad distinta a la que adelanta el proceso ordinario; (ii) que no se alteren o sustituyan de manera fraudulenta los mecanismos de defensa diseñados por el Legislador; y (iii) que los </w:t>
      </w:r>
      <w:r w:rsidRPr="004D0E1E">
        <w:rPr>
          <w:rFonts w:eastAsia="Times New Roman"/>
          <w:sz w:val="24"/>
          <w:szCs w:val="24"/>
          <w:lang w:eastAsia="es-ES"/>
        </w:rPr>
        <w:lastRenderedPageBreak/>
        <w:t>ciudadanos observen un mínimo de diligencia en la gestión de sus asuntos, pues no es esta la forma de enmendar deficiencias, errores o de</w:t>
      </w:r>
      <w:r>
        <w:rPr>
          <w:rFonts w:eastAsia="Times New Roman"/>
          <w:sz w:val="24"/>
          <w:szCs w:val="24"/>
          <w:lang w:eastAsia="es-ES"/>
        </w:rPr>
        <w:t>scuidos</w:t>
      </w:r>
      <w:r w:rsidRPr="004D0E1E">
        <w:rPr>
          <w:rFonts w:eastAsia="Times New Roman"/>
          <w:sz w:val="24"/>
          <w:szCs w:val="24"/>
          <w:lang w:eastAsia="es-ES"/>
        </w:rPr>
        <w:t>, ni de recuperar oportunidades vencidas al interior de un proceso judicial</w:t>
      </w:r>
      <w:r w:rsidRPr="004D0E1E">
        <w:rPr>
          <w:rFonts w:eastAsia="Times New Roman"/>
          <w:sz w:val="24"/>
          <w:szCs w:val="24"/>
          <w:vertAlign w:val="superscript"/>
          <w:lang w:eastAsia="es-ES"/>
        </w:rPr>
        <w:footnoteReference w:id="21"/>
      </w:r>
      <w:r w:rsidRPr="004D0E1E">
        <w:rPr>
          <w:rFonts w:eastAsia="Times New Roman"/>
          <w:sz w:val="24"/>
          <w:szCs w:val="24"/>
          <w:lang w:eastAsia="es-ES"/>
        </w:rPr>
        <w:t xml:space="preserve">.  </w:t>
      </w:r>
    </w:p>
    <w:p w14:paraId="417C0C59" w14:textId="77777777" w:rsidR="00C6238D" w:rsidRPr="004D0E1E" w:rsidRDefault="00C6238D" w:rsidP="00C6238D">
      <w:pPr>
        <w:rPr>
          <w:rFonts w:eastAsia="Times New Roman"/>
          <w:sz w:val="24"/>
          <w:szCs w:val="24"/>
          <w:lang w:eastAsia="es-ES"/>
        </w:rPr>
      </w:pPr>
    </w:p>
    <w:p w14:paraId="4EF28162" w14:textId="77777777" w:rsidR="00C6238D" w:rsidRPr="004D0E1E" w:rsidRDefault="00C6238D" w:rsidP="00C6238D">
      <w:pPr>
        <w:rPr>
          <w:rFonts w:eastAsia="Times New Roman"/>
          <w:sz w:val="24"/>
          <w:szCs w:val="24"/>
          <w:lang w:eastAsia="es-ES"/>
        </w:rPr>
      </w:pPr>
      <w:r>
        <w:rPr>
          <w:rFonts w:eastAsia="Times New Roman"/>
          <w:sz w:val="24"/>
          <w:szCs w:val="24"/>
          <w:lang w:eastAsia="es-ES"/>
        </w:rPr>
        <w:t>En l</w:t>
      </w:r>
      <w:r w:rsidRPr="004D0E1E">
        <w:rPr>
          <w:rFonts w:eastAsia="Times New Roman"/>
          <w:sz w:val="24"/>
          <w:szCs w:val="24"/>
          <w:lang w:eastAsia="es-ES"/>
        </w:rPr>
        <w:t xml:space="preserve">a sentencia T-396 del 2014, la Corte Constitucional delimitó los siguientes tres eventos que hacen improcedente la tutela contra providencia judicial por no superar el requisito de subsidiariedad: </w:t>
      </w:r>
    </w:p>
    <w:p w14:paraId="485A6F48" w14:textId="77777777" w:rsidR="00C6238D" w:rsidRPr="009119FE" w:rsidRDefault="00C6238D" w:rsidP="00C6238D">
      <w:pPr>
        <w:rPr>
          <w:rFonts w:eastAsia="Times New Roman"/>
          <w:sz w:val="22"/>
          <w:szCs w:val="22"/>
          <w:lang w:eastAsia="es-ES"/>
        </w:rPr>
      </w:pPr>
    </w:p>
    <w:p w14:paraId="506BFF76" w14:textId="77777777" w:rsidR="00C6238D" w:rsidRPr="009119FE" w:rsidRDefault="00C6238D" w:rsidP="00C6238D">
      <w:pPr>
        <w:ind w:left="708"/>
        <w:rPr>
          <w:rFonts w:eastAsia="Times New Roman"/>
          <w:sz w:val="22"/>
          <w:szCs w:val="22"/>
          <w:lang w:eastAsia="es-ES"/>
        </w:rPr>
      </w:pPr>
      <w:r w:rsidRPr="009119FE">
        <w:rPr>
          <w:rFonts w:eastAsia="Times New Roman"/>
          <w:sz w:val="22"/>
          <w:szCs w:val="22"/>
          <w:lang w:eastAsia="es-ES"/>
        </w:rPr>
        <w:t>“(i) cuando el asunto está en trámite; (ii) en el evento en que no se han agotado los medios de defensa judicial ordinarios y extraordinarios; y (iii) si se usa para revivir etapas procesales en donde se dejaron de emplear los recursos previstos en el ordenamiento jurídico”.</w:t>
      </w:r>
    </w:p>
    <w:p w14:paraId="5A3437B2" w14:textId="77777777" w:rsidR="00C6238D" w:rsidRPr="009119FE" w:rsidRDefault="00C6238D" w:rsidP="00C6238D">
      <w:pPr>
        <w:rPr>
          <w:rFonts w:eastAsia="Times New Roman"/>
          <w:sz w:val="22"/>
          <w:szCs w:val="22"/>
          <w:lang w:eastAsia="es-ES"/>
        </w:rPr>
      </w:pPr>
    </w:p>
    <w:p w14:paraId="7E491FD8" w14:textId="465A6B40" w:rsidR="00C97F04" w:rsidRDefault="00C6238D" w:rsidP="00C6238D">
      <w:pPr>
        <w:rPr>
          <w:b/>
          <w:sz w:val="24"/>
          <w:szCs w:val="24"/>
        </w:rPr>
      </w:pPr>
      <w:r w:rsidRPr="004D0E1E">
        <w:rPr>
          <w:rFonts w:eastAsia="Times New Roman"/>
          <w:sz w:val="24"/>
          <w:szCs w:val="24"/>
          <w:lang w:eastAsia="es-ES"/>
        </w:rPr>
        <w:t>Así, un riguroso estudio de este requisito evita que la tutela sea utilizada</w:t>
      </w:r>
      <w:r>
        <w:rPr>
          <w:rFonts w:eastAsia="Times New Roman"/>
          <w:sz w:val="24"/>
          <w:szCs w:val="24"/>
          <w:lang w:eastAsia="es-ES"/>
        </w:rPr>
        <w:t xml:space="preserve"> </w:t>
      </w:r>
      <w:r w:rsidRPr="004D0E1E">
        <w:rPr>
          <w:rFonts w:eastAsia="Times New Roman"/>
          <w:sz w:val="24"/>
          <w:szCs w:val="24"/>
          <w:lang w:eastAsia="es-ES"/>
        </w:rPr>
        <w:t>para controvertir situaciones jurídicas consolidadas que tuvieron su oportunidad de ser discutidas ante el juez natural.</w:t>
      </w:r>
    </w:p>
    <w:p w14:paraId="15D15A35" w14:textId="77777777" w:rsidR="00C6238D" w:rsidRDefault="00C6238D" w:rsidP="00C6238D">
      <w:pPr>
        <w:rPr>
          <w:b/>
          <w:sz w:val="24"/>
          <w:szCs w:val="24"/>
        </w:rPr>
      </w:pPr>
    </w:p>
    <w:p w14:paraId="2705EC17" w14:textId="60549DE6" w:rsidR="00C6238D" w:rsidRDefault="00C97F04" w:rsidP="00945E2C">
      <w:pPr>
        <w:ind w:right="-93"/>
        <w:rPr>
          <w:bCs/>
          <w:sz w:val="24"/>
          <w:szCs w:val="24"/>
        </w:rPr>
      </w:pPr>
      <w:r w:rsidRPr="002D0484">
        <w:rPr>
          <w:b/>
          <w:bCs/>
          <w:sz w:val="24"/>
          <w:szCs w:val="24"/>
        </w:rPr>
        <w:t>2.</w:t>
      </w:r>
      <w:r w:rsidR="002D0484" w:rsidRPr="002D0484">
        <w:rPr>
          <w:b/>
          <w:bCs/>
          <w:sz w:val="24"/>
          <w:szCs w:val="24"/>
        </w:rPr>
        <w:t>4</w:t>
      </w:r>
      <w:r w:rsidRPr="002D0484">
        <w:rPr>
          <w:b/>
          <w:bCs/>
          <w:sz w:val="24"/>
          <w:szCs w:val="24"/>
        </w:rPr>
        <w:t>.</w:t>
      </w:r>
      <w:r>
        <w:rPr>
          <w:b/>
          <w:sz w:val="24"/>
          <w:szCs w:val="24"/>
        </w:rPr>
        <w:t xml:space="preserve"> </w:t>
      </w:r>
      <w:r w:rsidR="0070680B">
        <w:rPr>
          <w:bCs/>
          <w:sz w:val="24"/>
          <w:szCs w:val="24"/>
        </w:rPr>
        <w:t xml:space="preserve">En el </w:t>
      </w:r>
      <w:r w:rsidR="0070680B" w:rsidRPr="00C6238D">
        <w:rPr>
          <w:b/>
          <w:bCs/>
          <w:sz w:val="24"/>
          <w:szCs w:val="24"/>
        </w:rPr>
        <w:t>caso bajo estudio</w:t>
      </w:r>
      <w:r w:rsidR="0070680B">
        <w:rPr>
          <w:bCs/>
          <w:sz w:val="24"/>
          <w:szCs w:val="24"/>
        </w:rPr>
        <w:t>,</w:t>
      </w:r>
      <w:r w:rsidR="00CD771C">
        <w:rPr>
          <w:bCs/>
          <w:sz w:val="24"/>
          <w:szCs w:val="24"/>
        </w:rPr>
        <w:t xml:space="preserve"> </w:t>
      </w:r>
      <w:r w:rsidR="005E4B35">
        <w:rPr>
          <w:bCs/>
          <w:sz w:val="24"/>
          <w:szCs w:val="24"/>
        </w:rPr>
        <w:t xml:space="preserve">Pedro Pastor Aragón Canchila </w:t>
      </w:r>
      <w:r w:rsidR="008C28C2">
        <w:rPr>
          <w:bCs/>
          <w:sz w:val="24"/>
          <w:szCs w:val="24"/>
        </w:rPr>
        <w:t xml:space="preserve">presentó demanda </w:t>
      </w:r>
      <w:r w:rsidR="005E4B35">
        <w:rPr>
          <w:bCs/>
          <w:sz w:val="24"/>
          <w:szCs w:val="24"/>
        </w:rPr>
        <w:t xml:space="preserve">en ejercicio del medio de control de nulidad y restablecimiento del derecho, </w:t>
      </w:r>
      <w:r w:rsidR="008C28C2">
        <w:rPr>
          <w:bCs/>
          <w:sz w:val="24"/>
          <w:szCs w:val="24"/>
        </w:rPr>
        <w:t xml:space="preserve">que </w:t>
      </w:r>
      <w:r w:rsidR="005E4B35">
        <w:rPr>
          <w:bCs/>
          <w:sz w:val="24"/>
          <w:szCs w:val="24"/>
        </w:rPr>
        <w:t>tuvo sustento en que Colpensiones debió reconocerle, por un lado, una pensión de jubilación conforme a las normas de la Ley 33 de 1985, con cargo a las cotizaciones que realizó como empleado público en Corelca, la Electrificadora, el DAS y el Departamento y la Universidad del Atlántico, que supera</w:t>
      </w:r>
      <w:r w:rsidR="00B26E82">
        <w:rPr>
          <w:bCs/>
          <w:sz w:val="24"/>
          <w:szCs w:val="24"/>
        </w:rPr>
        <w:t>ron</w:t>
      </w:r>
      <w:r w:rsidR="005E4B35">
        <w:rPr>
          <w:bCs/>
          <w:sz w:val="24"/>
          <w:szCs w:val="24"/>
        </w:rPr>
        <w:t xml:space="preserve"> más de 20 años, al margen de que en algunos de estos periodos </w:t>
      </w:r>
      <w:r w:rsidR="008C28C2">
        <w:rPr>
          <w:bCs/>
          <w:sz w:val="24"/>
          <w:szCs w:val="24"/>
        </w:rPr>
        <w:t xml:space="preserve">los </w:t>
      </w:r>
      <w:r w:rsidR="005E4B35">
        <w:rPr>
          <w:bCs/>
          <w:sz w:val="24"/>
          <w:szCs w:val="24"/>
        </w:rPr>
        <w:t xml:space="preserve">cotizó, de manera simultánea, como particular, pues </w:t>
      </w:r>
      <w:r w:rsidR="008C28C2">
        <w:rPr>
          <w:bCs/>
          <w:sz w:val="24"/>
          <w:szCs w:val="24"/>
        </w:rPr>
        <w:t>los mismos</w:t>
      </w:r>
      <w:r w:rsidR="005E4B35">
        <w:rPr>
          <w:bCs/>
          <w:sz w:val="24"/>
          <w:szCs w:val="24"/>
        </w:rPr>
        <w:t xml:space="preserve"> quedaban excluidos para efectos de cualquier otra prestación. </w:t>
      </w:r>
    </w:p>
    <w:p w14:paraId="0F113016" w14:textId="216E674E" w:rsidR="005E4B35" w:rsidRDefault="005E4B35" w:rsidP="00945E2C">
      <w:pPr>
        <w:ind w:right="-93"/>
        <w:rPr>
          <w:bCs/>
          <w:sz w:val="24"/>
          <w:szCs w:val="24"/>
        </w:rPr>
      </w:pPr>
    </w:p>
    <w:p w14:paraId="237DCE5D" w14:textId="21046B7D" w:rsidR="005E4B35" w:rsidRDefault="005E4B35" w:rsidP="00945E2C">
      <w:pPr>
        <w:ind w:right="-93"/>
        <w:rPr>
          <w:bCs/>
          <w:sz w:val="24"/>
          <w:szCs w:val="24"/>
        </w:rPr>
      </w:pPr>
      <w:r>
        <w:rPr>
          <w:bCs/>
          <w:sz w:val="24"/>
          <w:szCs w:val="24"/>
        </w:rPr>
        <w:t>Por otro lado, una pensión de vejez, de acuerdo con las normas del Decreto 758 de 1990, con fundamento en los aportes que realizó, de manera exclusiva, como particular, que supera</w:t>
      </w:r>
      <w:r w:rsidR="00B26E82">
        <w:rPr>
          <w:bCs/>
          <w:sz w:val="24"/>
          <w:szCs w:val="24"/>
        </w:rPr>
        <w:t>ron</w:t>
      </w:r>
      <w:r>
        <w:rPr>
          <w:bCs/>
          <w:sz w:val="24"/>
          <w:szCs w:val="24"/>
        </w:rPr>
        <w:t xml:space="preserve"> más de 10 años, </w:t>
      </w:r>
      <w:r w:rsidR="00DC046D">
        <w:rPr>
          <w:bCs/>
          <w:sz w:val="24"/>
          <w:szCs w:val="24"/>
        </w:rPr>
        <w:t xml:space="preserve">sin tener en cuenta aquellos en los que simultáneamente lo hizo como servidor público, ya que estos últimos eran contabilizados para la pensión de jubilación. </w:t>
      </w:r>
    </w:p>
    <w:p w14:paraId="0C5DCC67" w14:textId="05773FCC" w:rsidR="00DC046D" w:rsidRDefault="00DC046D" w:rsidP="00945E2C">
      <w:pPr>
        <w:ind w:right="-93"/>
        <w:rPr>
          <w:bCs/>
          <w:sz w:val="24"/>
          <w:szCs w:val="24"/>
        </w:rPr>
      </w:pPr>
    </w:p>
    <w:p w14:paraId="6EE5B333" w14:textId="2610A071" w:rsidR="00DC046D" w:rsidRDefault="00DC046D" w:rsidP="00DC046D">
      <w:pPr>
        <w:autoSpaceDE w:val="0"/>
        <w:autoSpaceDN w:val="0"/>
        <w:adjustRightInd w:val="0"/>
        <w:rPr>
          <w:sz w:val="24"/>
          <w:szCs w:val="24"/>
          <w:lang w:val="es-MX" w:eastAsia="ja-JP"/>
        </w:rPr>
      </w:pPr>
      <w:r>
        <w:rPr>
          <w:bCs/>
          <w:sz w:val="24"/>
          <w:szCs w:val="24"/>
        </w:rPr>
        <w:t>Al respecto, el Juzgado Tercero Administrativo de Barranquilla profirió sentencia el</w:t>
      </w:r>
      <w:r w:rsidRPr="00DC046D">
        <w:rPr>
          <w:bCs/>
          <w:sz w:val="24"/>
          <w:szCs w:val="24"/>
        </w:rPr>
        <w:t xml:space="preserve"> </w:t>
      </w:r>
      <w:r w:rsidRPr="00DC046D">
        <w:rPr>
          <w:bCs/>
          <w:sz w:val="24"/>
          <w:szCs w:val="24"/>
          <w:lang w:val="es-MX" w:eastAsia="ja-JP"/>
        </w:rPr>
        <w:t>29 de enero de 2017,</w:t>
      </w:r>
      <w:r>
        <w:rPr>
          <w:sz w:val="24"/>
          <w:szCs w:val="24"/>
          <w:lang w:val="es-MX" w:eastAsia="ja-JP"/>
        </w:rPr>
        <w:t xml:space="preserve"> en la que accedió a las pretensiones de la demanda. Para ello, revisó la historia laboral del demandante y, primero, calculó únicamente los años en que este cotizó como </w:t>
      </w:r>
      <w:r w:rsidR="00B26E82">
        <w:rPr>
          <w:sz w:val="24"/>
          <w:szCs w:val="24"/>
          <w:lang w:val="es-MX" w:eastAsia="ja-JP"/>
        </w:rPr>
        <w:t>empleado</w:t>
      </w:r>
      <w:r>
        <w:rPr>
          <w:sz w:val="24"/>
          <w:szCs w:val="24"/>
          <w:lang w:val="es-MX" w:eastAsia="ja-JP"/>
        </w:rPr>
        <w:t xml:space="preserve"> público, así en algunos de esos periodos lo hubiera hecho simultáneamente como particular, y encontró que estaban satisfechos los requisitos de la Ley 33 de 1985 para ser acreedor de la pensión de jubilación</w:t>
      </w:r>
      <w:r w:rsidR="00B26E82">
        <w:rPr>
          <w:sz w:val="24"/>
          <w:szCs w:val="24"/>
          <w:lang w:val="es-MX" w:eastAsia="ja-JP"/>
        </w:rPr>
        <w:t>, en particular, los 20 años de servicio</w:t>
      </w:r>
      <w:r>
        <w:rPr>
          <w:sz w:val="24"/>
          <w:szCs w:val="24"/>
          <w:lang w:val="es-MX" w:eastAsia="ja-JP"/>
        </w:rPr>
        <w:t>.</w:t>
      </w:r>
    </w:p>
    <w:p w14:paraId="35532456" w14:textId="77777777" w:rsidR="00DC046D" w:rsidRDefault="00DC046D" w:rsidP="00DC046D">
      <w:pPr>
        <w:autoSpaceDE w:val="0"/>
        <w:autoSpaceDN w:val="0"/>
        <w:adjustRightInd w:val="0"/>
        <w:rPr>
          <w:sz w:val="24"/>
          <w:szCs w:val="24"/>
          <w:lang w:val="es-MX" w:eastAsia="ja-JP"/>
        </w:rPr>
      </w:pPr>
    </w:p>
    <w:p w14:paraId="58FC3435" w14:textId="6A6CB4B6" w:rsidR="00DC046D" w:rsidRDefault="00DC046D" w:rsidP="00DC046D">
      <w:pPr>
        <w:autoSpaceDE w:val="0"/>
        <w:autoSpaceDN w:val="0"/>
        <w:adjustRightInd w:val="0"/>
        <w:rPr>
          <w:sz w:val="24"/>
          <w:szCs w:val="24"/>
          <w:lang w:val="es-MX" w:eastAsia="ja-JP"/>
        </w:rPr>
      </w:pPr>
      <w:r>
        <w:rPr>
          <w:sz w:val="24"/>
          <w:szCs w:val="24"/>
          <w:lang w:val="es-MX" w:eastAsia="ja-JP"/>
        </w:rPr>
        <w:t xml:space="preserve">Luego, de las semanas restantes, es decir, sin tener en cuenta los periodos de cotización simultáneos, computó los tiempos en que el interesado aportó como particular, y halló que superaron más de 10 años, por lo que también fueron </w:t>
      </w:r>
      <w:r w:rsidR="00B26E82">
        <w:rPr>
          <w:sz w:val="24"/>
          <w:szCs w:val="24"/>
          <w:lang w:val="es-MX" w:eastAsia="ja-JP"/>
        </w:rPr>
        <w:t>satisfechos</w:t>
      </w:r>
      <w:r>
        <w:rPr>
          <w:sz w:val="24"/>
          <w:szCs w:val="24"/>
          <w:lang w:val="es-MX" w:eastAsia="ja-JP"/>
        </w:rPr>
        <w:t xml:space="preserve"> los requisitos del Decreto 758 de 1990 para ser beneficiario de la pensión de vejez. </w:t>
      </w:r>
    </w:p>
    <w:p w14:paraId="5D91547B" w14:textId="7366637E" w:rsidR="00100CB3" w:rsidRDefault="00100CB3" w:rsidP="00DC046D">
      <w:pPr>
        <w:autoSpaceDE w:val="0"/>
        <w:autoSpaceDN w:val="0"/>
        <w:adjustRightInd w:val="0"/>
        <w:rPr>
          <w:sz w:val="24"/>
          <w:szCs w:val="24"/>
          <w:lang w:val="es-MX" w:eastAsia="ja-JP"/>
        </w:rPr>
      </w:pPr>
    </w:p>
    <w:p w14:paraId="3A03C352" w14:textId="545ED746" w:rsidR="00100CB3" w:rsidRDefault="00100CB3" w:rsidP="00DC046D">
      <w:pPr>
        <w:autoSpaceDE w:val="0"/>
        <w:autoSpaceDN w:val="0"/>
        <w:adjustRightInd w:val="0"/>
        <w:rPr>
          <w:sz w:val="24"/>
          <w:szCs w:val="24"/>
          <w:lang w:val="es-MX" w:eastAsia="ja-JP"/>
        </w:rPr>
      </w:pPr>
      <w:r>
        <w:rPr>
          <w:sz w:val="24"/>
          <w:szCs w:val="24"/>
          <w:lang w:val="es-MX" w:eastAsia="ja-JP"/>
        </w:rPr>
        <w:t>En segunda instancia, la Sección C del Tribunal Administrativo del Atlántico revocó la decisión</w:t>
      </w:r>
      <w:r w:rsidR="00512693">
        <w:rPr>
          <w:sz w:val="24"/>
          <w:szCs w:val="24"/>
          <w:lang w:val="es-MX" w:eastAsia="ja-JP"/>
        </w:rPr>
        <w:t xml:space="preserve"> del </w:t>
      </w:r>
      <w:r w:rsidR="00512693">
        <w:rPr>
          <w:i/>
          <w:iCs/>
          <w:sz w:val="24"/>
          <w:szCs w:val="24"/>
          <w:lang w:val="es-MX" w:eastAsia="ja-JP"/>
        </w:rPr>
        <w:t>a quo</w:t>
      </w:r>
      <w:r>
        <w:rPr>
          <w:sz w:val="24"/>
          <w:szCs w:val="24"/>
          <w:lang w:val="es-MX" w:eastAsia="ja-JP"/>
        </w:rPr>
        <w:t xml:space="preserve">, en sentencia del 30 de junio de 2022, y negó las pretensiones de la demanda. En </w:t>
      </w:r>
      <w:r w:rsidR="00A33187">
        <w:rPr>
          <w:sz w:val="24"/>
          <w:szCs w:val="24"/>
          <w:lang w:val="es-MX" w:eastAsia="ja-JP"/>
        </w:rPr>
        <w:t xml:space="preserve">juez colegiado explicó que, al </w:t>
      </w:r>
      <w:r w:rsidR="00420D11">
        <w:rPr>
          <w:sz w:val="24"/>
          <w:szCs w:val="24"/>
          <w:lang w:val="es-MX" w:eastAsia="ja-JP"/>
        </w:rPr>
        <w:t>computar</w:t>
      </w:r>
      <w:r w:rsidR="00A33187">
        <w:rPr>
          <w:sz w:val="24"/>
          <w:szCs w:val="24"/>
          <w:lang w:val="es-MX" w:eastAsia="ja-JP"/>
        </w:rPr>
        <w:t xml:space="preserve"> las semanas cotizadas como servidor público</w:t>
      </w:r>
      <w:r w:rsidR="00420D11">
        <w:rPr>
          <w:sz w:val="24"/>
          <w:szCs w:val="24"/>
          <w:lang w:val="es-MX" w:eastAsia="ja-JP"/>
        </w:rPr>
        <w:t>,</w:t>
      </w:r>
      <w:r w:rsidR="00A33187">
        <w:rPr>
          <w:sz w:val="24"/>
          <w:szCs w:val="24"/>
          <w:lang w:val="es-MX" w:eastAsia="ja-JP"/>
        </w:rPr>
        <w:t xml:space="preserve"> restantes a las que fueron tenidas en cuenta para reconocer la pensión de vejez de que trata el Decreto 758 de 1990, </w:t>
      </w:r>
      <w:r w:rsidR="00420D11">
        <w:rPr>
          <w:sz w:val="24"/>
          <w:szCs w:val="24"/>
          <w:lang w:val="es-MX" w:eastAsia="ja-JP"/>
        </w:rPr>
        <w:t xml:space="preserve">encontró que estas </w:t>
      </w:r>
      <w:r w:rsidR="00A33187">
        <w:rPr>
          <w:sz w:val="24"/>
          <w:szCs w:val="24"/>
          <w:lang w:val="es-MX" w:eastAsia="ja-JP"/>
        </w:rPr>
        <w:t xml:space="preserve">no superaban los 13 años, por lo que eran insuficientes para el otorgamiento de la pensión de jubilación de la Ley 33 de 1985. </w:t>
      </w:r>
    </w:p>
    <w:p w14:paraId="31804944" w14:textId="340E29F2" w:rsidR="00822738" w:rsidRDefault="00512693" w:rsidP="00822738">
      <w:pPr>
        <w:autoSpaceDE w:val="0"/>
        <w:autoSpaceDN w:val="0"/>
        <w:adjustRightInd w:val="0"/>
        <w:rPr>
          <w:bCs/>
          <w:sz w:val="24"/>
          <w:szCs w:val="24"/>
        </w:rPr>
      </w:pPr>
      <w:r>
        <w:rPr>
          <w:sz w:val="24"/>
          <w:szCs w:val="24"/>
          <w:lang w:val="es-MX" w:eastAsia="ja-JP"/>
        </w:rPr>
        <w:lastRenderedPageBreak/>
        <w:t xml:space="preserve">Ahora bien, inconforme con la anterior providencia, </w:t>
      </w:r>
      <w:r>
        <w:rPr>
          <w:bCs/>
          <w:sz w:val="24"/>
          <w:szCs w:val="24"/>
        </w:rPr>
        <w:t>Pedro Pastor Aragón Canchila formuló acción de tutela en contra de la Sección C del Tribunal Administrativo del Atlántico, porque consideró que incurrió en los defectos fáctico y sustantivo, por las siguientes razones:</w:t>
      </w:r>
    </w:p>
    <w:p w14:paraId="1E6BF4BF" w14:textId="2E9906F9" w:rsidR="00822738" w:rsidRDefault="00822738" w:rsidP="00822738">
      <w:pPr>
        <w:autoSpaceDE w:val="0"/>
        <w:autoSpaceDN w:val="0"/>
        <w:adjustRightInd w:val="0"/>
        <w:rPr>
          <w:bCs/>
          <w:sz w:val="24"/>
          <w:szCs w:val="24"/>
        </w:rPr>
      </w:pPr>
    </w:p>
    <w:p w14:paraId="5F8DFCED" w14:textId="0B3E973B" w:rsidR="00B373D8" w:rsidRPr="00B373D8" w:rsidRDefault="00B373D8" w:rsidP="00B373D8">
      <w:pPr>
        <w:pStyle w:val="Prrafodelista"/>
        <w:autoSpaceDE w:val="0"/>
        <w:autoSpaceDN w:val="0"/>
        <w:adjustRightInd w:val="0"/>
        <w:ind w:left="0" w:right="-93"/>
        <w:rPr>
          <w:bCs/>
          <w:sz w:val="24"/>
          <w:szCs w:val="24"/>
        </w:rPr>
      </w:pPr>
      <w:r>
        <w:rPr>
          <w:sz w:val="24"/>
          <w:szCs w:val="24"/>
          <w:lang w:val="es-MX" w:eastAsia="ja-JP"/>
        </w:rPr>
        <w:t xml:space="preserve">i) </w:t>
      </w:r>
      <w:r w:rsidR="00822738" w:rsidRPr="00822738">
        <w:rPr>
          <w:sz w:val="24"/>
          <w:szCs w:val="24"/>
          <w:lang w:val="es-MX" w:eastAsia="ja-JP"/>
        </w:rPr>
        <w:t>En auto del 12 de noviembre de 2019 se decretó como prueba de mejor proveer, que Colpensiones indicara si para la pensión de vejez que reconoció</w:t>
      </w:r>
      <w:r w:rsidR="00420D11">
        <w:rPr>
          <w:sz w:val="24"/>
          <w:szCs w:val="24"/>
          <w:lang w:val="es-MX" w:eastAsia="ja-JP"/>
        </w:rPr>
        <w:t>,</w:t>
      </w:r>
      <w:r w:rsidR="00822738" w:rsidRPr="00822738">
        <w:rPr>
          <w:sz w:val="24"/>
          <w:szCs w:val="24"/>
          <w:lang w:val="es-MX" w:eastAsia="ja-JP"/>
        </w:rPr>
        <w:t xml:space="preserve"> tuvo en cuenta tiempos cotizados como servidor público, y de ser así, especificara cu</w:t>
      </w:r>
      <w:r w:rsidR="0004213F">
        <w:rPr>
          <w:sz w:val="24"/>
          <w:szCs w:val="24"/>
          <w:lang w:val="es-MX" w:eastAsia="ja-JP"/>
        </w:rPr>
        <w:t>á</w:t>
      </w:r>
      <w:r w:rsidR="00822738" w:rsidRPr="00822738">
        <w:rPr>
          <w:sz w:val="24"/>
          <w:szCs w:val="24"/>
          <w:lang w:val="es-MX" w:eastAsia="ja-JP"/>
        </w:rPr>
        <w:t xml:space="preserve">les. </w:t>
      </w:r>
      <w:r>
        <w:rPr>
          <w:sz w:val="24"/>
          <w:szCs w:val="24"/>
          <w:lang w:val="es-MX" w:eastAsia="ja-JP"/>
        </w:rPr>
        <w:t>Sin embargo</w:t>
      </w:r>
      <w:r w:rsidR="00822738" w:rsidRPr="00822738">
        <w:rPr>
          <w:sz w:val="24"/>
          <w:szCs w:val="24"/>
          <w:lang w:val="es-MX" w:eastAsia="ja-JP"/>
        </w:rPr>
        <w:t xml:space="preserve">, la </w:t>
      </w:r>
      <w:r>
        <w:rPr>
          <w:sz w:val="24"/>
          <w:szCs w:val="24"/>
          <w:lang w:val="es-MX" w:eastAsia="ja-JP"/>
        </w:rPr>
        <w:t xml:space="preserve">mencionada entidad </w:t>
      </w:r>
      <w:r w:rsidR="00822738" w:rsidRPr="00822738">
        <w:rPr>
          <w:sz w:val="24"/>
          <w:szCs w:val="24"/>
          <w:lang w:val="es-MX" w:eastAsia="ja-JP"/>
        </w:rPr>
        <w:t>allegó al expediente ordinario oficio del 6 de junio de 2022 en el que solo dio cuenta de las resoluciones que ha emitido, pero no respond</w:t>
      </w:r>
      <w:r>
        <w:rPr>
          <w:sz w:val="24"/>
          <w:szCs w:val="24"/>
          <w:lang w:val="es-MX" w:eastAsia="ja-JP"/>
        </w:rPr>
        <w:t>ió</w:t>
      </w:r>
      <w:r w:rsidR="00822738" w:rsidRPr="00822738">
        <w:rPr>
          <w:sz w:val="24"/>
          <w:szCs w:val="24"/>
          <w:lang w:val="es-MX" w:eastAsia="ja-JP"/>
        </w:rPr>
        <w:t xml:space="preserve"> </w:t>
      </w:r>
      <w:r w:rsidR="00420D11">
        <w:rPr>
          <w:sz w:val="24"/>
          <w:szCs w:val="24"/>
          <w:lang w:val="es-MX" w:eastAsia="ja-JP"/>
        </w:rPr>
        <w:t>de forma concreta e</w:t>
      </w:r>
      <w:r w:rsidR="00822738" w:rsidRPr="00822738">
        <w:rPr>
          <w:sz w:val="24"/>
          <w:szCs w:val="24"/>
          <w:lang w:val="es-MX" w:eastAsia="ja-JP"/>
        </w:rPr>
        <w:t xml:space="preserve">l requerimiento. </w:t>
      </w:r>
      <w:r w:rsidR="00822738">
        <w:rPr>
          <w:sz w:val="24"/>
          <w:szCs w:val="24"/>
          <w:lang w:val="es-MX" w:eastAsia="ja-JP"/>
        </w:rPr>
        <w:t>De esta prueba, no se corrió traslado al demandante</w:t>
      </w:r>
      <w:r>
        <w:rPr>
          <w:sz w:val="24"/>
          <w:szCs w:val="24"/>
          <w:lang w:val="es-MX" w:eastAsia="ja-JP"/>
        </w:rPr>
        <w:t xml:space="preserve"> para garantizar el derecho de defensa y contradicción, pese a que no tuvo acceso al expediente ordinario dadas las múltiples solicitudes en tal sentido. </w:t>
      </w:r>
    </w:p>
    <w:p w14:paraId="7C076615" w14:textId="77777777" w:rsidR="00B373D8" w:rsidRDefault="00B373D8" w:rsidP="00B373D8">
      <w:pPr>
        <w:autoSpaceDE w:val="0"/>
        <w:autoSpaceDN w:val="0"/>
        <w:adjustRightInd w:val="0"/>
        <w:ind w:right="-93"/>
        <w:rPr>
          <w:sz w:val="24"/>
          <w:szCs w:val="24"/>
          <w:lang w:val="es-MX" w:eastAsia="ja-JP"/>
        </w:rPr>
      </w:pPr>
    </w:p>
    <w:p w14:paraId="4AD72750" w14:textId="0C7A4E8A" w:rsidR="00DC046D" w:rsidRDefault="00B373D8" w:rsidP="00B373D8">
      <w:pPr>
        <w:autoSpaceDE w:val="0"/>
        <w:autoSpaceDN w:val="0"/>
        <w:adjustRightInd w:val="0"/>
        <w:ind w:right="-93"/>
        <w:rPr>
          <w:sz w:val="24"/>
          <w:szCs w:val="24"/>
          <w:lang w:val="es-MX" w:eastAsia="ja-JP"/>
        </w:rPr>
      </w:pPr>
      <w:r w:rsidRPr="00B373D8">
        <w:rPr>
          <w:sz w:val="24"/>
          <w:szCs w:val="24"/>
          <w:lang w:val="es-MX" w:eastAsia="ja-JP"/>
        </w:rPr>
        <w:t xml:space="preserve">La confusión creada por Colpensiones </w:t>
      </w:r>
      <w:r w:rsidR="00420D11">
        <w:rPr>
          <w:sz w:val="24"/>
          <w:szCs w:val="24"/>
          <w:lang w:val="es-MX" w:eastAsia="ja-JP"/>
        </w:rPr>
        <w:t xml:space="preserve">con el oficio del 6 de junio de 2022 </w:t>
      </w:r>
      <w:r w:rsidRPr="00B373D8">
        <w:rPr>
          <w:sz w:val="24"/>
          <w:szCs w:val="24"/>
          <w:lang w:val="es-MX" w:eastAsia="ja-JP"/>
        </w:rPr>
        <w:t xml:space="preserve">en relación con las semanas consideradas para la pensión de vejez, ocasionó que el Tribunal Administrativo del Atlántico solo diera por probado 13 años de servicio público y que no </w:t>
      </w:r>
      <w:r>
        <w:rPr>
          <w:sz w:val="24"/>
          <w:szCs w:val="24"/>
          <w:lang w:val="es-MX" w:eastAsia="ja-JP"/>
        </w:rPr>
        <w:t>encontrara</w:t>
      </w:r>
      <w:r w:rsidRPr="00B373D8">
        <w:rPr>
          <w:sz w:val="24"/>
          <w:szCs w:val="24"/>
          <w:lang w:val="es-MX" w:eastAsia="ja-JP"/>
        </w:rPr>
        <w:t xml:space="preserve"> cumplidos los requisitos para la prestación de jubilación. </w:t>
      </w:r>
    </w:p>
    <w:p w14:paraId="1141BF5E" w14:textId="225746DA" w:rsidR="00B373D8" w:rsidRDefault="00B373D8" w:rsidP="00B373D8">
      <w:pPr>
        <w:autoSpaceDE w:val="0"/>
        <w:autoSpaceDN w:val="0"/>
        <w:adjustRightInd w:val="0"/>
        <w:ind w:right="-93"/>
        <w:rPr>
          <w:sz w:val="24"/>
          <w:szCs w:val="24"/>
          <w:lang w:val="es-MX" w:eastAsia="ja-JP"/>
        </w:rPr>
      </w:pPr>
    </w:p>
    <w:p w14:paraId="0945DA89" w14:textId="6330589A" w:rsidR="00B373D8" w:rsidRDefault="00B373D8" w:rsidP="00B373D8">
      <w:pPr>
        <w:autoSpaceDE w:val="0"/>
        <w:autoSpaceDN w:val="0"/>
        <w:adjustRightInd w:val="0"/>
        <w:ind w:right="-93"/>
        <w:rPr>
          <w:sz w:val="24"/>
          <w:szCs w:val="24"/>
          <w:lang w:val="es-MX" w:eastAsia="ja-JP"/>
        </w:rPr>
      </w:pPr>
      <w:r>
        <w:rPr>
          <w:sz w:val="24"/>
          <w:szCs w:val="24"/>
          <w:lang w:val="es-MX" w:eastAsia="ja-JP"/>
        </w:rPr>
        <w:t>ii) El Tribunal valoró de manera irracional los formularios de la historia laboral del señor Aragón Canchila y las resoluciones demandadas, puesto que estás daban cuenta</w:t>
      </w:r>
      <w:r w:rsidR="00A542F0">
        <w:rPr>
          <w:sz w:val="24"/>
          <w:szCs w:val="24"/>
          <w:lang w:val="es-MX" w:eastAsia="ja-JP"/>
        </w:rPr>
        <w:t xml:space="preserve"> </w:t>
      </w:r>
      <w:r w:rsidR="00DB77B6">
        <w:rPr>
          <w:sz w:val="24"/>
          <w:szCs w:val="24"/>
          <w:lang w:val="es-MX" w:eastAsia="ja-JP"/>
        </w:rPr>
        <w:t xml:space="preserve">de que laboró más de 20 años como servidor público, y que, sin tener en cuenta los tiempos cotizados de manera simultánea, aportó más de 10 años de forma exclusiva como particular. </w:t>
      </w:r>
    </w:p>
    <w:p w14:paraId="50C403E8" w14:textId="0AD6B92C" w:rsidR="00DB77B6" w:rsidRDefault="00DB77B6" w:rsidP="00B373D8">
      <w:pPr>
        <w:autoSpaceDE w:val="0"/>
        <w:autoSpaceDN w:val="0"/>
        <w:adjustRightInd w:val="0"/>
        <w:ind w:right="-93"/>
        <w:rPr>
          <w:sz w:val="24"/>
          <w:szCs w:val="24"/>
          <w:lang w:val="es-MX" w:eastAsia="ja-JP"/>
        </w:rPr>
      </w:pPr>
    </w:p>
    <w:p w14:paraId="6A8A70F3" w14:textId="544A48A8" w:rsidR="00DB77B6" w:rsidRDefault="00DB77B6" w:rsidP="00B373D8">
      <w:pPr>
        <w:autoSpaceDE w:val="0"/>
        <w:autoSpaceDN w:val="0"/>
        <w:adjustRightInd w:val="0"/>
        <w:ind w:right="-93"/>
        <w:rPr>
          <w:rFonts w:eastAsia="Times New Roman"/>
          <w:sz w:val="24"/>
          <w:szCs w:val="24"/>
          <w:lang w:eastAsia="es-ES"/>
        </w:rPr>
      </w:pPr>
      <w:r>
        <w:rPr>
          <w:sz w:val="24"/>
          <w:szCs w:val="24"/>
          <w:lang w:val="es-MX" w:eastAsia="ja-JP"/>
        </w:rPr>
        <w:t xml:space="preserve">iii) La Ley 33 de 1985 y el Decreto 3063 de 1989 que sirvieron de fundamento para el Tribunal, </w:t>
      </w:r>
      <w:r>
        <w:rPr>
          <w:rFonts w:eastAsia="Times New Roman"/>
          <w:sz w:val="24"/>
          <w:szCs w:val="24"/>
          <w:lang w:eastAsia="es-ES"/>
        </w:rPr>
        <w:t xml:space="preserve">no prevén que puedan ser invalidados o anuladas cotizaciones en el sector público, en razón a que, de manera simultánea, fueran aportadas semanas en el sector privado. </w:t>
      </w:r>
    </w:p>
    <w:p w14:paraId="2DA8CDED" w14:textId="7EEDC9D9" w:rsidR="00A61368" w:rsidRDefault="00A61368" w:rsidP="00A61368">
      <w:pPr>
        <w:pStyle w:val="NormalWeb"/>
        <w:shd w:val="clear" w:color="auto" w:fill="FFFFFF"/>
        <w:rPr>
          <w:rFonts w:ascii="Arial" w:hAnsi="Arial" w:cs="Arial"/>
          <w:b/>
          <w:bCs/>
          <w:iCs/>
        </w:rPr>
      </w:pPr>
    </w:p>
    <w:p w14:paraId="036585C4" w14:textId="5323C822" w:rsidR="00A61368" w:rsidRPr="00A61368" w:rsidRDefault="00A61368" w:rsidP="00A61368">
      <w:pPr>
        <w:pStyle w:val="NormalWeb"/>
        <w:shd w:val="clear" w:color="auto" w:fill="FFFFFF"/>
        <w:rPr>
          <w:rFonts w:ascii="Arial" w:hAnsi="Arial" w:cs="Arial"/>
          <w:iCs/>
        </w:rPr>
      </w:pPr>
      <w:r>
        <w:rPr>
          <w:rFonts w:ascii="Arial" w:hAnsi="Arial" w:cs="Arial"/>
          <w:iCs/>
        </w:rPr>
        <w:t>Sería del caso para la Sala verificar el cumplimiento de cada uno de los requisitos de procedibilidad de la presente solicitud de amparo, sino fuera porque, en particular, los argumentos</w:t>
      </w:r>
      <w:r w:rsidR="00D95039">
        <w:rPr>
          <w:rFonts w:ascii="Arial" w:hAnsi="Arial" w:cs="Arial"/>
          <w:iCs/>
        </w:rPr>
        <w:t xml:space="preserve"> que sustentan el primer defecto fáctico, ponen de presente un asunto propio de ser discutido mediante otro mecanismo judicial, como se explicará a continuación: </w:t>
      </w:r>
    </w:p>
    <w:p w14:paraId="1385BEEB" w14:textId="77777777" w:rsidR="00A61368" w:rsidRDefault="00A61368" w:rsidP="00A61368">
      <w:pPr>
        <w:pStyle w:val="NormalWeb"/>
        <w:shd w:val="clear" w:color="auto" w:fill="FFFFFF"/>
        <w:rPr>
          <w:rFonts w:ascii="Arial" w:hAnsi="Arial" w:cs="Arial"/>
          <w:b/>
          <w:bCs/>
          <w:iCs/>
        </w:rPr>
      </w:pPr>
    </w:p>
    <w:p w14:paraId="3FF0CE3F" w14:textId="3BFA5DA8" w:rsidR="00A61368" w:rsidRDefault="00D95039" w:rsidP="00A61368">
      <w:pPr>
        <w:pStyle w:val="NormalWeb"/>
        <w:shd w:val="clear" w:color="auto" w:fill="FFFFFF"/>
        <w:rPr>
          <w:rFonts w:ascii="Arial" w:hAnsi="Arial" w:cs="Arial"/>
          <w:iCs/>
        </w:rPr>
      </w:pPr>
      <w:r>
        <w:rPr>
          <w:rFonts w:ascii="Arial" w:hAnsi="Arial" w:cs="Arial"/>
          <w:iCs/>
        </w:rPr>
        <w:t>E</w:t>
      </w:r>
      <w:r w:rsidR="00A61368">
        <w:rPr>
          <w:rFonts w:ascii="Arial" w:hAnsi="Arial" w:cs="Arial"/>
          <w:iCs/>
        </w:rPr>
        <w:t>l artículo 248 del CPACA</w:t>
      </w:r>
      <w:r>
        <w:rPr>
          <w:rFonts w:ascii="Arial" w:hAnsi="Arial" w:cs="Arial"/>
          <w:iCs/>
        </w:rPr>
        <w:t xml:space="preserve"> que prevé el recurso extraordinario de revisión, dispone</w:t>
      </w:r>
      <w:r w:rsidR="00A61368">
        <w:rPr>
          <w:rFonts w:ascii="Arial" w:hAnsi="Arial" w:cs="Arial"/>
          <w:iCs/>
        </w:rPr>
        <w:t xml:space="preserve">: </w:t>
      </w:r>
    </w:p>
    <w:p w14:paraId="142515DD" w14:textId="77777777" w:rsidR="00A61368" w:rsidRDefault="00A61368" w:rsidP="00A61368">
      <w:pPr>
        <w:pStyle w:val="NormalWeb"/>
        <w:shd w:val="clear" w:color="auto" w:fill="FFFFFF"/>
        <w:rPr>
          <w:rFonts w:ascii="Arial" w:hAnsi="Arial" w:cs="Arial"/>
          <w:iCs/>
        </w:rPr>
      </w:pPr>
    </w:p>
    <w:p w14:paraId="6DC483FE" w14:textId="4B23BCEE" w:rsidR="00A61368" w:rsidRDefault="00A61368" w:rsidP="00A61368">
      <w:pPr>
        <w:pStyle w:val="NormalWeb"/>
        <w:shd w:val="clear" w:color="auto" w:fill="FFFFFF"/>
        <w:ind w:left="708"/>
        <w:rPr>
          <w:rFonts w:ascii="Arial" w:hAnsi="Arial" w:cs="Arial"/>
          <w:iCs/>
          <w:sz w:val="22"/>
          <w:szCs w:val="22"/>
        </w:rPr>
      </w:pPr>
      <w:r w:rsidRPr="00534B32">
        <w:rPr>
          <w:rFonts w:ascii="Arial" w:hAnsi="Arial" w:cs="Arial"/>
          <w:iCs/>
          <w:sz w:val="22"/>
          <w:szCs w:val="22"/>
        </w:rPr>
        <w:t>“El recurso extraordinario de revisión procede contra las sentencias ejecutoriadas dictadas por las secciones y subsecciones de la Sala de lo Contencioso Administrativo del Consejo de Estado, por los Tribunales Administrativos y por los jueces administrativos”.</w:t>
      </w:r>
    </w:p>
    <w:p w14:paraId="3513C42A" w14:textId="77777777" w:rsidR="00420D11" w:rsidRPr="00534B32" w:rsidRDefault="00420D11" w:rsidP="00A61368">
      <w:pPr>
        <w:pStyle w:val="NormalWeb"/>
        <w:shd w:val="clear" w:color="auto" w:fill="FFFFFF"/>
        <w:ind w:left="708"/>
        <w:rPr>
          <w:rFonts w:ascii="Arial" w:hAnsi="Arial" w:cs="Arial"/>
          <w:iCs/>
          <w:sz w:val="22"/>
          <w:szCs w:val="22"/>
        </w:rPr>
      </w:pPr>
    </w:p>
    <w:p w14:paraId="0F8CC1D6" w14:textId="5338148A" w:rsidR="00A61368" w:rsidRDefault="00D95039" w:rsidP="00A61368">
      <w:pPr>
        <w:pStyle w:val="NormalWeb"/>
        <w:shd w:val="clear" w:color="auto" w:fill="FFFFFF"/>
        <w:rPr>
          <w:rFonts w:ascii="Arial" w:hAnsi="Arial" w:cs="Arial"/>
        </w:rPr>
      </w:pPr>
      <w:r>
        <w:rPr>
          <w:rFonts w:ascii="Arial" w:hAnsi="Arial" w:cs="Arial"/>
          <w:iCs/>
        </w:rPr>
        <w:t>Por su parte, el</w:t>
      </w:r>
      <w:r w:rsidR="00A61368">
        <w:rPr>
          <w:rFonts w:ascii="Arial" w:hAnsi="Arial" w:cs="Arial"/>
          <w:iCs/>
        </w:rPr>
        <w:t xml:space="preserve"> artículo 250</w:t>
      </w:r>
      <w:r>
        <w:rPr>
          <w:rFonts w:ascii="Arial" w:hAnsi="Arial" w:cs="Arial"/>
          <w:iCs/>
        </w:rPr>
        <w:t xml:space="preserve"> </w:t>
      </w:r>
      <w:r>
        <w:rPr>
          <w:rFonts w:ascii="Arial" w:hAnsi="Arial" w:cs="Arial"/>
          <w:i/>
        </w:rPr>
        <w:t>ibidem</w:t>
      </w:r>
      <w:r w:rsidR="00A61368">
        <w:rPr>
          <w:rFonts w:ascii="Arial" w:hAnsi="Arial" w:cs="Arial"/>
          <w:iCs/>
        </w:rPr>
        <w:t>, incluyó dentro de sus causales, en el numeral 5, la existencia de “</w:t>
      </w:r>
      <w:r w:rsidR="00A61368" w:rsidRPr="00D140EF">
        <w:rPr>
          <w:rFonts w:ascii="Arial" w:hAnsi="Arial" w:cs="Arial"/>
          <w:iCs/>
        </w:rPr>
        <w:t>nulidad originada en la sentencia que puso fin al proceso y contra la que no procede recurso de apelación</w:t>
      </w:r>
      <w:r w:rsidR="00A61368">
        <w:rPr>
          <w:rFonts w:ascii="Arial" w:hAnsi="Arial" w:cs="Arial"/>
          <w:iCs/>
        </w:rPr>
        <w:t xml:space="preserve">”. En relación con la mencionada causal, </w:t>
      </w:r>
      <w:r w:rsidR="00A61368">
        <w:rPr>
          <w:rFonts w:ascii="Arial" w:hAnsi="Arial" w:cs="Arial"/>
        </w:rPr>
        <w:t xml:space="preserve">la </w:t>
      </w:r>
      <w:r w:rsidR="00A61368" w:rsidRPr="001B493E">
        <w:rPr>
          <w:rFonts w:ascii="Arial" w:hAnsi="Arial" w:cs="Arial"/>
        </w:rPr>
        <w:t>Sala Especial de Revisión 26</w:t>
      </w:r>
      <w:r w:rsidR="00A61368" w:rsidRPr="001B493E">
        <w:rPr>
          <w:rFonts w:ascii="Arial" w:hAnsi="Arial" w:cs="Arial"/>
          <w:vertAlign w:val="superscript"/>
        </w:rPr>
        <w:footnoteReference w:id="22"/>
      </w:r>
      <w:r w:rsidR="00A61368">
        <w:rPr>
          <w:rFonts w:ascii="Arial" w:hAnsi="Arial" w:cs="Arial"/>
        </w:rPr>
        <w:t>, aclaró que:</w:t>
      </w:r>
    </w:p>
    <w:p w14:paraId="25F4E00C" w14:textId="77777777" w:rsidR="00A61368" w:rsidRDefault="00A61368" w:rsidP="00A61368">
      <w:pPr>
        <w:pStyle w:val="NormalWeb"/>
        <w:shd w:val="clear" w:color="auto" w:fill="FFFFFF"/>
        <w:rPr>
          <w:rFonts w:ascii="Arial" w:hAnsi="Arial" w:cs="Arial"/>
        </w:rPr>
      </w:pPr>
    </w:p>
    <w:p w14:paraId="3E43F3C4" w14:textId="77777777" w:rsidR="00A61368" w:rsidRPr="00CD39BD" w:rsidRDefault="00A61368" w:rsidP="00A61368">
      <w:pPr>
        <w:pStyle w:val="NormalWeb"/>
        <w:shd w:val="clear" w:color="auto" w:fill="FFFFFF"/>
        <w:ind w:left="708"/>
        <w:rPr>
          <w:rFonts w:ascii="Arial" w:hAnsi="Arial" w:cs="Arial"/>
          <w:sz w:val="22"/>
          <w:szCs w:val="22"/>
        </w:rPr>
      </w:pPr>
      <w:r w:rsidRPr="00CD39BD">
        <w:rPr>
          <w:rFonts w:ascii="Arial" w:hAnsi="Arial" w:cs="Arial"/>
          <w:sz w:val="22"/>
          <w:szCs w:val="22"/>
        </w:rPr>
        <w:t>“</w:t>
      </w:r>
      <w:r>
        <w:rPr>
          <w:rFonts w:ascii="Arial" w:hAnsi="Arial" w:cs="Arial"/>
          <w:sz w:val="22"/>
          <w:szCs w:val="22"/>
        </w:rPr>
        <w:t>[el Alto Tribunal Contencioso</w:t>
      </w:r>
      <w:r w:rsidRPr="00CD39BD">
        <w:rPr>
          <w:rFonts w:ascii="Arial" w:hAnsi="Arial" w:cs="Arial"/>
          <w:sz w:val="22"/>
          <w:szCs w:val="22"/>
        </w:rPr>
        <w:t xml:space="preserve">] ha aceptado, que pueden existir otros motivos no contemplados en los códigos procesales como causales de nulidad, pero que surgen de la vulneración del artículo 29 constitucional. Es decir, que la violación al debido proceso constitucional en la sentencia puede ser causal de revisión”.  </w:t>
      </w:r>
    </w:p>
    <w:p w14:paraId="193450D1" w14:textId="77777777" w:rsidR="00A61368" w:rsidRDefault="00A61368" w:rsidP="00A61368">
      <w:pPr>
        <w:pStyle w:val="NormalWeb"/>
        <w:shd w:val="clear" w:color="auto" w:fill="FFFFFF"/>
        <w:rPr>
          <w:rFonts w:ascii="Arial" w:hAnsi="Arial" w:cs="Arial"/>
        </w:rPr>
      </w:pPr>
      <w:r>
        <w:rPr>
          <w:rFonts w:ascii="Arial" w:hAnsi="Arial" w:cs="Arial"/>
        </w:rPr>
        <w:lastRenderedPageBreak/>
        <w:t xml:space="preserve">Incluso, el requisito de taxatividad de la causal invocada ha sido reevaluado a partir del alcance que se le ha impartido a la causal 5 del artículo 250 del CPACA por violación del debido proceso, en el entendido de que el Consejo de Estado ha admitido que no solo las causales previstas en el artículo 133 del CGP generan nulidad en la sentencia, sino que: </w:t>
      </w:r>
    </w:p>
    <w:p w14:paraId="070D20B8" w14:textId="77777777" w:rsidR="00A61368" w:rsidRDefault="00A61368" w:rsidP="00A61368">
      <w:pPr>
        <w:pStyle w:val="NormalWeb"/>
        <w:shd w:val="clear" w:color="auto" w:fill="FFFFFF"/>
        <w:rPr>
          <w:rFonts w:ascii="Arial" w:hAnsi="Arial" w:cs="Arial"/>
        </w:rPr>
      </w:pPr>
    </w:p>
    <w:p w14:paraId="1DACEE90" w14:textId="1424BB92" w:rsidR="00A61368" w:rsidRPr="001C3721" w:rsidRDefault="00A61368" w:rsidP="00A61368">
      <w:pPr>
        <w:pStyle w:val="NormalWeb"/>
        <w:shd w:val="clear" w:color="auto" w:fill="FFFFFF"/>
        <w:ind w:left="708"/>
        <w:rPr>
          <w:rFonts w:ascii="Arial" w:hAnsi="Arial" w:cs="Arial"/>
          <w:sz w:val="22"/>
          <w:szCs w:val="22"/>
        </w:rPr>
      </w:pPr>
      <w:r w:rsidRPr="001C3721">
        <w:rPr>
          <w:rFonts w:ascii="Arial" w:hAnsi="Arial" w:cs="Arial"/>
          <w:sz w:val="22"/>
          <w:szCs w:val="22"/>
        </w:rPr>
        <w:t xml:space="preserve">“[…] al juez le corresponde definir, con base en criterios de razonabilidad, proporcionalidad y adecuación al caso concreto, si una situación determinada que se origina en el fallo de instancia produce el desconocimiento de un mandato constitucional con una relevancia tal que conduzca a invalidarlo, pues lo cierto es que no cualquier anomalía que se predique respecto de la sentencia podrá desvirtuar sus efectos de cosa juzgada. </w:t>
      </w:r>
      <w:r w:rsidRPr="001C3721">
        <w:rPr>
          <w:rFonts w:ascii="Arial" w:hAnsi="Arial" w:cs="Arial"/>
          <w:sz w:val="22"/>
          <w:szCs w:val="22"/>
          <w:lang w:val="es-ES_tradnl"/>
        </w:rPr>
        <w:t>Así pues, esta tesis estima que los eventos constitutivos de la causal en cuestión no son taxativos</w:t>
      </w:r>
      <w:r w:rsidRPr="001C3721">
        <w:rPr>
          <w:rStyle w:val="Refdenotaalpie"/>
          <w:rFonts w:ascii="Arial" w:hAnsi="Arial" w:cs="Arial"/>
          <w:sz w:val="22"/>
          <w:szCs w:val="22"/>
        </w:rPr>
        <w:footnoteReference w:id="23"/>
      </w:r>
      <w:r w:rsidR="00D95039">
        <w:rPr>
          <w:rFonts w:ascii="Arial" w:hAnsi="Arial" w:cs="Arial"/>
          <w:sz w:val="22"/>
          <w:szCs w:val="22"/>
          <w:lang w:val="es-ES_tradnl"/>
        </w:rPr>
        <w:t>”</w:t>
      </w:r>
    </w:p>
    <w:p w14:paraId="1C0F6D3B" w14:textId="77777777" w:rsidR="00A61368" w:rsidRDefault="00A61368" w:rsidP="00A61368">
      <w:pPr>
        <w:pStyle w:val="NormalWeb"/>
        <w:shd w:val="clear" w:color="auto" w:fill="FFFFFF"/>
        <w:rPr>
          <w:rFonts w:ascii="Arial" w:hAnsi="Arial" w:cs="Arial"/>
        </w:rPr>
      </w:pPr>
    </w:p>
    <w:p w14:paraId="16DE4182" w14:textId="1F3C8666" w:rsidR="00A61368" w:rsidRDefault="00D95039" w:rsidP="00A61368">
      <w:pPr>
        <w:pStyle w:val="NormalWeb"/>
        <w:shd w:val="clear" w:color="auto" w:fill="FFFFFF"/>
        <w:rPr>
          <w:rFonts w:ascii="Arial" w:hAnsi="Arial" w:cs="Arial"/>
        </w:rPr>
      </w:pPr>
      <w:r>
        <w:rPr>
          <w:rFonts w:ascii="Arial" w:hAnsi="Arial" w:cs="Arial"/>
        </w:rPr>
        <w:t>Al respecto</w:t>
      </w:r>
      <w:r w:rsidR="00A61368">
        <w:rPr>
          <w:rFonts w:ascii="Arial" w:hAnsi="Arial" w:cs="Arial"/>
        </w:rPr>
        <w:t>, la Sala Veinte Especial de Decisión del Consejo de Estado, en la sentencia del 29 de enero de 2021</w:t>
      </w:r>
      <w:r w:rsidR="00A61368">
        <w:rPr>
          <w:rStyle w:val="Refdenotaalpie"/>
          <w:rFonts w:ascii="Arial" w:hAnsi="Arial" w:cs="Arial"/>
        </w:rPr>
        <w:footnoteReference w:id="24"/>
      </w:r>
      <w:r w:rsidR="00A61368">
        <w:rPr>
          <w:rFonts w:ascii="Arial" w:hAnsi="Arial" w:cs="Arial"/>
        </w:rPr>
        <w:t xml:space="preserve">, indicó que </w:t>
      </w:r>
      <w:r>
        <w:rPr>
          <w:rFonts w:ascii="Arial" w:hAnsi="Arial" w:cs="Arial"/>
        </w:rPr>
        <w:t xml:space="preserve">para que procesa </w:t>
      </w:r>
      <w:r w:rsidR="00A61368">
        <w:rPr>
          <w:rFonts w:ascii="Arial" w:hAnsi="Arial" w:cs="Arial"/>
        </w:rPr>
        <w:t>la causal 5 de revisión</w:t>
      </w:r>
      <w:r w:rsidR="00F07677">
        <w:rPr>
          <w:rFonts w:ascii="Arial" w:hAnsi="Arial" w:cs="Arial"/>
        </w:rPr>
        <w:t>, es necesario verificar el cumplimiento de los siguientes requisitos</w:t>
      </w:r>
      <w:r>
        <w:rPr>
          <w:rFonts w:ascii="Arial" w:hAnsi="Arial" w:cs="Arial"/>
        </w:rPr>
        <w:t xml:space="preserve">: </w:t>
      </w:r>
    </w:p>
    <w:p w14:paraId="4213EF86" w14:textId="11D8CF29" w:rsidR="00D95039" w:rsidRDefault="00D95039" w:rsidP="00A61368">
      <w:pPr>
        <w:pStyle w:val="NormalWeb"/>
        <w:shd w:val="clear" w:color="auto" w:fill="FFFFFF"/>
        <w:rPr>
          <w:rFonts w:ascii="Arial" w:hAnsi="Arial" w:cs="Arial"/>
        </w:rPr>
      </w:pPr>
    </w:p>
    <w:p w14:paraId="45900573" w14:textId="05D28565" w:rsidR="00D95039" w:rsidRPr="00F07677" w:rsidRDefault="00D95039" w:rsidP="00F07677">
      <w:pPr>
        <w:pStyle w:val="NormalWeb"/>
        <w:shd w:val="clear" w:color="auto" w:fill="FFFFFF"/>
        <w:ind w:left="706"/>
        <w:rPr>
          <w:rFonts w:ascii="Arial" w:hAnsi="Arial" w:cs="Arial"/>
          <w:sz w:val="22"/>
          <w:szCs w:val="22"/>
        </w:rPr>
      </w:pPr>
      <w:r w:rsidRPr="00F07677">
        <w:rPr>
          <w:rFonts w:ascii="Arial" w:hAnsi="Arial" w:cs="Arial"/>
          <w:sz w:val="22"/>
          <w:szCs w:val="22"/>
        </w:rPr>
        <w:t>“[…] i) el vicio alegado se origine en la sentencia, es decir, se materialice con la adopción misma del fallo y no antes, y ii) que la anomalía sea de tal magnitud que configure un defecto insanable de esa actuación, al punto que de no presentarse ese yerro la decisión adoptada hubiese sido distinta”.</w:t>
      </w:r>
    </w:p>
    <w:p w14:paraId="42CFE11B" w14:textId="51AE88D3" w:rsidR="00D95039" w:rsidRDefault="00D95039" w:rsidP="00A61368">
      <w:pPr>
        <w:pStyle w:val="NormalWeb"/>
        <w:shd w:val="clear" w:color="auto" w:fill="FFFFFF"/>
        <w:rPr>
          <w:rFonts w:ascii="Arial" w:hAnsi="Arial" w:cs="Arial"/>
        </w:rPr>
      </w:pPr>
    </w:p>
    <w:p w14:paraId="2C882378" w14:textId="0F78B442" w:rsidR="00F07677" w:rsidRDefault="00F07677" w:rsidP="00F07677">
      <w:pPr>
        <w:pStyle w:val="NormalWeb"/>
        <w:shd w:val="clear" w:color="auto" w:fill="FFFFFF"/>
        <w:rPr>
          <w:rFonts w:ascii="Arial" w:hAnsi="Arial" w:cs="Arial"/>
        </w:rPr>
      </w:pPr>
      <w:r>
        <w:rPr>
          <w:rFonts w:ascii="Arial" w:hAnsi="Arial" w:cs="Arial"/>
        </w:rPr>
        <w:t xml:space="preserve">Sin embargo, </w:t>
      </w:r>
      <w:r w:rsidRPr="00F07677">
        <w:rPr>
          <w:rFonts w:ascii="Arial" w:hAnsi="Arial" w:cs="Arial"/>
        </w:rPr>
        <w:t>f</w:t>
      </w:r>
      <w:r w:rsidR="00D95039" w:rsidRPr="00F07677">
        <w:rPr>
          <w:rFonts w:ascii="Arial" w:hAnsi="Arial" w:cs="Arial"/>
        </w:rPr>
        <w:t xml:space="preserve">rente al primer requisito, en dicha oportunidad, el Alto Tribunal </w:t>
      </w:r>
      <w:r w:rsidR="00420D11" w:rsidRPr="00F07677">
        <w:rPr>
          <w:rFonts w:ascii="Arial" w:hAnsi="Arial" w:cs="Arial"/>
        </w:rPr>
        <w:t>explicó</w:t>
      </w:r>
      <w:r w:rsidR="00D95039" w:rsidRPr="00F07677">
        <w:rPr>
          <w:rFonts w:ascii="Arial" w:hAnsi="Arial" w:cs="Arial"/>
        </w:rPr>
        <w:t xml:space="preserve"> que</w:t>
      </w:r>
      <w:r w:rsidRPr="00F07677">
        <w:rPr>
          <w:rFonts w:ascii="Arial" w:hAnsi="Arial" w:cs="Arial"/>
        </w:rPr>
        <w:t xml:space="preserve"> “[…] debe advertirse que se ha aceptado la proposición de la nulidad procesal ocurrida antes de la expedición de la sentencia, siempre y cuando esta no haya podido ser advertida por el recurrente, caso en el que la parte actora deberá probar que efectivamente no tuvo la posibilidad de proponer la nulidad en el curso del proceso”.</w:t>
      </w:r>
      <w:r w:rsidR="000438D1">
        <w:rPr>
          <w:rFonts w:ascii="Arial" w:hAnsi="Arial" w:cs="Arial"/>
        </w:rPr>
        <w:t xml:space="preserve"> Por lo tanto, estimó que:</w:t>
      </w:r>
    </w:p>
    <w:p w14:paraId="51CF4EDF" w14:textId="19119742" w:rsidR="000438D1" w:rsidRDefault="000438D1" w:rsidP="00F07677">
      <w:pPr>
        <w:pStyle w:val="NormalWeb"/>
        <w:shd w:val="clear" w:color="auto" w:fill="FFFFFF"/>
        <w:rPr>
          <w:rFonts w:ascii="Arial" w:hAnsi="Arial" w:cs="Arial"/>
        </w:rPr>
      </w:pPr>
    </w:p>
    <w:p w14:paraId="52E47513" w14:textId="09CA5AB2" w:rsidR="000438D1" w:rsidRPr="000438D1" w:rsidRDefault="000438D1" w:rsidP="000438D1">
      <w:pPr>
        <w:pStyle w:val="NormalWeb"/>
        <w:shd w:val="clear" w:color="auto" w:fill="FFFFFF"/>
        <w:ind w:left="706"/>
        <w:rPr>
          <w:rFonts w:ascii="Arial" w:hAnsi="Arial" w:cs="Arial"/>
          <w:sz w:val="22"/>
          <w:szCs w:val="22"/>
        </w:rPr>
      </w:pPr>
      <w:r w:rsidRPr="000438D1">
        <w:rPr>
          <w:rFonts w:ascii="Arial" w:hAnsi="Arial" w:cs="Arial"/>
          <w:sz w:val="22"/>
          <w:szCs w:val="22"/>
        </w:rPr>
        <w:t>“</w:t>
      </w:r>
      <w:r>
        <w:rPr>
          <w:rFonts w:ascii="Arial" w:hAnsi="Arial" w:cs="Arial"/>
          <w:sz w:val="22"/>
          <w:szCs w:val="22"/>
        </w:rPr>
        <w:t xml:space="preserve">[…] </w:t>
      </w:r>
      <w:r w:rsidRPr="000438D1">
        <w:rPr>
          <w:rFonts w:ascii="Arial" w:hAnsi="Arial" w:cs="Arial"/>
          <w:sz w:val="22"/>
          <w:szCs w:val="22"/>
        </w:rPr>
        <w:t>para que la causal de nulidad originada en la sentencia de que trata el numeral 5° del artículo 250 del CPACA proceda, deberá acreditarse no solo que se interpone contra una sentencia respecto de la cual no procede el recurso de apelación, sino que además deberá acreditarse que el fallo a infirmar dio origen, bien a una nulidad procesal de las que tratan las codificaciones procesales o bien a un defecto con implicaciones graves en el derecho al debido proceso”.</w:t>
      </w:r>
    </w:p>
    <w:p w14:paraId="5A87ED9A" w14:textId="6C1625F2" w:rsidR="00F07677" w:rsidRDefault="00F07677" w:rsidP="00A61368">
      <w:pPr>
        <w:pStyle w:val="NormalWeb"/>
        <w:shd w:val="clear" w:color="auto" w:fill="FFFFFF"/>
        <w:rPr>
          <w:rFonts w:ascii="Arial" w:hAnsi="Arial" w:cs="Arial"/>
        </w:rPr>
      </w:pPr>
    </w:p>
    <w:p w14:paraId="28BAABD4" w14:textId="61A7F18F" w:rsidR="00A5127B" w:rsidRPr="007C6791" w:rsidRDefault="00420D11" w:rsidP="00A61368">
      <w:pPr>
        <w:pStyle w:val="NormalWeb"/>
        <w:shd w:val="clear" w:color="auto" w:fill="FFFFFF"/>
        <w:rPr>
          <w:rFonts w:ascii="Arial" w:hAnsi="Arial" w:cs="Arial"/>
        </w:rPr>
      </w:pPr>
      <w:r>
        <w:rPr>
          <w:rFonts w:ascii="Arial" w:hAnsi="Arial" w:cs="Arial"/>
        </w:rPr>
        <w:t>Pues bien, r</w:t>
      </w:r>
      <w:r w:rsidR="00A5127B">
        <w:rPr>
          <w:rFonts w:ascii="Arial" w:hAnsi="Arial" w:cs="Arial"/>
        </w:rPr>
        <w:t>evisad</w:t>
      </w:r>
      <w:r>
        <w:rPr>
          <w:rFonts w:ascii="Arial" w:hAnsi="Arial" w:cs="Arial"/>
        </w:rPr>
        <w:t>o</w:t>
      </w:r>
      <w:r w:rsidR="00A5127B">
        <w:rPr>
          <w:rFonts w:ascii="Arial" w:hAnsi="Arial" w:cs="Arial"/>
        </w:rPr>
        <w:t>s l</w:t>
      </w:r>
      <w:r w:rsidR="003B7A46">
        <w:rPr>
          <w:rFonts w:ascii="Arial" w:hAnsi="Arial" w:cs="Arial"/>
        </w:rPr>
        <w:t xml:space="preserve">as razones </w:t>
      </w:r>
      <w:r w:rsidR="00A5127B">
        <w:rPr>
          <w:rFonts w:ascii="Arial" w:hAnsi="Arial" w:cs="Arial"/>
        </w:rPr>
        <w:t xml:space="preserve">que sustentan la tutela, la Sala observa que </w:t>
      </w:r>
      <w:r w:rsidR="003B7A46">
        <w:rPr>
          <w:rFonts w:ascii="Arial" w:hAnsi="Arial" w:cs="Arial"/>
        </w:rPr>
        <w:t>la</w:t>
      </w:r>
      <w:r w:rsidR="00A5127B">
        <w:rPr>
          <w:rFonts w:ascii="Arial" w:hAnsi="Arial" w:cs="Arial"/>
        </w:rPr>
        <w:t xml:space="preserve"> </w:t>
      </w:r>
      <w:r w:rsidR="00A5127B" w:rsidRPr="007C6791">
        <w:rPr>
          <w:rFonts w:ascii="Arial" w:hAnsi="Arial" w:cs="Arial"/>
        </w:rPr>
        <w:t xml:space="preserve">primero </w:t>
      </w:r>
      <w:r w:rsidR="000438D1" w:rsidRPr="007C6791">
        <w:rPr>
          <w:rFonts w:ascii="Arial" w:hAnsi="Arial" w:cs="Arial"/>
        </w:rPr>
        <w:t>de est</w:t>
      </w:r>
      <w:r w:rsidR="003B7A46" w:rsidRPr="007C6791">
        <w:rPr>
          <w:rFonts w:ascii="Arial" w:hAnsi="Arial" w:cs="Arial"/>
        </w:rPr>
        <w:t>a</w:t>
      </w:r>
      <w:r w:rsidR="000438D1" w:rsidRPr="007C6791">
        <w:rPr>
          <w:rFonts w:ascii="Arial" w:hAnsi="Arial" w:cs="Arial"/>
        </w:rPr>
        <w:t xml:space="preserve">s </w:t>
      </w:r>
      <w:r w:rsidR="00A5127B" w:rsidRPr="007C6791">
        <w:rPr>
          <w:rFonts w:ascii="Arial" w:hAnsi="Arial" w:cs="Arial"/>
        </w:rPr>
        <w:t xml:space="preserve">consiste, en términos generales, en que el Tribunal Administrativo del Atlántico emitió la sentencia del 30 de junio de 2022 con violación del debido proceso, puesto que, </w:t>
      </w:r>
      <w:r w:rsidR="003B7A46" w:rsidRPr="007C6791">
        <w:rPr>
          <w:rFonts w:ascii="Arial" w:hAnsi="Arial" w:cs="Arial"/>
        </w:rPr>
        <w:t xml:space="preserve">estando vencido el </w:t>
      </w:r>
      <w:r w:rsidR="00A5127B" w:rsidRPr="007C6791">
        <w:rPr>
          <w:rFonts w:ascii="Arial" w:hAnsi="Arial" w:cs="Arial"/>
        </w:rPr>
        <w:t>término para alegar de conclusión, decretó</w:t>
      </w:r>
      <w:r w:rsidR="003B7A46" w:rsidRPr="007C6791">
        <w:rPr>
          <w:rFonts w:ascii="Arial" w:hAnsi="Arial" w:cs="Arial"/>
        </w:rPr>
        <w:t>,</w:t>
      </w:r>
      <w:r w:rsidR="00A5127B" w:rsidRPr="007C6791">
        <w:rPr>
          <w:rFonts w:ascii="Arial" w:hAnsi="Arial" w:cs="Arial"/>
        </w:rPr>
        <w:t xml:space="preserve"> mediante auto </w:t>
      </w:r>
      <w:r w:rsidR="003B7A46" w:rsidRPr="007C6791">
        <w:rPr>
          <w:rFonts w:ascii="Arial" w:hAnsi="Arial" w:cs="Arial"/>
        </w:rPr>
        <w:t xml:space="preserve">para </w:t>
      </w:r>
      <w:r w:rsidR="00A5127B" w:rsidRPr="007C6791">
        <w:rPr>
          <w:rFonts w:ascii="Arial" w:hAnsi="Arial" w:cs="Arial"/>
        </w:rPr>
        <w:t>mejor proveer, una prueba que</w:t>
      </w:r>
      <w:r w:rsidR="003B7A46" w:rsidRPr="007C6791">
        <w:rPr>
          <w:rFonts w:ascii="Arial" w:hAnsi="Arial" w:cs="Arial"/>
        </w:rPr>
        <w:t xml:space="preserve">, en consecuencia, vino al proceso al margen del debate probatorio, sin que se corriera </w:t>
      </w:r>
      <w:r w:rsidR="00A5127B" w:rsidRPr="007C6791">
        <w:rPr>
          <w:rFonts w:ascii="Arial" w:hAnsi="Arial" w:cs="Arial"/>
        </w:rPr>
        <w:t>traslado</w:t>
      </w:r>
      <w:r w:rsidR="008C28C2" w:rsidRPr="007C6791">
        <w:rPr>
          <w:rFonts w:ascii="Arial" w:hAnsi="Arial" w:cs="Arial"/>
        </w:rPr>
        <w:t xml:space="preserve"> </w:t>
      </w:r>
      <w:r w:rsidR="003B7A46" w:rsidRPr="007C6791">
        <w:rPr>
          <w:rFonts w:ascii="Arial" w:hAnsi="Arial" w:cs="Arial"/>
        </w:rPr>
        <w:t>de ella a la par</w:t>
      </w:r>
      <w:r w:rsidR="001615DD" w:rsidRPr="007C6791">
        <w:rPr>
          <w:rFonts w:ascii="Arial" w:hAnsi="Arial" w:cs="Arial"/>
        </w:rPr>
        <w:t>t</w:t>
      </w:r>
      <w:r w:rsidR="003B7A46" w:rsidRPr="007C6791">
        <w:rPr>
          <w:rFonts w:ascii="Arial" w:hAnsi="Arial" w:cs="Arial"/>
        </w:rPr>
        <w:t xml:space="preserve">e interesada en su controversia, en circunstancias en las que no había oportunidad de acceso </w:t>
      </w:r>
      <w:r w:rsidR="008C28C2" w:rsidRPr="007C6791">
        <w:rPr>
          <w:rFonts w:ascii="Arial" w:hAnsi="Arial" w:cs="Arial"/>
        </w:rPr>
        <w:t>al expediente digital</w:t>
      </w:r>
      <w:r w:rsidR="003B7A46" w:rsidRPr="007C6791">
        <w:rPr>
          <w:rFonts w:ascii="Arial" w:hAnsi="Arial" w:cs="Arial"/>
        </w:rPr>
        <w:t xml:space="preserve">. </w:t>
      </w:r>
      <w:r w:rsidR="00F35D08" w:rsidRPr="007C6791">
        <w:rPr>
          <w:rFonts w:ascii="Arial" w:hAnsi="Arial" w:cs="Arial"/>
        </w:rPr>
        <w:t>Este defecto procesal, dice el recurrente, resultó determinante para que la autoridad judicial desconociera las se</w:t>
      </w:r>
      <w:r w:rsidR="00A5127B" w:rsidRPr="007C6791">
        <w:rPr>
          <w:rFonts w:ascii="Arial" w:hAnsi="Arial" w:cs="Arial"/>
        </w:rPr>
        <w:t xml:space="preserve"> semanas </w:t>
      </w:r>
      <w:r w:rsidR="00F35D08" w:rsidRPr="007C6791">
        <w:rPr>
          <w:rFonts w:ascii="Arial" w:hAnsi="Arial" w:cs="Arial"/>
        </w:rPr>
        <w:t xml:space="preserve">por el </w:t>
      </w:r>
      <w:r w:rsidR="00A5127B" w:rsidRPr="007C6791">
        <w:rPr>
          <w:rFonts w:ascii="Arial" w:hAnsi="Arial" w:cs="Arial"/>
        </w:rPr>
        <w:t>cotizadas al sector público</w:t>
      </w:r>
      <w:r w:rsidR="008C28C2" w:rsidRPr="007C6791">
        <w:rPr>
          <w:rFonts w:ascii="Arial" w:hAnsi="Arial" w:cs="Arial"/>
        </w:rPr>
        <w:t xml:space="preserve">. </w:t>
      </w:r>
    </w:p>
    <w:p w14:paraId="1112CE57" w14:textId="77777777" w:rsidR="008C28C2" w:rsidRPr="007C6791" w:rsidRDefault="008C28C2" w:rsidP="00A61368">
      <w:pPr>
        <w:pStyle w:val="NormalWeb"/>
        <w:shd w:val="clear" w:color="auto" w:fill="FFFFFF"/>
        <w:rPr>
          <w:rFonts w:ascii="Arial" w:hAnsi="Arial" w:cs="Arial"/>
        </w:rPr>
      </w:pPr>
    </w:p>
    <w:p w14:paraId="5A2D5597" w14:textId="022102E0" w:rsidR="00A5127B" w:rsidRPr="007C6791" w:rsidRDefault="006D4714" w:rsidP="00A61368">
      <w:pPr>
        <w:pStyle w:val="NormalWeb"/>
        <w:shd w:val="clear" w:color="auto" w:fill="FFFFFF"/>
        <w:rPr>
          <w:rFonts w:ascii="Arial" w:hAnsi="Arial" w:cs="Arial"/>
        </w:rPr>
      </w:pPr>
      <w:r w:rsidRPr="007C6791">
        <w:rPr>
          <w:rFonts w:ascii="Arial" w:hAnsi="Arial" w:cs="Arial"/>
        </w:rPr>
        <w:t xml:space="preserve">Considera esta Sala que, el defecto procesal que pone de presente el actor en este primer cargo, tiene remedio en sede ordinaria por el cauce de la </w:t>
      </w:r>
      <w:r w:rsidR="00DC215F" w:rsidRPr="007C6791">
        <w:rPr>
          <w:rFonts w:ascii="Arial" w:hAnsi="Arial" w:cs="Arial"/>
        </w:rPr>
        <w:t xml:space="preserve">nulidad de la sentencia </w:t>
      </w:r>
      <w:r w:rsidR="00DC215F" w:rsidRPr="007C6791">
        <w:rPr>
          <w:rFonts w:ascii="Arial" w:hAnsi="Arial" w:cs="Arial"/>
        </w:rPr>
        <w:lastRenderedPageBreak/>
        <w:t xml:space="preserve">del 30 de junio de 2022 </w:t>
      </w:r>
      <w:r w:rsidRPr="007C6791">
        <w:rPr>
          <w:rFonts w:ascii="Arial" w:hAnsi="Arial" w:cs="Arial"/>
        </w:rPr>
        <w:t xml:space="preserve">bajo la causal de </w:t>
      </w:r>
      <w:r w:rsidR="009416A6" w:rsidRPr="007C6791">
        <w:rPr>
          <w:rFonts w:ascii="Arial" w:hAnsi="Arial" w:cs="Arial"/>
        </w:rPr>
        <w:t xml:space="preserve">vulneración del derecho fundamental al debido proceso, </w:t>
      </w:r>
      <w:r w:rsidRPr="007C6791">
        <w:rPr>
          <w:rFonts w:ascii="Arial" w:hAnsi="Arial" w:cs="Arial"/>
        </w:rPr>
        <w:t xml:space="preserve">derecho que ciertamente podría haber sido lesionado por la ausencia del </w:t>
      </w:r>
      <w:r w:rsidR="009416A6" w:rsidRPr="007C6791">
        <w:rPr>
          <w:rFonts w:ascii="Arial" w:hAnsi="Arial" w:cs="Arial"/>
        </w:rPr>
        <w:t xml:space="preserve">traslado de </w:t>
      </w:r>
      <w:r w:rsidRPr="007C6791">
        <w:rPr>
          <w:rFonts w:ascii="Arial" w:hAnsi="Arial" w:cs="Arial"/>
        </w:rPr>
        <w:t>l</w:t>
      </w:r>
      <w:r w:rsidR="009416A6" w:rsidRPr="007C6791">
        <w:rPr>
          <w:rFonts w:ascii="Arial" w:hAnsi="Arial" w:cs="Arial"/>
        </w:rPr>
        <w:t xml:space="preserve">a prueba y </w:t>
      </w:r>
      <w:r w:rsidRPr="007C6791">
        <w:rPr>
          <w:rFonts w:ascii="Arial" w:hAnsi="Arial" w:cs="Arial"/>
        </w:rPr>
        <w:t>el consiguiente cercenamiento de la oportunidad de</w:t>
      </w:r>
      <w:r w:rsidR="009416A6" w:rsidRPr="007C6791">
        <w:rPr>
          <w:rFonts w:ascii="Arial" w:hAnsi="Arial" w:cs="Arial"/>
        </w:rPr>
        <w:t xml:space="preserve"> contracción y defensa</w:t>
      </w:r>
      <w:r w:rsidR="00DC215F" w:rsidRPr="007C6791">
        <w:rPr>
          <w:rFonts w:ascii="Arial" w:hAnsi="Arial" w:cs="Arial"/>
        </w:rPr>
        <w:t>,</w:t>
      </w:r>
      <w:r w:rsidRPr="007C6791">
        <w:rPr>
          <w:rFonts w:ascii="Arial" w:hAnsi="Arial" w:cs="Arial"/>
        </w:rPr>
        <w:t xml:space="preserve"> trámite este que aunque no se encuentra prescrito de manera expresa e</w:t>
      </w:r>
      <w:r w:rsidR="003A2E4C" w:rsidRPr="007C6791">
        <w:rPr>
          <w:rFonts w:ascii="Arial" w:hAnsi="Arial" w:cs="Arial"/>
        </w:rPr>
        <w:t>n el artículo 133 del CGP, tendría sustento, en el caso concreto, en el artículo 29 Superior.</w:t>
      </w:r>
      <w:r w:rsidR="00024340" w:rsidRPr="007C6791">
        <w:rPr>
          <w:rFonts w:ascii="Arial" w:hAnsi="Arial" w:cs="Arial"/>
        </w:rPr>
        <w:t xml:space="preserve"> </w:t>
      </w:r>
      <w:r w:rsidR="009C6683" w:rsidRPr="007C6791">
        <w:rPr>
          <w:rFonts w:ascii="Arial" w:hAnsi="Arial" w:cs="Arial"/>
        </w:rPr>
        <w:t>Además, el accionante t</w:t>
      </w:r>
      <w:r w:rsidR="00024340" w:rsidRPr="007C6791">
        <w:rPr>
          <w:rFonts w:ascii="Arial" w:hAnsi="Arial" w:cs="Arial"/>
        </w:rPr>
        <w:t>enía t</w:t>
      </w:r>
      <w:r w:rsidR="009C6683" w:rsidRPr="007C6791">
        <w:rPr>
          <w:rFonts w:ascii="Arial" w:hAnsi="Arial" w:cs="Arial"/>
        </w:rPr>
        <w:t xml:space="preserve">ambién </w:t>
      </w:r>
      <w:r w:rsidR="00024340" w:rsidRPr="007C6791">
        <w:rPr>
          <w:rFonts w:ascii="Arial" w:hAnsi="Arial" w:cs="Arial"/>
        </w:rPr>
        <w:t>a su alcance el</w:t>
      </w:r>
      <w:r w:rsidR="00A5127B" w:rsidRPr="007C6791">
        <w:rPr>
          <w:rFonts w:ascii="Arial" w:hAnsi="Arial" w:cs="Arial"/>
        </w:rPr>
        <w:t xml:space="preserve"> recurso extraordinario de revisión, bajo la causal 5 del artículo 250 del CPACA, esto es, nulidad originada en la sentencia, </w:t>
      </w:r>
      <w:r w:rsidR="000438D1" w:rsidRPr="007C6791">
        <w:rPr>
          <w:rFonts w:ascii="Arial" w:hAnsi="Arial" w:cs="Arial"/>
        </w:rPr>
        <w:t>para discutir la posible configuración de la violación de su debido proceso por desconocimiento del derecho de contradicción y defensa.</w:t>
      </w:r>
    </w:p>
    <w:p w14:paraId="3FFDC527" w14:textId="058140FD" w:rsidR="000438D1" w:rsidRPr="007C6791" w:rsidRDefault="000438D1" w:rsidP="00A61368">
      <w:pPr>
        <w:pStyle w:val="NormalWeb"/>
        <w:shd w:val="clear" w:color="auto" w:fill="FFFFFF"/>
        <w:rPr>
          <w:rFonts w:ascii="Arial" w:hAnsi="Arial" w:cs="Arial"/>
        </w:rPr>
      </w:pPr>
    </w:p>
    <w:p w14:paraId="6EAA27BC" w14:textId="158A705A" w:rsidR="008817BC" w:rsidRDefault="00ED6223" w:rsidP="008817BC">
      <w:pPr>
        <w:overflowPunct w:val="0"/>
        <w:autoSpaceDE w:val="0"/>
        <w:autoSpaceDN w:val="0"/>
        <w:adjustRightInd w:val="0"/>
        <w:rPr>
          <w:sz w:val="24"/>
          <w:szCs w:val="24"/>
        </w:rPr>
      </w:pPr>
      <w:r w:rsidRPr="007C6791">
        <w:rPr>
          <w:sz w:val="24"/>
          <w:szCs w:val="24"/>
        </w:rPr>
        <w:t>En estas condiciones, en cuanto la legislación positiva disponía medios para que Pedro Pastor Aragón</w:t>
      </w:r>
      <w:r w:rsidR="001615DD" w:rsidRPr="007C6791">
        <w:rPr>
          <w:sz w:val="24"/>
          <w:szCs w:val="24"/>
        </w:rPr>
        <w:t xml:space="preserve"> Canchila</w:t>
      </w:r>
      <w:r w:rsidRPr="007C6791">
        <w:rPr>
          <w:sz w:val="24"/>
          <w:szCs w:val="24"/>
        </w:rPr>
        <w:t xml:space="preserve"> procurara el debido remedio a la nulidad de la sentencia, el juez de tutela no puede, sin pasar por alto el presupuesto de subsidiariedad, acometer el estudio de esta causal de nulidad.</w:t>
      </w:r>
      <w:r>
        <w:rPr>
          <w:sz w:val="24"/>
          <w:szCs w:val="24"/>
        </w:rPr>
        <w:t xml:space="preserve"> </w:t>
      </w:r>
    </w:p>
    <w:p w14:paraId="10C3522F" w14:textId="77777777" w:rsidR="008817BC" w:rsidRPr="00493DA7" w:rsidRDefault="008817BC" w:rsidP="008817BC">
      <w:pPr>
        <w:keepNext/>
        <w:widowControl w:val="0"/>
        <w:textAlignment w:val="baseline"/>
        <w:rPr>
          <w:b/>
          <w:bCs/>
          <w:sz w:val="24"/>
          <w:szCs w:val="24"/>
          <w:shd w:val="clear" w:color="auto" w:fill="FFFFFF"/>
        </w:rPr>
      </w:pPr>
    </w:p>
    <w:p w14:paraId="3034845B" w14:textId="77777777" w:rsidR="008817BC" w:rsidRDefault="008817BC" w:rsidP="008817BC">
      <w:pPr>
        <w:keepNext/>
        <w:textAlignment w:val="baseline"/>
        <w:rPr>
          <w:sz w:val="24"/>
          <w:szCs w:val="24"/>
          <w:shd w:val="clear" w:color="auto" w:fill="FFFFFF"/>
        </w:rPr>
      </w:pPr>
      <w:r w:rsidRPr="00493DA7">
        <w:rPr>
          <w:sz w:val="24"/>
          <w:szCs w:val="24"/>
          <w:shd w:val="clear" w:color="auto" w:fill="FFFFFF"/>
        </w:rPr>
        <w:t>En mérito de lo expuesto, el Consejo de Estado, Sala de lo Contencioso Administrativo, Sección Tercera, Subsección C, administrando justicia en nombre de la República y por autoridad de la ley, </w:t>
      </w:r>
    </w:p>
    <w:p w14:paraId="69C66222" w14:textId="77777777" w:rsidR="008817BC" w:rsidRDefault="008817BC" w:rsidP="008817BC">
      <w:pPr>
        <w:keepNext/>
        <w:textAlignment w:val="baseline"/>
        <w:rPr>
          <w:sz w:val="24"/>
          <w:szCs w:val="24"/>
          <w:shd w:val="clear" w:color="auto" w:fill="FFFFFF"/>
        </w:rPr>
      </w:pPr>
    </w:p>
    <w:p w14:paraId="7AAFB2B3" w14:textId="77777777" w:rsidR="008817BC" w:rsidRPr="00493DA7" w:rsidRDefault="008817BC" w:rsidP="008817BC">
      <w:pPr>
        <w:jc w:val="center"/>
        <w:textAlignment w:val="baseline"/>
        <w:rPr>
          <w:b/>
          <w:bCs/>
          <w:sz w:val="24"/>
          <w:szCs w:val="24"/>
          <w:shd w:val="clear" w:color="auto" w:fill="FFFFFF"/>
        </w:rPr>
      </w:pPr>
      <w:r>
        <w:rPr>
          <w:b/>
          <w:bCs/>
          <w:sz w:val="24"/>
          <w:szCs w:val="24"/>
          <w:shd w:val="clear" w:color="auto" w:fill="FFFFFF"/>
        </w:rPr>
        <w:t>FALLA</w:t>
      </w:r>
      <w:r>
        <w:rPr>
          <w:b/>
          <w:bCs/>
          <w:sz w:val="24"/>
          <w:szCs w:val="24"/>
          <w:shd w:val="clear" w:color="auto" w:fill="FFFFFF"/>
        </w:rPr>
        <w:br/>
      </w:r>
    </w:p>
    <w:p w14:paraId="41678300" w14:textId="20D914FB" w:rsidR="008817BC" w:rsidRDefault="008817BC" w:rsidP="008817BC">
      <w:pPr>
        <w:textAlignment w:val="baseline"/>
        <w:rPr>
          <w:sz w:val="24"/>
          <w:szCs w:val="24"/>
          <w:lang w:eastAsia="es-ES"/>
        </w:rPr>
      </w:pPr>
      <w:r w:rsidRPr="00493DA7">
        <w:rPr>
          <w:b/>
          <w:bCs/>
          <w:sz w:val="24"/>
          <w:szCs w:val="24"/>
          <w:shd w:val="clear" w:color="auto" w:fill="FFFFFF"/>
        </w:rPr>
        <w:t xml:space="preserve">PRIMERO. </w:t>
      </w:r>
      <w:r w:rsidRPr="00493DA7">
        <w:rPr>
          <w:b/>
          <w:sz w:val="24"/>
          <w:szCs w:val="24"/>
          <w:lang w:eastAsia="es-ES"/>
        </w:rPr>
        <w:t>DECLARAR IMPROCEDENTE</w:t>
      </w:r>
      <w:r w:rsidRPr="00493DA7">
        <w:rPr>
          <w:sz w:val="24"/>
          <w:szCs w:val="24"/>
          <w:lang w:eastAsia="es-ES"/>
        </w:rPr>
        <w:t xml:space="preserve"> la solicitud de tutela interpuesta por</w:t>
      </w:r>
      <w:r>
        <w:rPr>
          <w:bCs/>
          <w:sz w:val="24"/>
          <w:szCs w:val="24"/>
        </w:rPr>
        <w:t xml:space="preserve"> </w:t>
      </w:r>
      <w:r w:rsidR="00916BC9">
        <w:rPr>
          <w:bCs/>
          <w:sz w:val="24"/>
          <w:szCs w:val="24"/>
        </w:rPr>
        <w:t xml:space="preserve">Pedro Pastor Aragón Canchila </w:t>
      </w:r>
      <w:r>
        <w:rPr>
          <w:bCs/>
          <w:sz w:val="24"/>
          <w:szCs w:val="24"/>
        </w:rPr>
        <w:t xml:space="preserve">en contra </w:t>
      </w:r>
      <w:r>
        <w:rPr>
          <w:sz w:val="24"/>
          <w:szCs w:val="24"/>
        </w:rPr>
        <w:t>de la Sección C del Tribunal Administrativo del Atlántico</w:t>
      </w:r>
      <w:r w:rsidRPr="00493DA7">
        <w:rPr>
          <w:sz w:val="24"/>
          <w:szCs w:val="24"/>
          <w:lang w:eastAsia="es-ES"/>
        </w:rPr>
        <w:t>, por las razones expuestas en esta providencia.</w:t>
      </w:r>
    </w:p>
    <w:p w14:paraId="3B196826" w14:textId="77777777" w:rsidR="008817BC" w:rsidRPr="00493DA7" w:rsidRDefault="008817BC" w:rsidP="008817BC">
      <w:pPr>
        <w:textAlignment w:val="baseline"/>
        <w:rPr>
          <w:sz w:val="24"/>
          <w:szCs w:val="24"/>
          <w:shd w:val="clear" w:color="auto" w:fill="FFFFFF"/>
        </w:rPr>
      </w:pPr>
    </w:p>
    <w:p w14:paraId="58BD48C7" w14:textId="77777777" w:rsidR="008817BC" w:rsidRDefault="008817BC" w:rsidP="008817BC">
      <w:pPr>
        <w:textAlignment w:val="baseline"/>
        <w:rPr>
          <w:sz w:val="24"/>
          <w:szCs w:val="24"/>
          <w:shd w:val="clear" w:color="auto" w:fill="FFFFFF"/>
        </w:rPr>
      </w:pPr>
      <w:r w:rsidRPr="00493DA7">
        <w:rPr>
          <w:b/>
          <w:bCs/>
          <w:sz w:val="24"/>
          <w:szCs w:val="24"/>
          <w:shd w:val="clear" w:color="auto" w:fill="FFFFFF"/>
        </w:rPr>
        <w:t xml:space="preserve">SEGUNDO. NOTIFICAR </w:t>
      </w:r>
      <w:r w:rsidRPr="00493DA7">
        <w:rPr>
          <w:sz w:val="24"/>
          <w:szCs w:val="24"/>
          <w:shd w:val="clear" w:color="auto" w:fill="FFFFFF"/>
        </w:rPr>
        <w:t xml:space="preserve">la presente decisión a las partes por el medio más expedito. </w:t>
      </w:r>
    </w:p>
    <w:p w14:paraId="709DE55D" w14:textId="77777777" w:rsidR="008817BC" w:rsidRDefault="008817BC" w:rsidP="008817BC">
      <w:pPr>
        <w:textAlignment w:val="baseline"/>
        <w:rPr>
          <w:sz w:val="24"/>
          <w:szCs w:val="24"/>
          <w:shd w:val="clear" w:color="auto" w:fill="FFFFFF"/>
        </w:rPr>
      </w:pPr>
    </w:p>
    <w:p w14:paraId="74751047" w14:textId="77777777" w:rsidR="008817BC" w:rsidRPr="00493DA7" w:rsidRDefault="008817BC" w:rsidP="008817BC">
      <w:pPr>
        <w:textAlignment w:val="baseline"/>
        <w:rPr>
          <w:sz w:val="24"/>
          <w:szCs w:val="24"/>
          <w:shd w:val="clear" w:color="auto" w:fill="FFFFFF"/>
        </w:rPr>
      </w:pPr>
      <w:r w:rsidRPr="00493DA7">
        <w:rPr>
          <w:b/>
          <w:bCs/>
          <w:sz w:val="24"/>
          <w:szCs w:val="24"/>
          <w:shd w:val="clear" w:color="auto" w:fill="FFFFFF"/>
        </w:rPr>
        <w:t xml:space="preserve">TERCERO. ENVIAR </w:t>
      </w:r>
      <w:r w:rsidRPr="00493DA7">
        <w:rPr>
          <w:sz w:val="24"/>
          <w:szCs w:val="24"/>
          <w:shd w:val="clear" w:color="auto" w:fill="FFFFFF"/>
        </w:rPr>
        <w:t xml:space="preserve">la presente providencia a la Corte Constitucional para su eventual revisión, en caso de que no sea impugnada. </w:t>
      </w:r>
    </w:p>
    <w:p w14:paraId="49FE586C" w14:textId="77777777" w:rsidR="008817BC" w:rsidRPr="00493DA7" w:rsidRDefault="008817BC" w:rsidP="008817BC">
      <w:pPr>
        <w:textAlignment w:val="baseline"/>
        <w:rPr>
          <w:b/>
          <w:bCs/>
          <w:sz w:val="24"/>
          <w:szCs w:val="24"/>
          <w:shd w:val="clear" w:color="auto" w:fill="FFFFFF"/>
        </w:rPr>
      </w:pPr>
    </w:p>
    <w:p w14:paraId="3D92FEFA" w14:textId="77777777" w:rsidR="008817BC" w:rsidRPr="00493DA7" w:rsidRDefault="008817BC" w:rsidP="008817BC">
      <w:pPr>
        <w:textAlignment w:val="baseline"/>
        <w:rPr>
          <w:b/>
          <w:bCs/>
          <w:color w:val="000000"/>
          <w:sz w:val="24"/>
          <w:szCs w:val="24"/>
          <w:shd w:val="clear" w:color="auto" w:fill="FFFFFF"/>
        </w:rPr>
      </w:pPr>
      <w:r w:rsidRPr="00493DA7">
        <w:rPr>
          <w:b/>
          <w:bCs/>
          <w:color w:val="000000"/>
          <w:sz w:val="24"/>
          <w:szCs w:val="24"/>
          <w:shd w:val="clear" w:color="auto" w:fill="FFFFFF"/>
        </w:rPr>
        <w:t>Notifíquese y cúmplase</w:t>
      </w:r>
    </w:p>
    <w:p w14:paraId="0518C9A9" w14:textId="77777777" w:rsidR="001615DD" w:rsidRDefault="001615DD" w:rsidP="008817BC">
      <w:pPr>
        <w:jc w:val="center"/>
        <w:textAlignment w:val="baseline"/>
        <w:rPr>
          <w:b/>
          <w:bCs/>
          <w:color w:val="000000"/>
          <w:sz w:val="24"/>
          <w:szCs w:val="24"/>
          <w:shd w:val="clear" w:color="auto" w:fill="FFFFFF"/>
        </w:rPr>
      </w:pPr>
    </w:p>
    <w:p w14:paraId="60B1BC33" w14:textId="77777777" w:rsidR="001615DD" w:rsidRDefault="001615DD" w:rsidP="008817BC">
      <w:pPr>
        <w:jc w:val="center"/>
        <w:textAlignment w:val="baseline"/>
        <w:rPr>
          <w:b/>
          <w:bCs/>
          <w:color w:val="000000"/>
          <w:sz w:val="24"/>
          <w:szCs w:val="24"/>
          <w:shd w:val="clear" w:color="auto" w:fill="FFFFFF"/>
        </w:rPr>
      </w:pPr>
    </w:p>
    <w:p w14:paraId="4D33534B" w14:textId="22FD0B93" w:rsidR="008817BC" w:rsidRPr="00493DA7" w:rsidRDefault="008817BC" w:rsidP="008817BC">
      <w:pPr>
        <w:jc w:val="center"/>
        <w:textAlignment w:val="baseline"/>
        <w:rPr>
          <w:b/>
          <w:bCs/>
          <w:color w:val="000000"/>
          <w:sz w:val="24"/>
          <w:szCs w:val="24"/>
          <w:shd w:val="clear" w:color="auto" w:fill="FFFFFF"/>
        </w:rPr>
      </w:pPr>
      <w:r w:rsidRPr="00493DA7">
        <w:rPr>
          <w:b/>
          <w:bCs/>
          <w:color w:val="000000"/>
          <w:sz w:val="24"/>
          <w:szCs w:val="24"/>
          <w:shd w:val="clear" w:color="auto" w:fill="FFFFFF"/>
        </w:rPr>
        <w:t>NICOLAS YEPES CORRALES</w:t>
      </w:r>
    </w:p>
    <w:p w14:paraId="450F45E1" w14:textId="77777777" w:rsidR="008817BC" w:rsidRPr="00493DA7" w:rsidRDefault="008817BC" w:rsidP="008817BC">
      <w:pPr>
        <w:jc w:val="center"/>
        <w:textAlignment w:val="baseline"/>
        <w:rPr>
          <w:sz w:val="24"/>
          <w:szCs w:val="24"/>
        </w:rPr>
      </w:pPr>
      <w:r w:rsidRPr="00493DA7">
        <w:rPr>
          <w:b/>
          <w:bCs/>
          <w:color w:val="000000"/>
          <w:sz w:val="24"/>
          <w:szCs w:val="24"/>
          <w:shd w:val="clear" w:color="auto" w:fill="FFFFFF"/>
        </w:rPr>
        <w:t xml:space="preserve">Presidente de Sala </w:t>
      </w:r>
    </w:p>
    <w:p w14:paraId="5CA78EC6" w14:textId="1D8DDA67" w:rsidR="008817BC" w:rsidRDefault="008817BC" w:rsidP="008817BC">
      <w:pPr>
        <w:jc w:val="center"/>
        <w:textAlignment w:val="baseline"/>
        <w:rPr>
          <w:b/>
          <w:bCs/>
          <w:color w:val="000000"/>
          <w:sz w:val="24"/>
          <w:szCs w:val="24"/>
          <w:shd w:val="clear" w:color="auto" w:fill="FFFFFF"/>
        </w:rPr>
      </w:pPr>
    </w:p>
    <w:p w14:paraId="66006E24" w14:textId="398E5B48" w:rsidR="001615DD" w:rsidRDefault="001615DD" w:rsidP="008817BC">
      <w:pPr>
        <w:jc w:val="center"/>
        <w:textAlignment w:val="baseline"/>
        <w:rPr>
          <w:b/>
          <w:bCs/>
          <w:color w:val="000000"/>
          <w:sz w:val="24"/>
          <w:szCs w:val="24"/>
          <w:shd w:val="clear" w:color="auto" w:fill="FFFFFF"/>
        </w:rPr>
      </w:pPr>
    </w:p>
    <w:p w14:paraId="2550AAD4" w14:textId="77777777" w:rsidR="001615DD" w:rsidRDefault="001615DD" w:rsidP="008817BC">
      <w:pPr>
        <w:jc w:val="center"/>
        <w:textAlignment w:val="baseline"/>
        <w:rPr>
          <w:b/>
          <w:bCs/>
          <w:color w:val="000000"/>
          <w:sz w:val="24"/>
          <w:szCs w:val="24"/>
          <w:shd w:val="clear" w:color="auto" w:fill="FFFFFF"/>
        </w:rPr>
      </w:pPr>
    </w:p>
    <w:p w14:paraId="231D3732" w14:textId="77777777" w:rsidR="008817BC" w:rsidRDefault="008817BC" w:rsidP="008817BC">
      <w:pPr>
        <w:jc w:val="center"/>
        <w:textAlignment w:val="baseline"/>
        <w:rPr>
          <w:b/>
          <w:bCs/>
          <w:color w:val="000000"/>
          <w:sz w:val="24"/>
          <w:szCs w:val="24"/>
          <w:shd w:val="clear" w:color="auto" w:fill="FFFFFF"/>
        </w:rPr>
      </w:pPr>
      <w:r w:rsidRPr="00493DA7">
        <w:rPr>
          <w:b/>
          <w:bCs/>
          <w:color w:val="000000"/>
          <w:sz w:val="24"/>
          <w:szCs w:val="24"/>
          <w:shd w:val="clear" w:color="auto" w:fill="FFFFFF"/>
        </w:rPr>
        <w:t>JAIME ENRIQUE RODRÍGUEZ NAVAS</w:t>
      </w:r>
      <w:r w:rsidRPr="001F5DD3">
        <w:rPr>
          <w:b/>
          <w:bCs/>
          <w:color w:val="000000"/>
          <w:sz w:val="24"/>
          <w:szCs w:val="24"/>
          <w:shd w:val="clear" w:color="auto" w:fill="FFFFFF"/>
        </w:rPr>
        <w:t xml:space="preserve"> </w:t>
      </w:r>
      <w:r>
        <w:rPr>
          <w:b/>
          <w:bCs/>
          <w:color w:val="000000"/>
          <w:sz w:val="24"/>
          <w:szCs w:val="24"/>
          <w:shd w:val="clear" w:color="auto" w:fill="FFFFFF"/>
        </w:rPr>
        <w:t xml:space="preserve">                 </w:t>
      </w:r>
    </w:p>
    <w:p w14:paraId="32DB36E8" w14:textId="77777777" w:rsidR="008817BC" w:rsidRDefault="008817BC" w:rsidP="008817BC">
      <w:pPr>
        <w:jc w:val="center"/>
        <w:textAlignment w:val="baseline"/>
        <w:rPr>
          <w:b/>
          <w:bCs/>
          <w:color w:val="000000"/>
          <w:sz w:val="24"/>
          <w:szCs w:val="24"/>
          <w:shd w:val="clear" w:color="auto" w:fill="FFFFFF"/>
        </w:rPr>
      </w:pPr>
      <w:r>
        <w:rPr>
          <w:b/>
          <w:bCs/>
          <w:color w:val="000000"/>
          <w:sz w:val="24"/>
          <w:szCs w:val="24"/>
          <w:shd w:val="clear" w:color="auto" w:fill="FFFFFF"/>
        </w:rPr>
        <w:t>M</w:t>
      </w:r>
      <w:r w:rsidRPr="00493DA7">
        <w:rPr>
          <w:b/>
          <w:bCs/>
          <w:color w:val="000000"/>
          <w:sz w:val="24"/>
          <w:szCs w:val="24"/>
          <w:shd w:val="clear" w:color="auto" w:fill="FFFFFF"/>
        </w:rPr>
        <w:t>agistrado</w:t>
      </w:r>
    </w:p>
    <w:p w14:paraId="19EA58AA" w14:textId="22B66068" w:rsidR="008817BC" w:rsidRDefault="008817BC" w:rsidP="008817BC">
      <w:pPr>
        <w:jc w:val="center"/>
        <w:textAlignment w:val="baseline"/>
        <w:rPr>
          <w:b/>
          <w:bCs/>
          <w:color w:val="000000"/>
          <w:sz w:val="24"/>
          <w:szCs w:val="24"/>
          <w:shd w:val="clear" w:color="auto" w:fill="FFFFFF"/>
        </w:rPr>
      </w:pPr>
    </w:p>
    <w:p w14:paraId="499D4402" w14:textId="3146CC7B" w:rsidR="001615DD" w:rsidRDefault="001615DD" w:rsidP="008817BC">
      <w:pPr>
        <w:jc w:val="center"/>
        <w:textAlignment w:val="baseline"/>
        <w:rPr>
          <w:b/>
          <w:bCs/>
          <w:color w:val="000000"/>
          <w:sz w:val="24"/>
          <w:szCs w:val="24"/>
          <w:shd w:val="clear" w:color="auto" w:fill="FFFFFF"/>
        </w:rPr>
      </w:pPr>
    </w:p>
    <w:p w14:paraId="041F56AA" w14:textId="77777777" w:rsidR="001615DD" w:rsidRDefault="001615DD" w:rsidP="008817BC">
      <w:pPr>
        <w:jc w:val="center"/>
        <w:textAlignment w:val="baseline"/>
        <w:rPr>
          <w:b/>
          <w:bCs/>
          <w:color w:val="000000"/>
          <w:sz w:val="24"/>
          <w:szCs w:val="24"/>
          <w:shd w:val="clear" w:color="auto" w:fill="FFFFFF"/>
        </w:rPr>
      </w:pPr>
    </w:p>
    <w:p w14:paraId="4E582695" w14:textId="77777777" w:rsidR="008817BC" w:rsidRPr="00493DA7" w:rsidRDefault="008817BC" w:rsidP="008817BC">
      <w:pPr>
        <w:jc w:val="center"/>
        <w:textAlignment w:val="baseline"/>
        <w:rPr>
          <w:b/>
          <w:bCs/>
          <w:color w:val="000000"/>
          <w:sz w:val="24"/>
          <w:szCs w:val="24"/>
          <w:shd w:val="clear" w:color="auto" w:fill="FFFFFF"/>
        </w:rPr>
      </w:pPr>
      <w:r w:rsidRPr="00493DA7">
        <w:rPr>
          <w:b/>
          <w:bCs/>
          <w:color w:val="000000"/>
          <w:sz w:val="24"/>
          <w:szCs w:val="24"/>
          <w:shd w:val="clear" w:color="auto" w:fill="FFFFFF"/>
        </w:rPr>
        <w:t>GUILLERMO SÁNCHEZ LUQUE</w:t>
      </w:r>
    </w:p>
    <w:p w14:paraId="722042B2" w14:textId="7317ACC3" w:rsidR="001710BD" w:rsidRDefault="005A6C76" w:rsidP="005A6C76">
      <w:pPr>
        <w:textAlignment w:val="baseline"/>
        <w:rPr>
          <w:b/>
          <w:bCs/>
          <w:color w:val="000000"/>
          <w:sz w:val="24"/>
          <w:szCs w:val="24"/>
          <w:shd w:val="clear" w:color="auto" w:fill="FFFFFF"/>
        </w:rPr>
      </w:pPr>
      <w:r>
        <w:rPr>
          <w:b/>
          <w:bCs/>
          <w:color w:val="000000"/>
          <w:sz w:val="24"/>
          <w:szCs w:val="24"/>
          <w:shd w:val="clear" w:color="auto" w:fill="FFFFFF"/>
        </w:rPr>
        <w:tab/>
      </w:r>
      <w:r>
        <w:rPr>
          <w:b/>
          <w:bCs/>
          <w:color w:val="000000"/>
          <w:sz w:val="24"/>
          <w:szCs w:val="24"/>
          <w:shd w:val="clear" w:color="auto" w:fill="FFFFFF"/>
        </w:rPr>
        <w:tab/>
      </w:r>
      <w:r>
        <w:rPr>
          <w:b/>
          <w:bCs/>
          <w:color w:val="000000"/>
          <w:sz w:val="24"/>
          <w:szCs w:val="24"/>
          <w:shd w:val="clear" w:color="auto" w:fill="FFFFFF"/>
        </w:rPr>
        <w:tab/>
      </w:r>
      <w:r>
        <w:rPr>
          <w:b/>
          <w:bCs/>
          <w:color w:val="000000"/>
          <w:sz w:val="24"/>
          <w:szCs w:val="24"/>
          <w:shd w:val="clear" w:color="auto" w:fill="FFFFFF"/>
        </w:rPr>
        <w:tab/>
      </w:r>
      <w:r>
        <w:rPr>
          <w:b/>
          <w:bCs/>
          <w:color w:val="000000"/>
          <w:sz w:val="24"/>
          <w:szCs w:val="24"/>
          <w:shd w:val="clear" w:color="auto" w:fill="FFFFFF"/>
        </w:rPr>
        <w:tab/>
        <w:t xml:space="preserve">      </w:t>
      </w:r>
      <w:r w:rsidR="008817BC" w:rsidRPr="00493DA7">
        <w:rPr>
          <w:b/>
          <w:bCs/>
          <w:color w:val="000000"/>
          <w:sz w:val="24"/>
          <w:szCs w:val="24"/>
          <w:shd w:val="clear" w:color="auto" w:fill="FFFFFF"/>
        </w:rPr>
        <w:t>Magistrado</w:t>
      </w:r>
    </w:p>
    <w:p w14:paraId="3CC62E43" w14:textId="5B34CF9F" w:rsidR="00553E83" w:rsidRDefault="00553E83" w:rsidP="00553E83">
      <w:pPr>
        <w:textAlignment w:val="baseline"/>
        <w:rPr>
          <w:b/>
          <w:bCs/>
          <w:color w:val="000000"/>
          <w:sz w:val="24"/>
          <w:szCs w:val="24"/>
          <w:shd w:val="clear" w:color="auto" w:fill="FFFFFF"/>
        </w:rPr>
      </w:pPr>
      <w:r>
        <w:rPr>
          <w:i/>
          <w:iCs/>
          <w:color w:val="000000"/>
          <w:sz w:val="14"/>
          <w:szCs w:val="14"/>
          <w:shd w:val="clear" w:color="auto" w:fill="FFFFFF"/>
        </w:rPr>
        <w:t xml:space="preserve">                   </w:t>
      </w:r>
      <w:r w:rsidRPr="00553E83">
        <w:rPr>
          <w:b/>
          <w:bCs/>
          <w:color w:val="000000"/>
          <w:sz w:val="24"/>
          <w:szCs w:val="24"/>
          <w:shd w:val="clear" w:color="auto" w:fill="FFFFFF"/>
        </w:rPr>
        <w:t>Aclaración de voto Cfr. Rad. 11001-03-15-000-2019-00022-0</w:t>
      </w:r>
      <w:r>
        <w:rPr>
          <w:b/>
          <w:bCs/>
          <w:color w:val="000000"/>
          <w:sz w:val="24"/>
          <w:szCs w:val="24"/>
          <w:shd w:val="clear" w:color="auto" w:fill="FFFFFF"/>
        </w:rPr>
        <w:t>0</w:t>
      </w:r>
    </w:p>
    <w:p w14:paraId="140DFC1A" w14:textId="778D3627" w:rsidR="001615DD" w:rsidRDefault="001615DD" w:rsidP="00553E83">
      <w:pPr>
        <w:textAlignment w:val="baseline"/>
        <w:rPr>
          <w:b/>
          <w:bCs/>
          <w:color w:val="000000"/>
          <w:sz w:val="24"/>
          <w:szCs w:val="24"/>
          <w:shd w:val="clear" w:color="auto" w:fill="FFFFFF"/>
        </w:rPr>
      </w:pPr>
    </w:p>
    <w:p w14:paraId="7F6365A8" w14:textId="233FE906" w:rsidR="001615DD" w:rsidRDefault="001615DD" w:rsidP="00553E83">
      <w:pPr>
        <w:textAlignment w:val="baseline"/>
        <w:rPr>
          <w:b/>
          <w:bCs/>
          <w:color w:val="000000"/>
          <w:sz w:val="24"/>
          <w:szCs w:val="24"/>
          <w:shd w:val="clear" w:color="auto" w:fill="FFFFFF"/>
        </w:rPr>
      </w:pPr>
    </w:p>
    <w:p w14:paraId="65DB62EB" w14:textId="2C6EC61C" w:rsidR="001615DD" w:rsidRDefault="001615DD" w:rsidP="00553E83">
      <w:pPr>
        <w:textAlignment w:val="baseline"/>
        <w:rPr>
          <w:b/>
          <w:bCs/>
          <w:color w:val="000000"/>
          <w:sz w:val="24"/>
          <w:szCs w:val="24"/>
          <w:shd w:val="clear" w:color="auto" w:fill="FFFFFF"/>
        </w:rPr>
      </w:pPr>
    </w:p>
    <w:p w14:paraId="30B2F9DD" w14:textId="5D285705" w:rsidR="001615DD" w:rsidRDefault="001615DD" w:rsidP="00553E83">
      <w:pPr>
        <w:textAlignment w:val="baseline"/>
        <w:rPr>
          <w:b/>
          <w:bCs/>
          <w:color w:val="000000"/>
          <w:sz w:val="24"/>
          <w:szCs w:val="24"/>
          <w:shd w:val="clear" w:color="auto" w:fill="FFFFFF"/>
        </w:rPr>
      </w:pPr>
      <w:r w:rsidRPr="008F49E1">
        <w:rPr>
          <w:iCs/>
          <w:color w:val="000000"/>
          <w:sz w:val="14"/>
          <w:szCs w:val="14"/>
          <w:shd w:val="clear" w:color="auto" w:fill="FFFFFF"/>
        </w:rPr>
        <w:t>DACJJ</w:t>
      </w:r>
    </w:p>
    <w:sectPr w:rsidR="001615DD" w:rsidSect="004D0873">
      <w:headerReference w:type="default" r:id="rId12"/>
      <w:footerReference w:type="default" r:id="rId13"/>
      <w:headerReference w:type="first" r:id="rId14"/>
      <w:footerReference w:type="first" r:id="rId15"/>
      <w:pgSz w:w="12242" w:h="18722" w:code="14"/>
      <w:pgMar w:top="1985"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04232" w14:textId="77777777" w:rsidR="00CA08BA" w:rsidRDefault="00CA08BA" w:rsidP="00117091">
      <w:r>
        <w:separator/>
      </w:r>
    </w:p>
  </w:endnote>
  <w:endnote w:type="continuationSeparator" w:id="0">
    <w:p w14:paraId="0AF982ED" w14:textId="77777777" w:rsidR="00CA08BA" w:rsidRDefault="00CA08BA" w:rsidP="00117091">
      <w:r>
        <w:continuationSeparator/>
      </w:r>
    </w:p>
  </w:endnote>
  <w:endnote w:type="continuationNotice" w:id="1">
    <w:p w14:paraId="77F38091" w14:textId="77777777" w:rsidR="00CA08BA" w:rsidRDefault="00CA0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1BE43079" w14:textId="77777777" w:rsidTr="00B6429B">
      <w:trPr>
        <w:jc w:val="right"/>
      </w:trPr>
      <w:tc>
        <w:tcPr>
          <w:tcW w:w="4795" w:type="dxa"/>
          <w:vAlign w:val="center"/>
        </w:tcPr>
        <w:p w14:paraId="059ADEA2" w14:textId="77777777" w:rsidR="0086189E" w:rsidRDefault="0086189E" w:rsidP="00B6429B">
          <w:pPr>
            <w:pStyle w:val="Encabezado"/>
            <w:jc w:val="center"/>
            <w:rPr>
              <w:color w:val="767171"/>
              <w:sz w:val="20"/>
              <w:szCs w:val="20"/>
            </w:rPr>
          </w:pPr>
          <w:r w:rsidRPr="00A21194">
            <w:rPr>
              <w:color w:val="767171"/>
              <w:sz w:val="20"/>
              <w:szCs w:val="20"/>
            </w:rPr>
            <w:t>Calle 12 No. 7-65 – Tel: (57-1) 350-6700 – Bogotá D.C. – Colombia</w:t>
          </w:r>
        </w:p>
        <w:p w14:paraId="215BA8CC" w14:textId="77777777" w:rsidR="0086189E" w:rsidRPr="00A21194" w:rsidRDefault="0086189E"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4675993" w14:textId="77777777" w:rsidR="0086189E" w:rsidRPr="00B6429B" w:rsidRDefault="0086189E" w:rsidP="00B6429B">
          <w:pPr>
            <w:pStyle w:val="Piedepgina"/>
            <w:jc w:val="center"/>
          </w:pPr>
          <w:r w:rsidRPr="00B6429B">
            <w:fldChar w:fldCharType="begin"/>
          </w:r>
          <w:r w:rsidRPr="00B6429B">
            <w:instrText>PAGE   \* MERGEFORMAT</w:instrText>
          </w:r>
          <w:r w:rsidRPr="00B6429B">
            <w:fldChar w:fldCharType="separate"/>
          </w:r>
          <w:r w:rsidR="008F49E1" w:rsidRPr="008F49E1">
            <w:rPr>
              <w:noProof/>
              <w:lang w:val="es-ES"/>
            </w:rPr>
            <w:t>7</w:t>
          </w:r>
          <w:r w:rsidRPr="00B6429B">
            <w:fldChar w:fldCharType="end"/>
          </w:r>
        </w:p>
      </w:tc>
    </w:tr>
  </w:tbl>
  <w:p w14:paraId="1C246428" w14:textId="77777777" w:rsidR="0086189E" w:rsidRPr="008C0DBE" w:rsidRDefault="0086189E"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0FCD7E94" w14:textId="77777777" w:rsidTr="00B6429B">
      <w:trPr>
        <w:jc w:val="right"/>
      </w:trPr>
      <w:tc>
        <w:tcPr>
          <w:tcW w:w="4795" w:type="dxa"/>
          <w:vAlign w:val="center"/>
        </w:tcPr>
        <w:p w14:paraId="1133796A" w14:textId="77777777" w:rsidR="0086189E" w:rsidRDefault="0086189E" w:rsidP="00850A42">
          <w:pPr>
            <w:pStyle w:val="Encabezado"/>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7EC5843D" w14:textId="77777777" w:rsidR="0086189E" w:rsidRPr="00A21194" w:rsidRDefault="0086189E" w:rsidP="00850A42">
          <w:pPr>
            <w:pStyle w:val="Encabezado"/>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7A6F02DB" w14:textId="77777777" w:rsidR="0086189E" w:rsidRPr="00B6429B" w:rsidRDefault="0086189E" w:rsidP="00850A42">
          <w:pPr>
            <w:pStyle w:val="Piedepgina"/>
            <w:tabs>
              <w:tab w:val="clear" w:pos="4252"/>
              <w:tab w:val="clear" w:pos="8504"/>
            </w:tabs>
            <w:jc w:val="center"/>
          </w:pPr>
          <w:r w:rsidRPr="00B6429B">
            <w:fldChar w:fldCharType="begin"/>
          </w:r>
          <w:r w:rsidRPr="00B6429B">
            <w:instrText>PAGE   \* MERGEFORMAT</w:instrText>
          </w:r>
          <w:r w:rsidRPr="00B6429B">
            <w:fldChar w:fldCharType="separate"/>
          </w:r>
          <w:r w:rsidR="008F49E1" w:rsidRPr="008F49E1">
            <w:rPr>
              <w:noProof/>
              <w:lang w:val="es-ES"/>
            </w:rPr>
            <w:t>1</w:t>
          </w:r>
          <w:r w:rsidRPr="00B6429B">
            <w:fldChar w:fldCharType="end"/>
          </w:r>
        </w:p>
      </w:tc>
    </w:tr>
  </w:tbl>
  <w:p w14:paraId="597DA059" w14:textId="77777777" w:rsidR="0086189E" w:rsidRDefault="0086189E" w:rsidP="00850A42">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172F3" w14:textId="77777777" w:rsidR="00CA08BA" w:rsidRDefault="00CA08BA" w:rsidP="00117091">
      <w:r>
        <w:separator/>
      </w:r>
    </w:p>
  </w:footnote>
  <w:footnote w:type="continuationSeparator" w:id="0">
    <w:p w14:paraId="31D6A688" w14:textId="77777777" w:rsidR="00CA08BA" w:rsidRDefault="00CA08BA" w:rsidP="00117091">
      <w:r>
        <w:continuationSeparator/>
      </w:r>
    </w:p>
  </w:footnote>
  <w:footnote w:type="continuationNotice" w:id="1">
    <w:p w14:paraId="57409BBB" w14:textId="77777777" w:rsidR="00CA08BA" w:rsidRDefault="00CA08BA"/>
  </w:footnote>
  <w:footnote w:id="2">
    <w:p w14:paraId="55FC29E2" w14:textId="315C73E5" w:rsidR="000A2CD4" w:rsidRPr="00FC62CE" w:rsidRDefault="000A2CD4">
      <w:pPr>
        <w:pStyle w:val="Textonotapie"/>
        <w:rPr>
          <w:sz w:val="20"/>
        </w:rPr>
      </w:pPr>
      <w:r w:rsidRPr="00FC62CE">
        <w:rPr>
          <w:rStyle w:val="Refdenotaalpie"/>
          <w:sz w:val="20"/>
        </w:rPr>
        <w:footnoteRef/>
      </w:r>
      <w:r w:rsidRPr="00FC62CE">
        <w:rPr>
          <w:sz w:val="20"/>
        </w:rPr>
        <w:t xml:space="preserve"> Generadora y Comercializadora de Energía del Caribe S.A. E.S.P.</w:t>
      </w:r>
    </w:p>
  </w:footnote>
  <w:footnote w:id="3">
    <w:p w14:paraId="49720133" w14:textId="3C67F328" w:rsidR="000A2CD4" w:rsidRPr="00FC62CE" w:rsidRDefault="000A2CD4">
      <w:pPr>
        <w:pStyle w:val="Textonotapie"/>
        <w:rPr>
          <w:sz w:val="20"/>
        </w:rPr>
      </w:pPr>
      <w:r w:rsidRPr="00FC62CE">
        <w:rPr>
          <w:rStyle w:val="Refdenotaalpie"/>
          <w:sz w:val="20"/>
        </w:rPr>
        <w:footnoteRef/>
      </w:r>
      <w:r w:rsidRPr="00FC62CE">
        <w:rPr>
          <w:sz w:val="20"/>
        </w:rPr>
        <w:t xml:space="preserve"> Electrificadora del Atlántico S.A. E.S.P. - Liquidada</w:t>
      </w:r>
    </w:p>
  </w:footnote>
  <w:footnote w:id="4">
    <w:p w14:paraId="343F45BF" w14:textId="032B22B0" w:rsidR="000A2CD4" w:rsidRPr="00FC62CE" w:rsidRDefault="000A2CD4">
      <w:pPr>
        <w:pStyle w:val="Textonotapie"/>
        <w:rPr>
          <w:sz w:val="20"/>
        </w:rPr>
      </w:pPr>
      <w:r w:rsidRPr="00FC62CE">
        <w:rPr>
          <w:rStyle w:val="Refdenotaalpie"/>
          <w:sz w:val="20"/>
        </w:rPr>
        <w:footnoteRef/>
      </w:r>
      <w:r w:rsidRPr="00FC62CE">
        <w:rPr>
          <w:sz w:val="20"/>
        </w:rPr>
        <w:t xml:space="preserve"> Departamento Administrativo de Seguridad </w:t>
      </w:r>
    </w:p>
  </w:footnote>
  <w:footnote w:id="5">
    <w:p w14:paraId="7657E15B" w14:textId="7A32B3C3" w:rsidR="000A2CD4" w:rsidRPr="00FC62CE" w:rsidRDefault="000A2CD4">
      <w:pPr>
        <w:pStyle w:val="Textonotapie"/>
        <w:rPr>
          <w:sz w:val="20"/>
        </w:rPr>
      </w:pPr>
      <w:r w:rsidRPr="00FC62CE">
        <w:rPr>
          <w:rStyle w:val="Refdenotaalpie"/>
          <w:sz w:val="20"/>
        </w:rPr>
        <w:footnoteRef/>
      </w:r>
      <w:r w:rsidRPr="00FC62CE">
        <w:rPr>
          <w:sz w:val="20"/>
        </w:rPr>
        <w:t xml:space="preserve"> Universidad Libre Colegio Bachillerato</w:t>
      </w:r>
    </w:p>
  </w:footnote>
  <w:footnote w:id="6">
    <w:p w14:paraId="29E080FC" w14:textId="11B2ACAE" w:rsidR="000A2CD4" w:rsidRPr="00FC62CE" w:rsidRDefault="000A2CD4">
      <w:pPr>
        <w:pStyle w:val="Textonotapie"/>
        <w:rPr>
          <w:sz w:val="20"/>
        </w:rPr>
      </w:pPr>
      <w:r w:rsidRPr="00FC62CE">
        <w:rPr>
          <w:rStyle w:val="Refdenotaalpie"/>
          <w:sz w:val="20"/>
        </w:rPr>
        <w:footnoteRef/>
      </w:r>
      <w:r w:rsidRPr="00FC62CE">
        <w:rPr>
          <w:sz w:val="20"/>
        </w:rPr>
        <w:t xml:space="preserve"> Universidad Libre</w:t>
      </w:r>
    </w:p>
  </w:footnote>
  <w:footnote w:id="7">
    <w:p w14:paraId="790B7318" w14:textId="015D3BFF" w:rsidR="000A2CD4" w:rsidRPr="00FC62CE" w:rsidRDefault="000A2CD4">
      <w:pPr>
        <w:pStyle w:val="Textonotapie"/>
        <w:rPr>
          <w:sz w:val="20"/>
        </w:rPr>
      </w:pPr>
      <w:r w:rsidRPr="00FC62CE">
        <w:rPr>
          <w:rStyle w:val="Refdenotaalpie"/>
          <w:sz w:val="20"/>
        </w:rPr>
        <w:footnoteRef/>
      </w:r>
      <w:r w:rsidRPr="00FC62CE">
        <w:rPr>
          <w:sz w:val="20"/>
        </w:rPr>
        <w:t xml:space="preserve"> Consultorías y Gestiones</w:t>
      </w:r>
      <w:r w:rsidR="009C486B" w:rsidRPr="00FC62CE">
        <w:rPr>
          <w:sz w:val="20"/>
        </w:rPr>
        <w:t xml:space="preserve"> Jurídicas</w:t>
      </w:r>
    </w:p>
  </w:footnote>
  <w:footnote w:id="8">
    <w:p w14:paraId="519D1436" w14:textId="0F257CB2" w:rsidR="000A2CD4" w:rsidRPr="00FC62CE" w:rsidRDefault="000A2CD4">
      <w:pPr>
        <w:pStyle w:val="Textonotapie"/>
        <w:rPr>
          <w:sz w:val="20"/>
        </w:rPr>
      </w:pPr>
      <w:r w:rsidRPr="00FC62CE">
        <w:rPr>
          <w:rStyle w:val="Refdenotaalpie"/>
          <w:sz w:val="20"/>
        </w:rPr>
        <w:footnoteRef/>
      </w:r>
      <w:r w:rsidRPr="00FC62CE">
        <w:rPr>
          <w:sz w:val="20"/>
        </w:rPr>
        <w:t xml:space="preserve"> </w:t>
      </w:r>
      <w:r w:rsidR="009C486B" w:rsidRPr="00FC62CE">
        <w:rPr>
          <w:sz w:val="20"/>
        </w:rPr>
        <w:t>Departamento del Atlántico</w:t>
      </w:r>
    </w:p>
  </w:footnote>
  <w:footnote w:id="9">
    <w:p w14:paraId="66246C8A" w14:textId="441E2C07" w:rsidR="009C486B" w:rsidRPr="00FC62CE" w:rsidRDefault="009C486B">
      <w:pPr>
        <w:pStyle w:val="Textonotapie"/>
        <w:rPr>
          <w:sz w:val="20"/>
        </w:rPr>
      </w:pPr>
      <w:r w:rsidRPr="00FC62CE">
        <w:rPr>
          <w:rStyle w:val="Refdenotaalpie"/>
          <w:sz w:val="20"/>
        </w:rPr>
        <w:footnoteRef/>
      </w:r>
      <w:r w:rsidRPr="00FC62CE">
        <w:rPr>
          <w:sz w:val="20"/>
        </w:rPr>
        <w:t xml:space="preserve"> Desarrollos Proyectos S.A. </w:t>
      </w:r>
    </w:p>
  </w:footnote>
  <w:footnote w:id="10">
    <w:p w14:paraId="6D891A77" w14:textId="2BDAD647" w:rsidR="009C486B" w:rsidRPr="00FC62CE" w:rsidRDefault="009C486B">
      <w:pPr>
        <w:pStyle w:val="Textonotapie"/>
        <w:rPr>
          <w:sz w:val="20"/>
        </w:rPr>
      </w:pPr>
      <w:r w:rsidRPr="00FC62CE">
        <w:rPr>
          <w:rStyle w:val="Refdenotaalpie"/>
          <w:sz w:val="20"/>
        </w:rPr>
        <w:footnoteRef/>
      </w:r>
      <w:r w:rsidRPr="00FC62CE">
        <w:rPr>
          <w:sz w:val="20"/>
        </w:rPr>
        <w:t xml:space="preserve">  Unión Temporal Alumbrado Público</w:t>
      </w:r>
    </w:p>
  </w:footnote>
  <w:footnote w:id="11">
    <w:p w14:paraId="14E98B9C" w14:textId="24DEBBD8" w:rsidR="009C486B" w:rsidRPr="00FC62CE" w:rsidRDefault="009C486B">
      <w:pPr>
        <w:pStyle w:val="Textonotapie"/>
        <w:rPr>
          <w:sz w:val="20"/>
        </w:rPr>
      </w:pPr>
      <w:r w:rsidRPr="00FC62CE">
        <w:rPr>
          <w:rStyle w:val="Refdenotaalpie"/>
          <w:sz w:val="20"/>
        </w:rPr>
        <w:footnoteRef/>
      </w:r>
      <w:r w:rsidRPr="00FC62CE">
        <w:rPr>
          <w:sz w:val="20"/>
        </w:rPr>
        <w:t xml:space="preserve"> Universidad del Atlántico</w:t>
      </w:r>
    </w:p>
  </w:footnote>
  <w:footnote w:id="12">
    <w:p w14:paraId="287CBA3E" w14:textId="521E0056" w:rsidR="004724DC" w:rsidRPr="00FC62CE" w:rsidRDefault="004724DC" w:rsidP="004724DC">
      <w:pPr>
        <w:pStyle w:val="Textonotapie"/>
        <w:rPr>
          <w:sz w:val="20"/>
        </w:rPr>
      </w:pPr>
      <w:r w:rsidRPr="00FC62CE">
        <w:rPr>
          <w:rStyle w:val="Refdenotaalpie"/>
          <w:sz w:val="20"/>
        </w:rPr>
        <w:footnoteRef/>
      </w:r>
      <w:r w:rsidRPr="00FC62CE">
        <w:rPr>
          <w:sz w:val="20"/>
        </w:rPr>
        <w:t xml:space="preserve"> “ARTICULO 128. 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74E2DB7A" w14:textId="7633342E" w:rsidR="004724DC" w:rsidRPr="00FC62CE" w:rsidRDefault="004724DC" w:rsidP="004724DC">
      <w:pPr>
        <w:pStyle w:val="Textonotapie"/>
        <w:rPr>
          <w:sz w:val="20"/>
        </w:rPr>
      </w:pPr>
      <w:r w:rsidRPr="00FC62CE">
        <w:rPr>
          <w:sz w:val="20"/>
        </w:rPr>
        <w:t>Entiéndese por tesoro público el de la Nación, el de las entidades territoriales y el de las descentralizadas”.</w:t>
      </w:r>
    </w:p>
  </w:footnote>
  <w:footnote w:id="13">
    <w:p w14:paraId="434A6305" w14:textId="77777777" w:rsidR="00FC62CE" w:rsidRPr="00FC62CE" w:rsidRDefault="00FC62CE" w:rsidP="00FC62CE">
      <w:pPr>
        <w:pStyle w:val="Textonotapie"/>
        <w:rPr>
          <w:noProof/>
          <w:sz w:val="20"/>
        </w:rPr>
      </w:pPr>
      <w:r w:rsidRPr="00FC62CE">
        <w:rPr>
          <w:rStyle w:val="Refdenotaalpie"/>
          <w:sz w:val="20"/>
        </w:rPr>
        <w:footnoteRef/>
      </w:r>
      <w:r w:rsidRPr="00FC62CE">
        <w:rPr>
          <w:sz w:val="20"/>
        </w:rPr>
        <w:t xml:space="preserve"> </w:t>
      </w:r>
    </w:p>
    <w:p w14:paraId="17C594C7" w14:textId="77777777" w:rsidR="00FC62CE" w:rsidRPr="00FC62CE" w:rsidRDefault="00FC62CE" w:rsidP="00FC62CE">
      <w:pPr>
        <w:pStyle w:val="Textonotapie"/>
        <w:rPr>
          <w:sz w:val="20"/>
        </w:rPr>
      </w:pPr>
      <w:r w:rsidRPr="00FC62CE">
        <w:rPr>
          <w:noProof/>
          <w:sz w:val="20"/>
          <w:lang w:eastAsia="es-CO"/>
        </w:rPr>
        <w:drawing>
          <wp:inline distT="0" distB="0" distL="0" distR="0" wp14:anchorId="11E96798" wp14:editId="4237E8C4">
            <wp:extent cx="2499360" cy="733798"/>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789" t="3930" r="646" b="3439"/>
                    <a:stretch/>
                  </pic:blipFill>
                  <pic:spPr bwMode="auto">
                    <a:xfrm>
                      <a:off x="0" y="0"/>
                      <a:ext cx="2518951" cy="739550"/>
                    </a:xfrm>
                    <a:prstGeom prst="rect">
                      <a:avLst/>
                    </a:prstGeom>
                    <a:ln>
                      <a:noFill/>
                    </a:ln>
                    <a:extLst>
                      <a:ext uri="{53640926-AAD7-44D8-BBD7-CCE9431645EC}">
                        <a14:shadowObscured xmlns:a14="http://schemas.microsoft.com/office/drawing/2010/main"/>
                      </a:ext>
                    </a:extLst>
                  </pic:spPr>
                </pic:pic>
              </a:graphicData>
            </a:graphic>
          </wp:inline>
        </w:drawing>
      </w:r>
    </w:p>
  </w:footnote>
  <w:footnote w:id="14">
    <w:p w14:paraId="69F318D4" w14:textId="615D43A4" w:rsidR="00FC62CE" w:rsidRPr="00FC62CE" w:rsidRDefault="00FC62CE" w:rsidP="00FC62CE">
      <w:pPr>
        <w:pStyle w:val="Textonotapie"/>
        <w:rPr>
          <w:sz w:val="20"/>
        </w:rPr>
      </w:pPr>
      <w:r w:rsidRPr="00FC62CE">
        <w:rPr>
          <w:rStyle w:val="Refdenotaalpie"/>
          <w:sz w:val="20"/>
        </w:rPr>
        <w:footnoteRef/>
      </w:r>
      <w:r w:rsidRPr="00FC62CE">
        <w:rPr>
          <w:sz w:val="20"/>
        </w:rPr>
        <w:t xml:space="preserve"> “ARTÍCULO 213. PRUEBAS DE OFICIO. En cualquiera de las instancias el Juez o Magistrado Ponente podrá decretar de oficio las pruebas que considere necesarias para el esclarecimiento de la verdad. Se deberán decretar y practicar conjuntamente con las pedidas por las partes.</w:t>
      </w:r>
    </w:p>
    <w:p w14:paraId="303DDE3E" w14:textId="77777777" w:rsidR="00FC62CE" w:rsidRPr="00FC62CE" w:rsidRDefault="00FC62CE" w:rsidP="00FC62CE">
      <w:pPr>
        <w:pStyle w:val="Textonotapie"/>
        <w:rPr>
          <w:sz w:val="20"/>
        </w:rPr>
      </w:pPr>
      <w:r w:rsidRPr="00FC62CE">
        <w:rPr>
          <w:sz w:val="20"/>
        </w:rPr>
        <w:t>Además, oídas las alegaciones el Juez o la Sala, sección o subsección antes de dictar sentencia también podrá disponer que se practiquen las pruebas necesarias para esclarecer puntos oscuros o difusos de la contienda. Para practicarlas deberá señalar un término de hasta diez (10) días.</w:t>
      </w:r>
    </w:p>
    <w:p w14:paraId="158F7259" w14:textId="2F1F83E0" w:rsidR="00FC62CE" w:rsidRPr="00FC62CE" w:rsidRDefault="00FC62CE" w:rsidP="00FC62CE">
      <w:pPr>
        <w:pStyle w:val="Textonotapie"/>
        <w:rPr>
          <w:sz w:val="20"/>
        </w:rPr>
      </w:pPr>
      <w:r w:rsidRPr="00FC62CE">
        <w:rPr>
          <w:sz w:val="20"/>
        </w:rPr>
        <w:t>En todo caso, dentro del término de ejecutoria del auto que decrete pruebas de oficio, las partes podrán aportar o solicitar, por una sola vez, nuevas pruebas, siempre que fueren indispensables para contraprobar aquellas decretadas de oficio. Tales pruebas, según el caso, serán practicadas dentro de los diez (10) días siguientes al auto que las decrete”.</w:t>
      </w:r>
    </w:p>
  </w:footnote>
  <w:footnote w:id="15">
    <w:p w14:paraId="0FBF72E1" w14:textId="77777777" w:rsidR="00FC62CE" w:rsidRPr="00FC62CE" w:rsidRDefault="00FC62CE" w:rsidP="00FC62CE">
      <w:pPr>
        <w:pStyle w:val="Textonotapie"/>
        <w:rPr>
          <w:sz w:val="20"/>
        </w:rPr>
      </w:pPr>
      <w:r w:rsidRPr="00FC62CE">
        <w:rPr>
          <w:rStyle w:val="Refdenotaalpie"/>
          <w:sz w:val="20"/>
        </w:rPr>
        <w:footnoteRef/>
      </w:r>
      <w:r w:rsidRPr="00FC62CE">
        <w:rPr>
          <w:sz w:val="20"/>
        </w:rPr>
        <w:t xml:space="preserve"> “ARTÍCULO 110. TRASLADOS. Cualquier traslado que deba surtirse en audiencia se cumplirá permitiéndole a la parte respectiva que haga uso de la palabra.</w:t>
      </w:r>
    </w:p>
    <w:p w14:paraId="3EA6DA4F" w14:textId="77777777" w:rsidR="00FC62CE" w:rsidRPr="00FC62CE" w:rsidRDefault="00FC62CE" w:rsidP="00FC62CE">
      <w:pPr>
        <w:pStyle w:val="Textonotapie"/>
        <w:rPr>
          <w:sz w:val="20"/>
        </w:rPr>
      </w:pPr>
      <w:r w:rsidRPr="00FC62CE">
        <w:rPr>
          <w:sz w:val="20"/>
        </w:rPr>
        <w:t>Salvo norma en contrario, todo traslado que deba surtirse por fuera de audiencia, se surtirá en secretaría por el término de tres (3) días y no requerirá auto ni constancia en el expediente. Estos traslados se incluirán en una lista que se mantendrá a disposición de las partes en la secretaría del juzgado por un (1) día y correrán desde el siguiente”.</w:t>
      </w:r>
    </w:p>
  </w:footnote>
  <w:footnote w:id="16">
    <w:p w14:paraId="2211E7DC" w14:textId="77777777" w:rsidR="00FC62CE" w:rsidRPr="00FC62CE" w:rsidRDefault="00FC62CE" w:rsidP="00FC62CE">
      <w:pPr>
        <w:pStyle w:val="Textonotapie"/>
        <w:rPr>
          <w:sz w:val="20"/>
        </w:rPr>
      </w:pPr>
      <w:r w:rsidRPr="00FC62CE">
        <w:rPr>
          <w:rStyle w:val="Refdenotaalpie"/>
          <w:sz w:val="20"/>
        </w:rPr>
        <w:footnoteRef/>
      </w:r>
      <w:r w:rsidRPr="00FC62CE">
        <w:rPr>
          <w:sz w:val="20"/>
        </w:rPr>
        <w:t xml:space="preserve"> “ARTÍCULO 170. DECRETO Y PRÁCTICA DE PRUEBA DE OFICIO. El juez deberá decretar pruebas de oficio, en las oportunidades probatorias del proceso y de los incidentes y antes de fallar, cuando sean necesarias para esclarecer los hechos objeto de la controversia.</w:t>
      </w:r>
    </w:p>
    <w:p w14:paraId="23F8B0A0" w14:textId="77777777" w:rsidR="00FC62CE" w:rsidRPr="00FC62CE" w:rsidRDefault="00FC62CE" w:rsidP="00FC62CE">
      <w:pPr>
        <w:pStyle w:val="Textonotapie"/>
        <w:rPr>
          <w:sz w:val="20"/>
        </w:rPr>
      </w:pPr>
      <w:r w:rsidRPr="00FC62CE">
        <w:rPr>
          <w:sz w:val="20"/>
        </w:rPr>
        <w:t>Las pruebas decretadas de oficio estarán sujetas a la contradicción de las partes”.</w:t>
      </w:r>
    </w:p>
  </w:footnote>
  <w:footnote w:id="17">
    <w:p w14:paraId="59B1F17B" w14:textId="2F11ACDF" w:rsidR="00847890" w:rsidRPr="00FC62CE" w:rsidRDefault="00847890" w:rsidP="00847890">
      <w:pPr>
        <w:pStyle w:val="NormalWeb"/>
        <w:rPr>
          <w:rFonts w:ascii="Arial" w:hAnsi="Arial" w:cs="Arial"/>
          <w:bCs/>
          <w:iCs/>
          <w:sz w:val="20"/>
          <w:szCs w:val="20"/>
          <w:lang w:val="es-MX"/>
        </w:rPr>
      </w:pPr>
      <w:r w:rsidRPr="00FC62CE">
        <w:rPr>
          <w:rFonts w:ascii="Arial" w:hAnsi="Arial" w:cs="Arial"/>
          <w:bCs/>
          <w:iCs/>
          <w:sz w:val="20"/>
          <w:szCs w:val="20"/>
          <w:vertAlign w:val="superscript"/>
          <w:lang w:val="es-MX"/>
        </w:rPr>
        <w:footnoteRef/>
      </w:r>
      <w:r w:rsidRPr="00FC62CE">
        <w:rPr>
          <w:rFonts w:ascii="Arial" w:hAnsi="Arial" w:cs="Arial"/>
          <w:bCs/>
          <w:iCs/>
          <w:sz w:val="20"/>
          <w:szCs w:val="20"/>
          <w:lang w:val="es-MX"/>
        </w:rPr>
        <w:t xml:space="preserve"> Documento visible en</w:t>
      </w:r>
      <w:r w:rsidR="00AD0C8F" w:rsidRPr="00FC62CE">
        <w:rPr>
          <w:rFonts w:ascii="Arial" w:hAnsi="Arial" w:cs="Arial"/>
          <w:bCs/>
          <w:iCs/>
          <w:sz w:val="20"/>
          <w:szCs w:val="20"/>
          <w:lang w:val="es-MX"/>
        </w:rPr>
        <w:t xml:space="preserve"> Samai en el índice </w:t>
      </w:r>
      <w:r w:rsidR="00B656CF">
        <w:rPr>
          <w:rFonts w:ascii="Arial" w:hAnsi="Arial" w:cs="Arial"/>
          <w:bCs/>
          <w:iCs/>
          <w:sz w:val="20"/>
          <w:szCs w:val="20"/>
          <w:lang w:val="es-MX"/>
        </w:rPr>
        <w:t>4</w:t>
      </w:r>
      <w:r w:rsidR="00AD0C8F" w:rsidRPr="00FC62CE">
        <w:rPr>
          <w:rFonts w:ascii="Arial" w:hAnsi="Arial" w:cs="Arial"/>
          <w:bCs/>
          <w:iCs/>
          <w:sz w:val="20"/>
          <w:szCs w:val="20"/>
          <w:lang w:val="es-MX"/>
        </w:rPr>
        <w:t xml:space="preserve"> del</w:t>
      </w:r>
      <w:r w:rsidRPr="00FC62CE">
        <w:rPr>
          <w:rFonts w:ascii="Arial" w:hAnsi="Arial" w:cs="Arial"/>
          <w:bCs/>
          <w:iCs/>
          <w:sz w:val="20"/>
          <w:szCs w:val="20"/>
          <w:lang w:val="es-MX"/>
        </w:rPr>
        <w:t xml:space="preserve"> expediente digital de tutela, con certificado </w:t>
      </w:r>
      <w:r w:rsidR="00176052" w:rsidRPr="00176052">
        <w:rPr>
          <w:rFonts w:ascii="Arial" w:hAnsi="Arial" w:cs="Arial"/>
          <w:bCs/>
          <w:iCs/>
          <w:sz w:val="20"/>
          <w:szCs w:val="20"/>
          <w:lang w:val="es-MX"/>
        </w:rPr>
        <w:t>229421BB6969A233 3D3E71653ED79E07 071921D519A2DE7D 76ABDB9B3A2DBBC3</w:t>
      </w:r>
      <w:r w:rsidRPr="00FC62CE">
        <w:rPr>
          <w:rFonts w:ascii="Arial" w:hAnsi="Arial" w:cs="Arial"/>
          <w:bCs/>
          <w:iCs/>
          <w:sz w:val="20"/>
          <w:szCs w:val="20"/>
          <w:lang w:val="es-MX"/>
        </w:rPr>
        <w:t xml:space="preserve">. </w:t>
      </w:r>
    </w:p>
  </w:footnote>
  <w:footnote w:id="18">
    <w:p w14:paraId="06AEBE37" w14:textId="3570F42D" w:rsidR="00B656CF" w:rsidRPr="00FC62CE" w:rsidRDefault="00B656CF" w:rsidP="00B656CF">
      <w:pPr>
        <w:pStyle w:val="NormalWeb"/>
        <w:rPr>
          <w:rFonts w:ascii="Arial" w:hAnsi="Arial" w:cs="Arial"/>
          <w:bCs/>
          <w:iCs/>
          <w:sz w:val="20"/>
          <w:szCs w:val="20"/>
          <w:lang w:val="es-MX"/>
        </w:rPr>
      </w:pPr>
      <w:r w:rsidRPr="00FC62CE">
        <w:rPr>
          <w:rFonts w:ascii="Arial" w:hAnsi="Arial" w:cs="Arial"/>
          <w:bCs/>
          <w:iCs/>
          <w:sz w:val="20"/>
          <w:szCs w:val="20"/>
          <w:vertAlign w:val="superscript"/>
          <w:lang w:val="es-MX"/>
        </w:rPr>
        <w:footnoteRef/>
      </w:r>
      <w:r w:rsidRPr="00FC62CE">
        <w:rPr>
          <w:rFonts w:ascii="Arial" w:hAnsi="Arial" w:cs="Arial"/>
          <w:bCs/>
          <w:iCs/>
          <w:sz w:val="20"/>
          <w:szCs w:val="20"/>
          <w:lang w:val="es-MX"/>
        </w:rPr>
        <w:t xml:space="preserve"> Documento </w:t>
      </w:r>
      <w:r>
        <w:rPr>
          <w:rFonts w:ascii="Arial" w:hAnsi="Arial" w:cs="Arial"/>
          <w:bCs/>
          <w:iCs/>
          <w:sz w:val="20"/>
          <w:szCs w:val="20"/>
          <w:lang w:val="es-MX"/>
        </w:rPr>
        <w:t>denominado “</w:t>
      </w:r>
      <w:r w:rsidRPr="00B656CF">
        <w:rPr>
          <w:rFonts w:ascii="Arial" w:hAnsi="Arial" w:cs="Arial"/>
          <w:bCs/>
          <w:iCs/>
          <w:sz w:val="20"/>
          <w:szCs w:val="20"/>
          <w:lang w:val="es-MX"/>
        </w:rPr>
        <w:t>13_110010315000202205455003RECIBEMEMORIAL20221024113633.</w:t>
      </w:r>
      <w:r w:rsidR="00BB0EF2">
        <w:rPr>
          <w:rFonts w:ascii="Arial" w:hAnsi="Arial" w:cs="Arial"/>
          <w:bCs/>
          <w:iCs/>
          <w:sz w:val="20"/>
          <w:szCs w:val="20"/>
          <w:lang w:val="es-MX"/>
        </w:rPr>
        <w:t>-</w:t>
      </w:r>
      <w:r w:rsidRPr="00B656CF">
        <w:rPr>
          <w:rFonts w:ascii="Arial" w:hAnsi="Arial" w:cs="Arial"/>
          <w:bCs/>
          <w:iCs/>
          <w:sz w:val="20"/>
          <w:szCs w:val="20"/>
          <w:lang w:val="es-MX"/>
        </w:rPr>
        <w:t>pdf</w:t>
      </w:r>
      <w:r>
        <w:rPr>
          <w:rFonts w:ascii="Arial" w:hAnsi="Arial" w:cs="Arial"/>
          <w:bCs/>
          <w:iCs/>
          <w:sz w:val="20"/>
          <w:szCs w:val="20"/>
          <w:lang w:val="es-MX"/>
        </w:rPr>
        <w:t xml:space="preserve">”, </w:t>
      </w:r>
      <w:r w:rsidRPr="00FC62CE">
        <w:rPr>
          <w:rFonts w:ascii="Arial" w:hAnsi="Arial" w:cs="Arial"/>
          <w:bCs/>
          <w:iCs/>
          <w:sz w:val="20"/>
          <w:szCs w:val="20"/>
          <w:lang w:val="es-MX"/>
        </w:rPr>
        <w:t xml:space="preserve">visible en Samai en el índice </w:t>
      </w:r>
      <w:r>
        <w:rPr>
          <w:rFonts w:ascii="Arial" w:hAnsi="Arial" w:cs="Arial"/>
          <w:bCs/>
          <w:iCs/>
          <w:sz w:val="20"/>
          <w:szCs w:val="20"/>
          <w:lang w:val="es-MX"/>
        </w:rPr>
        <w:t>10</w:t>
      </w:r>
      <w:r w:rsidRPr="00FC62CE">
        <w:rPr>
          <w:rFonts w:ascii="Arial" w:hAnsi="Arial" w:cs="Arial"/>
          <w:bCs/>
          <w:iCs/>
          <w:sz w:val="20"/>
          <w:szCs w:val="20"/>
          <w:lang w:val="es-MX"/>
        </w:rPr>
        <w:t xml:space="preserve"> del expediente digital de tutela, con certificado </w:t>
      </w:r>
      <w:r w:rsidRPr="00B656CF">
        <w:rPr>
          <w:rFonts w:ascii="Arial" w:hAnsi="Arial" w:cs="Arial"/>
          <w:bCs/>
          <w:iCs/>
          <w:sz w:val="20"/>
          <w:szCs w:val="20"/>
          <w:lang w:val="es-MX"/>
        </w:rPr>
        <w:t>5A79BAA439E575B1 AB21DA7A17DBC078 62EE7A8D40FF50CC 33F5819D057CDDBA</w:t>
      </w:r>
      <w:r w:rsidRPr="00FC62CE">
        <w:rPr>
          <w:rFonts w:ascii="Arial" w:hAnsi="Arial" w:cs="Arial"/>
          <w:bCs/>
          <w:iCs/>
          <w:sz w:val="20"/>
          <w:szCs w:val="20"/>
          <w:lang w:val="es-MX"/>
        </w:rPr>
        <w:t xml:space="preserve">. </w:t>
      </w:r>
    </w:p>
  </w:footnote>
  <w:footnote w:id="19">
    <w:p w14:paraId="33162D67" w14:textId="4E024C8E" w:rsidR="00BB0EF2" w:rsidRPr="00FC62CE" w:rsidRDefault="00BB0EF2" w:rsidP="00BB0EF2">
      <w:pPr>
        <w:pStyle w:val="NormalWeb"/>
        <w:rPr>
          <w:rFonts w:ascii="Arial" w:hAnsi="Arial" w:cs="Arial"/>
          <w:bCs/>
          <w:iCs/>
          <w:sz w:val="20"/>
          <w:szCs w:val="20"/>
          <w:lang w:val="es-MX"/>
        </w:rPr>
      </w:pPr>
      <w:r w:rsidRPr="00FC62CE">
        <w:rPr>
          <w:rFonts w:ascii="Arial" w:hAnsi="Arial" w:cs="Arial"/>
          <w:bCs/>
          <w:iCs/>
          <w:sz w:val="20"/>
          <w:szCs w:val="20"/>
          <w:vertAlign w:val="superscript"/>
          <w:lang w:val="es-MX"/>
        </w:rPr>
        <w:footnoteRef/>
      </w:r>
      <w:r w:rsidRPr="00FC62CE">
        <w:rPr>
          <w:rFonts w:ascii="Arial" w:hAnsi="Arial" w:cs="Arial"/>
          <w:bCs/>
          <w:iCs/>
          <w:sz w:val="20"/>
          <w:szCs w:val="20"/>
          <w:lang w:val="es-MX"/>
        </w:rPr>
        <w:t xml:space="preserve"> Documento </w:t>
      </w:r>
      <w:r>
        <w:rPr>
          <w:rFonts w:ascii="Arial" w:hAnsi="Arial" w:cs="Arial"/>
          <w:bCs/>
          <w:iCs/>
          <w:sz w:val="20"/>
          <w:szCs w:val="20"/>
          <w:lang w:val="es-MX"/>
        </w:rPr>
        <w:t>denominado “</w:t>
      </w:r>
      <w:r w:rsidRPr="00B656CF">
        <w:rPr>
          <w:rFonts w:ascii="Arial" w:hAnsi="Arial" w:cs="Arial"/>
          <w:bCs/>
          <w:iCs/>
          <w:sz w:val="20"/>
          <w:szCs w:val="20"/>
          <w:lang w:val="es-MX"/>
        </w:rPr>
        <w:t>13_110010315000202205455003RECIBEMEMORIAL20221024113633</w:t>
      </w:r>
      <w:r>
        <w:rPr>
          <w:rFonts w:ascii="Arial" w:hAnsi="Arial" w:cs="Arial"/>
          <w:bCs/>
          <w:iCs/>
          <w:sz w:val="20"/>
          <w:szCs w:val="20"/>
          <w:lang w:val="es-MX"/>
        </w:rPr>
        <w:t>-</w:t>
      </w:r>
      <w:r w:rsidRPr="00B656CF">
        <w:rPr>
          <w:rFonts w:ascii="Arial" w:hAnsi="Arial" w:cs="Arial"/>
          <w:bCs/>
          <w:iCs/>
          <w:sz w:val="20"/>
          <w:szCs w:val="20"/>
          <w:lang w:val="es-MX"/>
        </w:rPr>
        <w:t>.pdf</w:t>
      </w:r>
      <w:r>
        <w:rPr>
          <w:rFonts w:ascii="Arial" w:hAnsi="Arial" w:cs="Arial"/>
          <w:bCs/>
          <w:iCs/>
          <w:sz w:val="20"/>
          <w:szCs w:val="20"/>
          <w:lang w:val="es-MX"/>
        </w:rPr>
        <w:t xml:space="preserve">”, </w:t>
      </w:r>
      <w:r w:rsidRPr="00FC62CE">
        <w:rPr>
          <w:rFonts w:ascii="Arial" w:hAnsi="Arial" w:cs="Arial"/>
          <w:bCs/>
          <w:iCs/>
          <w:sz w:val="20"/>
          <w:szCs w:val="20"/>
          <w:lang w:val="es-MX"/>
        </w:rPr>
        <w:t xml:space="preserve">visible en Samai en el índice </w:t>
      </w:r>
      <w:r>
        <w:rPr>
          <w:rFonts w:ascii="Arial" w:hAnsi="Arial" w:cs="Arial"/>
          <w:bCs/>
          <w:iCs/>
          <w:sz w:val="20"/>
          <w:szCs w:val="20"/>
          <w:lang w:val="es-MX"/>
        </w:rPr>
        <w:t>11</w:t>
      </w:r>
      <w:r w:rsidRPr="00FC62CE">
        <w:rPr>
          <w:rFonts w:ascii="Arial" w:hAnsi="Arial" w:cs="Arial"/>
          <w:bCs/>
          <w:iCs/>
          <w:sz w:val="20"/>
          <w:szCs w:val="20"/>
          <w:lang w:val="es-MX"/>
        </w:rPr>
        <w:t xml:space="preserve"> del expediente digital de tutela, con certificado </w:t>
      </w:r>
      <w:r w:rsidRPr="00B656CF">
        <w:rPr>
          <w:rFonts w:ascii="Arial" w:hAnsi="Arial" w:cs="Arial"/>
          <w:bCs/>
          <w:iCs/>
          <w:sz w:val="20"/>
          <w:szCs w:val="20"/>
          <w:lang w:val="es-MX"/>
        </w:rPr>
        <w:t>5A79BAA439E575B1 AB21DA7A17DBC078 62EE7A8D40FF50CC 33F5819D057CDDBA</w:t>
      </w:r>
      <w:r w:rsidRPr="00FC62CE">
        <w:rPr>
          <w:rFonts w:ascii="Arial" w:hAnsi="Arial" w:cs="Arial"/>
          <w:bCs/>
          <w:iCs/>
          <w:sz w:val="20"/>
          <w:szCs w:val="20"/>
          <w:lang w:val="es-MX"/>
        </w:rPr>
        <w:t xml:space="preserve">. </w:t>
      </w:r>
    </w:p>
  </w:footnote>
  <w:footnote w:id="20">
    <w:p w14:paraId="390736DB" w14:textId="77777777" w:rsidR="0070680B" w:rsidRPr="00FC62CE" w:rsidRDefault="0070680B" w:rsidP="003B7623">
      <w:pPr>
        <w:pStyle w:val="Textonotapie"/>
        <w:rPr>
          <w:sz w:val="20"/>
        </w:rPr>
      </w:pPr>
      <w:r w:rsidRPr="00FC62CE">
        <w:rPr>
          <w:rStyle w:val="Refdenotaalpie"/>
          <w:sz w:val="20"/>
        </w:rPr>
        <w:footnoteRef/>
      </w:r>
      <w:r w:rsidRPr="00FC62CE">
        <w:rPr>
          <w:sz w:val="20"/>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21">
    <w:p w14:paraId="6D389E93" w14:textId="77777777" w:rsidR="00C6238D" w:rsidRPr="00696DA3" w:rsidRDefault="00C6238D" w:rsidP="00C6238D">
      <w:pPr>
        <w:pStyle w:val="Textonotapie"/>
        <w:rPr>
          <w:sz w:val="20"/>
        </w:rPr>
      </w:pPr>
      <w:r w:rsidRPr="00696DA3">
        <w:rPr>
          <w:rStyle w:val="Refdenotaalpie"/>
          <w:sz w:val="20"/>
        </w:rPr>
        <w:footnoteRef/>
      </w:r>
      <w:r w:rsidRPr="00696DA3">
        <w:rPr>
          <w:sz w:val="20"/>
        </w:rPr>
        <w:t xml:space="preserve"> Corte Constitucional. Sentencia T-017 de 2012.</w:t>
      </w:r>
    </w:p>
  </w:footnote>
  <w:footnote w:id="22">
    <w:p w14:paraId="0F01E441" w14:textId="77777777" w:rsidR="00A61368" w:rsidRPr="004B4F17" w:rsidRDefault="00A61368" w:rsidP="00A61368">
      <w:pPr>
        <w:pStyle w:val="Textonotapie"/>
      </w:pPr>
      <w:r w:rsidRPr="004B4F17">
        <w:rPr>
          <w:rStyle w:val="Refdenotaalpie"/>
        </w:rPr>
        <w:footnoteRef/>
      </w:r>
      <w:r w:rsidRPr="004B4F17">
        <w:t xml:space="preserve"> CONSEJO DE ESTADO. Sala Especial No. 26. Sentencia de 3 de febrero de 2015, Expediente: 11001-03-15-000-2011-01639-00 </w:t>
      </w:r>
      <w:r w:rsidRPr="004B4F17">
        <w:rPr>
          <w:color w:val="000000"/>
        </w:rPr>
        <w:t>Demandante: Vehivalle S.A. Referencia: Recurso extraordinario de revisión.</w:t>
      </w:r>
    </w:p>
  </w:footnote>
  <w:footnote w:id="23">
    <w:p w14:paraId="569E37C0" w14:textId="77777777" w:rsidR="00A61368" w:rsidRPr="004B4F17" w:rsidRDefault="00A61368" w:rsidP="00A61368">
      <w:pPr>
        <w:pStyle w:val="Textonotapie"/>
      </w:pPr>
      <w:r w:rsidRPr="004B4F17">
        <w:rPr>
          <w:rStyle w:val="Refdenotaalpie"/>
        </w:rPr>
        <w:footnoteRef/>
      </w:r>
      <w:r w:rsidRPr="004B4F17">
        <w:t xml:space="preserve"> A esta postura se adscriben, entre otras, las siguientes decisiones judiciales adoptadas por esta Corporación: sentencia del 8 de mayo de 2018, Sala Plena de lo Contencioso Administrativo, radicación 11001-03-15-000-1998-00153-01, actor: Julio César Mancipe Estupiñán; sentencia del 7 de octubre de 2019, Sección Tercera, Subsección B, radicación 11001-33-31-035-2008-00180- 01(52615); actor: Ferney Darío Lis Fula y otros; sentencia del 24 de octubre de 2019, Sección Segunda, Subsección A, radicación 11001-03-25-000-2014-00325-00(0997-14), actor: Carlos Januario Montero Pérez.</w:t>
      </w:r>
    </w:p>
  </w:footnote>
  <w:footnote w:id="24">
    <w:p w14:paraId="034E2666" w14:textId="77777777" w:rsidR="00A61368" w:rsidRPr="004B4F17" w:rsidRDefault="00A61368" w:rsidP="00A61368">
      <w:pPr>
        <w:pStyle w:val="Textonotapie"/>
      </w:pPr>
      <w:r w:rsidRPr="004B4F17">
        <w:rPr>
          <w:rStyle w:val="Refdenotaalpie"/>
        </w:rPr>
        <w:footnoteRef/>
      </w:r>
      <w:r w:rsidRPr="004B4F17">
        <w:t xml:space="preserve"> Expediente núm. 11001-03-15-000-2019-01457-00.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C8D0" w14:textId="77777777" w:rsidR="0086189E" w:rsidRPr="00F71B50" w:rsidRDefault="00AB2840" w:rsidP="00203055">
    <w:pPr>
      <w:pStyle w:val="Encabezado"/>
      <w:tabs>
        <w:tab w:val="clear" w:pos="4252"/>
        <w:tab w:val="clear" w:pos="8504"/>
      </w:tabs>
      <w:rPr>
        <w:i/>
        <w:iCs/>
      </w:rPr>
    </w:pPr>
    <w:r>
      <w:rPr>
        <w:b/>
        <w:bCs/>
        <w:noProof/>
        <w:color w:val="000000"/>
        <w:lang w:eastAsia="es-CO"/>
      </w:rPr>
      <w:drawing>
        <wp:anchor distT="0" distB="0" distL="114300" distR="114300" simplePos="0" relativeHeight="251696128" behindDoc="1" locked="0" layoutInCell="1" allowOverlap="1" wp14:anchorId="50F71D28" wp14:editId="3326645E">
          <wp:simplePos x="0" y="0"/>
          <wp:positionH relativeFrom="margin">
            <wp:align>left</wp:align>
          </wp:positionH>
          <wp:positionV relativeFrom="paragraph">
            <wp:posOffset>-118110</wp:posOffset>
          </wp:positionV>
          <wp:extent cx="857250" cy="798830"/>
          <wp:effectExtent l="0" t="0" r="0" b="1270"/>
          <wp:wrapTight wrapText="bothSides">
            <wp:wrapPolygon edited="0">
              <wp:start x="7680" y="0"/>
              <wp:lineTo x="4800" y="2576"/>
              <wp:lineTo x="960" y="7211"/>
              <wp:lineTo x="960" y="11332"/>
              <wp:lineTo x="2880" y="17514"/>
              <wp:lineTo x="7200" y="20089"/>
              <wp:lineTo x="7680" y="21119"/>
              <wp:lineTo x="13440" y="21119"/>
              <wp:lineTo x="13920" y="20089"/>
              <wp:lineTo x="18720" y="17514"/>
              <wp:lineTo x="20640" y="7727"/>
              <wp:lineTo x="16320" y="2576"/>
              <wp:lineTo x="13440" y="0"/>
              <wp:lineTo x="768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65" cy="800429"/>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000000"/>
        <w:lang w:eastAsia="es-CO"/>
      </w:rPr>
      <mc:AlternateContent>
        <mc:Choice Requires="wps">
          <w:drawing>
            <wp:anchor distT="4294967294" distB="4294967294" distL="114300" distR="114300" simplePos="0" relativeHeight="251697152" behindDoc="0" locked="0" layoutInCell="1" allowOverlap="1" wp14:anchorId="62E54602" wp14:editId="10BBAF18">
              <wp:simplePos x="0" y="0"/>
              <wp:positionH relativeFrom="margin">
                <wp:align>right</wp:align>
              </wp:positionH>
              <wp:positionV relativeFrom="paragraph">
                <wp:posOffset>5005</wp:posOffset>
              </wp:positionV>
              <wp:extent cx="4018915" cy="0"/>
              <wp:effectExtent l="0" t="0" r="0" b="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AEB9447" id="_x0000_t32" coordsize="21600,21600" o:spt="32" o:oned="t" path="m,l21600,21600e" filled="f">
              <v:path arrowok="t" fillok="f" o:connecttype="none"/>
              <o:lock v:ext="edit" shapetype="t"/>
            </v:shapetype>
            <v:shape id="Conector recto de flecha 4" o:spid="_x0000_s1026" type="#_x0000_t32" style="position:absolute;margin-left:265.25pt;margin-top:.4pt;width:316.45pt;height:0;flip:x;z-index:2516971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" strokeweight="1.5pt">
              <w10:wrap anchorx="margin"/>
            </v:shape>
          </w:pict>
        </mc:Fallback>
      </mc:AlternateContent>
    </w:r>
  </w:p>
  <w:p w14:paraId="46157B07" w14:textId="77777777" w:rsidR="00D717F0" w:rsidRPr="00297876" w:rsidRDefault="00D717F0" w:rsidP="00D717F0">
    <w:pPr>
      <w:pStyle w:val="Encabezado"/>
      <w:jc w:val="right"/>
      <w:rPr>
        <w:i/>
        <w:iCs/>
        <w:sz w:val="20"/>
        <w:szCs w:val="20"/>
      </w:rPr>
    </w:pPr>
    <w:r w:rsidRPr="00297876">
      <w:rPr>
        <w:i/>
        <w:iCs/>
        <w:sz w:val="20"/>
        <w:szCs w:val="20"/>
      </w:rPr>
      <w:t xml:space="preserve">Radicado: </w:t>
    </w:r>
    <w:r>
      <w:rPr>
        <w:bCs/>
        <w:i/>
        <w:color w:val="000000"/>
        <w:sz w:val="20"/>
        <w:szCs w:val="20"/>
        <w:lang w:eastAsia="es-ES"/>
      </w:rPr>
      <w:t>11001-03-15-000-2022-05455-00</w:t>
    </w:r>
  </w:p>
  <w:p w14:paraId="411DA33E" w14:textId="77777777" w:rsidR="00D717F0" w:rsidRPr="00297876" w:rsidRDefault="00D717F0" w:rsidP="00D717F0">
    <w:pPr>
      <w:pStyle w:val="Encabezado"/>
      <w:tabs>
        <w:tab w:val="clear" w:pos="4252"/>
      </w:tabs>
      <w:jc w:val="right"/>
      <w:rPr>
        <w:i/>
        <w:iCs/>
        <w:sz w:val="20"/>
        <w:szCs w:val="20"/>
      </w:rPr>
    </w:pPr>
    <w:r w:rsidRPr="00297876">
      <w:rPr>
        <w:i/>
        <w:iCs/>
        <w:sz w:val="20"/>
        <w:szCs w:val="20"/>
      </w:rPr>
      <w:tab/>
      <w:t xml:space="preserve">Accionante: </w:t>
    </w:r>
    <w:r>
      <w:rPr>
        <w:bCs/>
        <w:i/>
        <w:color w:val="000000"/>
        <w:sz w:val="20"/>
        <w:szCs w:val="20"/>
        <w:lang w:eastAsia="es-ES"/>
      </w:rPr>
      <w:t>Pedro Pastor Aragón Canchila</w:t>
    </w:r>
  </w:p>
  <w:p w14:paraId="44ECA800" w14:textId="3FC36564" w:rsidR="00D75889" w:rsidRDefault="00D75889" w:rsidP="00D717F0">
    <w:pPr>
      <w:suppressAutoHyphens/>
      <w:ind w:left="3530"/>
      <w:jc w:val="right"/>
      <w:rPr>
        <w:bCs/>
        <w:i/>
        <w:color w:val="000000"/>
        <w:sz w:val="20"/>
        <w:szCs w:val="20"/>
        <w:lang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E39F" w14:textId="054CFB4E" w:rsidR="00D017F0" w:rsidRPr="00FE6083" w:rsidRDefault="00D017F0" w:rsidP="008F49E1">
    <w:pPr>
      <w:suppressAutoHyphens/>
      <w:ind w:left="3530" w:firstLine="706"/>
      <w:jc w:val="right"/>
      <w:rPr>
        <w:bCs/>
        <w:i/>
        <w:color w:val="000000"/>
        <w:sz w:val="20"/>
        <w:szCs w:val="20"/>
        <w:lang w:eastAsia="es-ES"/>
      </w:rPr>
    </w:pPr>
    <w:r>
      <w:rPr>
        <w:noProof/>
        <w:lang w:eastAsia="es-CO"/>
      </w:rPr>
      <mc:AlternateContent>
        <mc:Choice Requires="wps">
          <w:drawing>
            <wp:anchor distT="4294967294" distB="4294967294" distL="114300" distR="114300" simplePos="0" relativeHeight="251700224" behindDoc="0" locked="0" layoutInCell="1" allowOverlap="1" wp14:anchorId="2258698B" wp14:editId="450E7200">
              <wp:simplePos x="0" y="0"/>
              <wp:positionH relativeFrom="column">
                <wp:posOffset>1802765</wp:posOffset>
              </wp:positionH>
              <wp:positionV relativeFrom="paragraph">
                <wp:posOffset>-26670</wp:posOffset>
              </wp:positionV>
              <wp:extent cx="4018915" cy="0"/>
              <wp:effectExtent l="0" t="0" r="1968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FD967F" id="_x0000_t32" coordsize="21600,21600" o:spt="32" o:oned="t" path="m,l21600,21600e" filled="f">
              <v:path arrowok="t" fillok="f" o:connecttype="none"/>
              <o:lock v:ext="edit" shapetype="t"/>
            </v:shapetype>
            <v:shape id="Conector recto de flecha 2" o:spid="_x0000_s1026" type="#_x0000_t32" style="position:absolute;margin-left:141.95pt;margin-top:-2.1pt;width:316.45pt;height:0;flip:x;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" strokeweight="1.5pt"/>
          </w:pict>
        </mc:Fallback>
      </mc:AlternateContent>
    </w:r>
    <w:r w:rsidRPr="00FE6083">
      <w:rPr>
        <w:bCs/>
        <w:i/>
        <w:color w:val="000000"/>
        <w:sz w:val="20"/>
        <w:szCs w:val="20"/>
        <w:lang w:eastAsia="es-ES"/>
      </w:rPr>
      <w:t>Radicado:</w:t>
    </w:r>
    <w:r>
      <w:rPr>
        <w:bCs/>
        <w:i/>
        <w:color w:val="000000"/>
        <w:sz w:val="20"/>
        <w:szCs w:val="20"/>
        <w:lang w:eastAsia="es-ES"/>
      </w:rPr>
      <w:t xml:space="preserve"> 11001-03-15-000-2022-05455-00</w:t>
    </w:r>
  </w:p>
  <w:p w14:paraId="4B76FCF7" w14:textId="5185CC86" w:rsidR="00D017F0" w:rsidRPr="00FE6083" w:rsidRDefault="008F49E1" w:rsidP="008F49E1">
    <w:pPr>
      <w:suppressAutoHyphens/>
      <w:jc w:val="right"/>
      <w:rPr>
        <w:bCs/>
        <w:i/>
        <w:color w:val="000000"/>
        <w:sz w:val="20"/>
        <w:szCs w:val="20"/>
        <w:lang w:eastAsia="es-ES"/>
      </w:rPr>
    </w:pPr>
    <w:r>
      <w:rPr>
        <w:noProof/>
        <w:lang w:eastAsia="es-CO"/>
      </w:rPr>
      <w:drawing>
        <wp:anchor distT="0" distB="0" distL="114300" distR="114300" simplePos="0" relativeHeight="251699200" behindDoc="1" locked="0" layoutInCell="1" allowOverlap="1" wp14:anchorId="2D22926F" wp14:editId="1C3701CE">
          <wp:simplePos x="0" y="0"/>
          <wp:positionH relativeFrom="margin">
            <wp:align>left</wp:align>
          </wp:positionH>
          <wp:positionV relativeFrom="paragraph">
            <wp:posOffset>171450</wp:posOffset>
          </wp:positionV>
          <wp:extent cx="933450" cy="869315"/>
          <wp:effectExtent l="0" t="0" r="0" b="6985"/>
          <wp:wrapTight wrapText="bothSides">
            <wp:wrapPolygon edited="0">
              <wp:start x="8816" y="0"/>
              <wp:lineTo x="6171" y="1420"/>
              <wp:lineTo x="882" y="6627"/>
              <wp:lineTo x="882" y="9467"/>
              <wp:lineTo x="2204" y="17040"/>
              <wp:lineTo x="8816" y="21300"/>
              <wp:lineTo x="12343" y="21300"/>
              <wp:lineTo x="13665" y="20354"/>
              <wp:lineTo x="19396" y="16093"/>
              <wp:lineTo x="20718" y="7100"/>
              <wp:lineTo x="14988" y="1420"/>
              <wp:lineTo x="12343" y="0"/>
              <wp:lineTo x="8816"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7F0">
      <w:rPr>
        <w:bCs/>
        <w:i/>
        <w:color w:val="000000"/>
        <w:sz w:val="20"/>
        <w:szCs w:val="20"/>
        <w:lang w:eastAsia="es-ES"/>
      </w:rPr>
      <w:t xml:space="preserve">                                     Accionante</w:t>
    </w:r>
    <w:r w:rsidR="00D017F0" w:rsidRPr="00FE6083">
      <w:rPr>
        <w:bCs/>
        <w:i/>
        <w:color w:val="000000"/>
        <w:sz w:val="20"/>
        <w:szCs w:val="20"/>
        <w:lang w:eastAsia="es-ES"/>
      </w:rPr>
      <w:t xml:space="preserve">: </w:t>
    </w:r>
    <w:r w:rsidR="00D017F0">
      <w:rPr>
        <w:bCs/>
        <w:i/>
        <w:color w:val="000000"/>
        <w:sz w:val="20"/>
        <w:szCs w:val="20"/>
        <w:lang w:eastAsia="es-ES"/>
      </w:rPr>
      <w:t>Pedro Pastor Aragón Canchila</w:t>
    </w:r>
  </w:p>
  <w:p w14:paraId="2ED35E08" w14:textId="03A7A587" w:rsidR="00D017F0" w:rsidRDefault="00D017F0" w:rsidP="008F49E1">
    <w:pPr>
      <w:suppressAutoHyphens/>
      <w:rPr>
        <w:b/>
        <w:bCs/>
        <w:color w:val="000000"/>
        <w:lang w:eastAsia="es-ES"/>
      </w:rPr>
    </w:pPr>
    <w:bookmarkStart w:id="2" w:name="_Hlk101357283"/>
    <w:bookmarkStart w:id="3" w:name="_Hlk101357284"/>
  </w:p>
  <w:p w14:paraId="76558757" w14:textId="13E90B2B" w:rsidR="00D017F0" w:rsidRPr="00491A3A" w:rsidRDefault="00D017F0" w:rsidP="008F49E1">
    <w:pPr>
      <w:suppressAutoHyphens/>
      <w:rPr>
        <w:b/>
        <w:bCs/>
        <w:color w:val="000000"/>
        <w:sz w:val="24"/>
        <w:szCs w:val="24"/>
        <w:lang w:eastAsia="es-ES"/>
      </w:rPr>
    </w:pPr>
    <w:r>
      <w:rPr>
        <w:b/>
        <w:bCs/>
        <w:color w:val="000000"/>
        <w:sz w:val="24"/>
        <w:szCs w:val="24"/>
        <w:lang w:eastAsia="es-ES"/>
      </w:rPr>
      <w:t xml:space="preserve">                                   C</w:t>
    </w:r>
    <w:r w:rsidRPr="00491A3A">
      <w:rPr>
        <w:b/>
        <w:bCs/>
        <w:color w:val="000000"/>
        <w:sz w:val="24"/>
        <w:szCs w:val="24"/>
        <w:lang w:eastAsia="es-ES"/>
      </w:rPr>
      <w:t>ONSEJO DE ESTADO</w:t>
    </w:r>
  </w:p>
  <w:p w14:paraId="4A361C4D" w14:textId="77777777" w:rsidR="00D017F0" w:rsidRPr="00491A3A" w:rsidRDefault="00D017F0" w:rsidP="008F49E1">
    <w:pPr>
      <w:suppressAutoHyphens/>
      <w:jc w:val="center"/>
      <w:rPr>
        <w:b/>
        <w:bCs/>
        <w:color w:val="000000"/>
        <w:sz w:val="24"/>
        <w:szCs w:val="24"/>
        <w:lang w:eastAsia="es-ES"/>
      </w:rPr>
    </w:pPr>
    <w:r w:rsidRPr="00491A3A">
      <w:rPr>
        <w:b/>
        <w:bCs/>
        <w:color w:val="000000"/>
        <w:sz w:val="24"/>
        <w:szCs w:val="24"/>
        <w:lang w:eastAsia="es-ES"/>
      </w:rPr>
      <w:t>SALA DE LO CONTENCIOSO ADMINISTRATIVO</w:t>
    </w:r>
  </w:p>
  <w:p w14:paraId="18E88E04" w14:textId="77777777" w:rsidR="00D017F0" w:rsidRPr="00491A3A" w:rsidRDefault="00D017F0" w:rsidP="008F49E1">
    <w:pPr>
      <w:suppressAutoHyphens/>
      <w:jc w:val="center"/>
      <w:rPr>
        <w:b/>
        <w:bCs/>
        <w:color w:val="000000"/>
        <w:sz w:val="24"/>
        <w:szCs w:val="24"/>
        <w:lang w:eastAsia="es-ES"/>
      </w:rPr>
    </w:pPr>
    <w:r w:rsidRPr="00491A3A">
      <w:rPr>
        <w:b/>
        <w:bCs/>
        <w:color w:val="000000"/>
        <w:sz w:val="24"/>
        <w:szCs w:val="24"/>
        <w:lang w:eastAsia="es-ES"/>
      </w:rPr>
      <w:t>SECCIÓN TERCERA</w:t>
    </w:r>
  </w:p>
  <w:p w14:paraId="2C9CF357" w14:textId="77777777" w:rsidR="00D017F0" w:rsidRPr="00045D31" w:rsidRDefault="00D017F0" w:rsidP="008F49E1">
    <w:pPr>
      <w:suppressAutoHyphens/>
      <w:jc w:val="center"/>
      <w:rPr>
        <w:b/>
        <w:bCs/>
        <w:color w:val="000000"/>
        <w:sz w:val="24"/>
        <w:szCs w:val="24"/>
        <w:lang w:eastAsia="es-ES"/>
      </w:rPr>
    </w:pPr>
    <w:r w:rsidRPr="00491A3A">
      <w:rPr>
        <w:b/>
        <w:bCs/>
        <w:color w:val="000000"/>
        <w:sz w:val="24"/>
        <w:szCs w:val="24"/>
        <w:lang w:eastAsia="es-ES"/>
      </w:rPr>
      <w:t>SUBSECCIÓN C</w:t>
    </w:r>
    <w:bookmarkEnd w:id="2"/>
    <w:bookmarkEnd w:id="3"/>
  </w:p>
  <w:p w14:paraId="2FB97650" w14:textId="77777777" w:rsidR="0086189E" w:rsidRDefault="0086189E" w:rsidP="00850A42">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71802"/>
    <w:multiLevelType w:val="hybridMultilevel"/>
    <w:tmpl w:val="C1184EE4"/>
    <w:lvl w:ilvl="0" w:tplc="999C6F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2B43D0"/>
    <w:multiLevelType w:val="hybridMultilevel"/>
    <w:tmpl w:val="14A8D87C"/>
    <w:lvl w:ilvl="0" w:tplc="316E9AE0">
      <w:start w:val="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DB3B99"/>
    <w:multiLevelType w:val="hybridMultilevel"/>
    <w:tmpl w:val="57CEE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26036989"/>
    <w:multiLevelType w:val="hybridMultilevel"/>
    <w:tmpl w:val="1D54830C"/>
    <w:lvl w:ilvl="0" w:tplc="93A007C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C65264"/>
    <w:multiLevelType w:val="hybridMultilevel"/>
    <w:tmpl w:val="091E44E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374F73"/>
    <w:multiLevelType w:val="multilevel"/>
    <w:tmpl w:val="ABAEDE0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7265EF3"/>
    <w:multiLevelType w:val="multilevel"/>
    <w:tmpl w:val="ABAEDE02"/>
    <w:numStyleLink w:val="Estilo1"/>
  </w:abstractNum>
  <w:abstractNum w:abstractNumId="17" w15:restartNumberingAfterBreak="0">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8531FF"/>
    <w:multiLevelType w:val="hybridMultilevel"/>
    <w:tmpl w:val="9E4C613A"/>
    <w:lvl w:ilvl="0" w:tplc="4D680300">
      <w:start w:val="1"/>
      <w:numFmt w:val="ordinalText"/>
      <w:lvlText w:val="%1."/>
      <w:lvlJc w:val="left"/>
      <w:pPr>
        <w:ind w:left="720" w:hanging="360"/>
      </w:pPr>
      <w:rPr>
        <w:rFonts w:ascii="Arial" w:hAnsi="Arial" w:hint="default"/>
        <w:b/>
        <w:i w:val="0"/>
        <w:cap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F4F5631"/>
    <w:multiLevelType w:val="hybridMultilevel"/>
    <w:tmpl w:val="135C3258"/>
    <w:lvl w:ilvl="0" w:tplc="3C68B0CC">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A70353"/>
    <w:multiLevelType w:val="hybridMultilevel"/>
    <w:tmpl w:val="43100F48"/>
    <w:lvl w:ilvl="0" w:tplc="6396DC70">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9" w15:restartNumberingAfterBreak="0">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7252D"/>
    <w:multiLevelType w:val="hybridMultilevel"/>
    <w:tmpl w:val="3E9EAA42"/>
    <w:lvl w:ilvl="0" w:tplc="AA90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E029E"/>
    <w:multiLevelType w:val="hybridMultilevel"/>
    <w:tmpl w:val="10141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15"/>
  </w:num>
  <w:num w:numId="6">
    <w:abstractNumId w:val="32"/>
  </w:num>
  <w:num w:numId="7">
    <w:abstractNumId w:val="23"/>
  </w:num>
  <w:num w:numId="8">
    <w:abstractNumId w:val="19"/>
  </w:num>
  <w:num w:numId="9">
    <w:abstractNumId w:val="21"/>
  </w:num>
  <w:num w:numId="10">
    <w:abstractNumId w:val="16"/>
  </w:num>
  <w:num w:numId="11">
    <w:abstractNumId w:val="9"/>
  </w:num>
  <w:num w:numId="12">
    <w:abstractNumId w:val="17"/>
  </w:num>
  <w:num w:numId="13">
    <w:abstractNumId w:val="10"/>
  </w:num>
  <w:num w:numId="14">
    <w:abstractNumId w:val="30"/>
  </w:num>
  <w:num w:numId="15">
    <w:abstractNumId w:val="2"/>
  </w:num>
  <w:num w:numId="16">
    <w:abstractNumId w:val="29"/>
  </w:num>
  <w:num w:numId="17">
    <w:abstractNumId w:val="36"/>
  </w:num>
  <w:num w:numId="18">
    <w:abstractNumId w:val="33"/>
  </w:num>
  <w:num w:numId="19">
    <w:abstractNumId w:val="27"/>
  </w:num>
  <w:num w:numId="20">
    <w:abstractNumId w:val="3"/>
  </w:num>
  <w:num w:numId="21">
    <w:abstractNumId w:val="4"/>
  </w:num>
  <w:num w:numId="22">
    <w:abstractNumId w:val="28"/>
  </w:num>
  <w:num w:numId="23">
    <w:abstractNumId w:val="18"/>
  </w:num>
  <w:num w:numId="24">
    <w:abstractNumId w:val="0"/>
  </w:num>
  <w:num w:numId="25">
    <w:abstractNumId w:val="11"/>
  </w:num>
  <w:num w:numId="26">
    <w:abstractNumId w:val="25"/>
  </w:num>
  <w:num w:numId="27">
    <w:abstractNumId w:val="31"/>
  </w:num>
  <w:num w:numId="28">
    <w:abstractNumId w:val="34"/>
  </w:num>
  <w:num w:numId="29">
    <w:abstractNumId w:val="24"/>
  </w:num>
  <w:num w:numId="30">
    <w:abstractNumId w:val="22"/>
  </w:num>
  <w:num w:numId="31">
    <w:abstractNumId w:val="20"/>
  </w:num>
  <w:num w:numId="32">
    <w:abstractNumId w:val="35"/>
  </w:num>
  <w:num w:numId="33">
    <w:abstractNumId w:val="14"/>
  </w:num>
  <w:num w:numId="34">
    <w:abstractNumId w:val="7"/>
  </w:num>
  <w:num w:numId="35">
    <w:abstractNumId w:val="8"/>
  </w:num>
  <w:num w:numId="36">
    <w:abstractNumId w:val="1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2646"/>
    <w:rsid w:val="00002B21"/>
    <w:rsid w:val="00002BCB"/>
    <w:rsid w:val="00003427"/>
    <w:rsid w:val="00003548"/>
    <w:rsid w:val="00003A4C"/>
    <w:rsid w:val="00004131"/>
    <w:rsid w:val="000042FA"/>
    <w:rsid w:val="000050EF"/>
    <w:rsid w:val="00005179"/>
    <w:rsid w:val="00006566"/>
    <w:rsid w:val="00006692"/>
    <w:rsid w:val="00006D3C"/>
    <w:rsid w:val="000078E1"/>
    <w:rsid w:val="00007996"/>
    <w:rsid w:val="00007CCA"/>
    <w:rsid w:val="00007FB3"/>
    <w:rsid w:val="00010740"/>
    <w:rsid w:val="00010CBC"/>
    <w:rsid w:val="00011912"/>
    <w:rsid w:val="0001211B"/>
    <w:rsid w:val="0001294D"/>
    <w:rsid w:val="0001306A"/>
    <w:rsid w:val="00013229"/>
    <w:rsid w:val="00013908"/>
    <w:rsid w:val="000148D2"/>
    <w:rsid w:val="00014967"/>
    <w:rsid w:val="00014C90"/>
    <w:rsid w:val="00014D69"/>
    <w:rsid w:val="000156DF"/>
    <w:rsid w:val="0001633F"/>
    <w:rsid w:val="00016594"/>
    <w:rsid w:val="000165D0"/>
    <w:rsid w:val="00017CB3"/>
    <w:rsid w:val="000205FD"/>
    <w:rsid w:val="000206C3"/>
    <w:rsid w:val="000206C9"/>
    <w:rsid w:val="000206EC"/>
    <w:rsid w:val="00020C81"/>
    <w:rsid w:val="00020F1D"/>
    <w:rsid w:val="00021439"/>
    <w:rsid w:val="00022035"/>
    <w:rsid w:val="000225A0"/>
    <w:rsid w:val="00024340"/>
    <w:rsid w:val="0002445C"/>
    <w:rsid w:val="00024CD3"/>
    <w:rsid w:val="00024ED7"/>
    <w:rsid w:val="00025115"/>
    <w:rsid w:val="00025159"/>
    <w:rsid w:val="00025657"/>
    <w:rsid w:val="000258C0"/>
    <w:rsid w:val="00026643"/>
    <w:rsid w:val="0002715D"/>
    <w:rsid w:val="000274C1"/>
    <w:rsid w:val="00027EBF"/>
    <w:rsid w:val="00030351"/>
    <w:rsid w:val="00030424"/>
    <w:rsid w:val="0003044A"/>
    <w:rsid w:val="00030D50"/>
    <w:rsid w:val="0003163C"/>
    <w:rsid w:val="00031C51"/>
    <w:rsid w:val="0003259E"/>
    <w:rsid w:val="00032747"/>
    <w:rsid w:val="0003277D"/>
    <w:rsid w:val="00032E1C"/>
    <w:rsid w:val="00033570"/>
    <w:rsid w:val="000352B3"/>
    <w:rsid w:val="000352C9"/>
    <w:rsid w:val="000357E9"/>
    <w:rsid w:val="000369DF"/>
    <w:rsid w:val="00036A46"/>
    <w:rsid w:val="00037182"/>
    <w:rsid w:val="0003723B"/>
    <w:rsid w:val="00037471"/>
    <w:rsid w:val="000407C2"/>
    <w:rsid w:val="00040E52"/>
    <w:rsid w:val="00040FD6"/>
    <w:rsid w:val="000412C2"/>
    <w:rsid w:val="000415BD"/>
    <w:rsid w:val="00041FA5"/>
    <w:rsid w:val="0004213F"/>
    <w:rsid w:val="0004241E"/>
    <w:rsid w:val="00042633"/>
    <w:rsid w:val="000438D1"/>
    <w:rsid w:val="0004418D"/>
    <w:rsid w:val="000447FE"/>
    <w:rsid w:val="0004512E"/>
    <w:rsid w:val="000452C0"/>
    <w:rsid w:val="0004588A"/>
    <w:rsid w:val="000460CA"/>
    <w:rsid w:val="000462FC"/>
    <w:rsid w:val="000468CB"/>
    <w:rsid w:val="000501D0"/>
    <w:rsid w:val="00051CA2"/>
    <w:rsid w:val="0005218C"/>
    <w:rsid w:val="000526A4"/>
    <w:rsid w:val="000529AB"/>
    <w:rsid w:val="00052B30"/>
    <w:rsid w:val="00052C39"/>
    <w:rsid w:val="000531F3"/>
    <w:rsid w:val="0005325C"/>
    <w:rsid w:val="000544A4"/>
    <w:rsid w:val="000548C3"/>
    <w:rsid w:val="00055579"/>
    <w:rsid w:val="0005624F"/>
    <w:rsid w:val="00056778"/>
    <w:rsid w:val="0005699F"/>
    <w:rsid w:val="000569D4"/>
    <w:rsid w:val="00056C68"/>
    <w:rsid w:val="00056DFC"/>
    <w:rsid w:val="00056EC2"/>
    <w:rsid w:val="00057AB2"/>
    <w:rsid w:val="00057C1E"/>
    <w:rsid w:val="00061B93"/>
    <w:rsid w:val="00061E0A"/>
    <w:rsid w:val="00061E3D"/>
    <w:rsid w:val="00062419"/>
    <w:rsid w:val="00062839"/>
    <w:rsid w:val="000628D6"/>
    <w:rsid w:val="00062E7F"/>
    <w:rsid w:val="000632DC"/>
    <w:rsid w:val="0006333A"/>
    <w:rsid w:val="000633FF"/>
    <w:rsid w:val="0006409E"/>
    <w:rsid w:val="000640AC"/>
    <w:rsid w:val="00064461"/>
    <w:rsid w:val="000645FE"/>
    <w:rsid w:val="00065394"/>
    <w:rsid w:val="000655DF"/>
    <w:rsid w:val="000655F7"/>
    <w:rsid w:val="00066855"/>
    <w:rsid w:val="00066F0B"/>
    <w:rsid w:val="00067858"/>
    <w:rsid w:val="00067F25"/>
    <w:rsid w:val="00070576"/>
    <w:rsid w:val="00070623"/>
    <w:rsid w:val="00070962"/>
    <w:rsid w:val="00070995"/>
    <w:rsid w:val="00070C82"/>
    <w:rsid w:val="00071226"/>
    <w:rsid w:val="000714DF"/>
    <w:rsid w:val="000728E0"/>
    <w:rsid w:val="000729DB"/>
    <w:rsid w:val="0007303A"/>
    <w:rsid w:val="00073869"/>
    <w:rsid w:val="0007389A"/>
    <w:rsid w:val="00074469"/>
    <w:rsid w:val="000744EF"/>
    <w:rsid w:val="00075DBE"/>
    <w:rsid w:val="00076476"/>
    <w:rsid w:val="0007731E"/>
    <w:rsid w:val="00077ABA"/>
    <w:rsid w:val="0008006A"/>
    <w:rsid w:val="000813DB"/>
    <w:rsid w:val="00081C3E"/>
    <w:rsid w:val="00082421"/>
    <w:rsid w:val="0008290D"/>
    <w:rsid w:val="000829E5"/>
    <w:rsid w:val="00082F46"/>
    <w:rsid w:val="00082FCD"/>
    <w:rsid w:val="000837EB"/>
    <w:rsid w:val="00083B8F"/>
    <w:rsid w:val="00083C27"/>
    <w:rsid w:val="00083D34"/>
    <w:rsid w:val="00083F7F"/>
    <w:rsid w:val="00084F40"/>
    <w:rsid w:val="0008759E"/>
    <w:rsid w:val="000876A6"/>
    <w:rsid w:val="00087C32"/>
    <w:rsid w:val="00090310"/>
    <w:rsid w:val="00091755"/>
    <w:rsid w:val="00091E4D"/>
    <w:rsid w:val="000920C2"/>
    <w:rsid w:val="000937EE"/>
    <w:rsid w:val="000944E5"/>
    <w:rsid w:val="000946EF"/>
    <w:rsid w:val="00094AEA"/>
    <w:rsid w:val="00094E7B"/>
    <w:rsid w:val="00094F9D"/>
    <w:rsid w:val="000955D6"/>
    <w:rsid w:val="00095D56"/>
    <w:rsid w:val="00096905"/>
    <w:rsid w:val="00096D2F"/>
    <w:rsid w:val="0009717D"/>
    <w:rsid w:val="000A0167"/>
    <w:rsid w:val="000A0DE6"/>
    <w:rsid w:val="000A17BA"/>
    <w:rsid w:val="000A1E41"/>
    <w:rsid w:val="000A2262"/>
    <w:rsid w:val="000A2B33"/>
    <w:rsid w:val="000A2CD4"/>
    <w:rsid w:val="000A2F13"/>
    <w:rsid w:val="000A3101"/>
    <w:rsid w:val="000A34B6"/>
    <w:rsid w:val="000A3858"/>
    <w:rsid w:val="000A39D7"/>
    <w:rsid w:val="000A3E61"/>
    <w:rsid w:val="000A4018"/>
    <w:rsid w:val="000A42B2"/>
    <w:rsid w:val="000A4540"/>
    <w:rsid w:val="000A47DA"/>
    <w:rsid w:val="000A4FB0"/>
    <w:rsid w:val="000A54A1"/>
    <w:rsid w:val="000A5554"/>
    <w:rsid w:val="000A5CE4"/>
    <w:rsid w:val="000A7A33"/>
    <w:rsid w:val="000B07E1"/>
    <w:rsid w:val="000B0A38"/>
    <w:rsid w:val="000B0F12"/>
    <w:rsid w:val="000B1493"/>
    <w:rsid w:val="000B15AE"/>
    <w:rsid w:val="000B18F5"/>
    <w:rsid w:val="000B3AD4"/>
    <w:rsid w:val="000B42A8"/>
    <w:rsid w:val="000B43BF"/>
    <w:rsid w:val="000B51B3"/>
    <w:rsid w:val="000B5547"/>
    <w:rsid w:val="000B55EA"/>
    <w:rsid w:val="000B5B96"/>
    <w:rsid w:val="000B7608"/>
    <w:rsid w:val="000C09E1"/>
    <w:rsid w:val="000C1000"/>
    <w:rsid w:val="000C1113"/>
    <w:rsid w:val="000C264F"/>
    <w:rsid w:val="000C2723"/>
    <w:rsid w:val="000C2B43"/>
    <w:rsid w:val="000C30C8"/>
    <w:rsid w:val="000C3A95"/>
    <w:rsid w:val="000C3ED0"/>
    <w:rsid w:val="000C445C"/>
    <w:rsid w:val="000C44B9"/>
    <w:rsid w:val="000C456C"/>
    <w:rsid w:val="000C581D"/>
    <w:rsid w:val="000C5C88"/>
    <w:rsid w:val="000C5DB7"/>
    <w:rsid w:val="000C605F"/>
    <w:rsid w:val="000C609B"/>
    <w:rsid w:val="000C6238"/>
    <w:rsid w:val="000C66BA"/>
    <w:rsid w:val="000C6D2E"/>
    <w:rsid w:val="000C793A"/>
    <w:rsid w:val="000C7A85"/>
    <w:rsid w:val="000C7B4F"/>
    <w:rsid w:val="000C7E44"/>
    <w:rsid w:val="000D0ACE"/>
    <w:rsid w:val="000D0C5B"/>
    <w:rsid w:val="000D0E41"/>
    <w:rsid w:val="000D0FE6"/>
    <w:rsid w:val="000D16F0"/>
    <w:rsid w:val="000D2177"/>
    <w:rsid w:val="000D223A"/>
    <w:rsid w:val="000D297C"/>
    <w:rsid w:val="000D2B5D"/>
    <w:rsid w:val="000D3C86"/>
    <w:rsid w:val="000D3F55"/>
    <w:rsid w:val="000D47FC"/>
    <w:rsid w:val="000D4D6C"/>
    <w:rsid w:val="000D546D"/>
    <w:rsid w:val="000D5563"/>
    <w:rsid w:val="000D5A3F"/>
    <w:rsid w:val="000D6026"/>
    <w:rsid w:val="000D686F"/>
    <w:rsid w:val="000D6BFF"/>
    <w:rsid w:val="000D6E0F"/>
    <w:rsid w:val="000D734E"/>
    <w:rsid w:val="000D7EE8"/>
    <w:rsid w:val="000D7FFD"/>
    <w:rsid w:val="000E04DE"/>
    <w:rsid w:val="000E15BA"/>
    <w:rsid w:val="000E19A0"/>
    <w:rsid w:val="000E1C69"/>
    <w:rsid w:val="000E1FDD"/>
    <w:rsid w:val="000E22EA"/>
    <w:rsid w:val="000E2D62"/>
    <w:rsid w:val="000E2F23"/>
    <w:rsid w:val="000E3F61"/>
    <w:rsid w:val="000E44FA"/>
    <w:rsid w:val="000E4A31"/>
    <w:rsid w:val="000E509F"/>
    <w:rsid w:val="000E57C9"/>
    <w:rsid w:val="000E6CF6"/>
    <w:rsid w:val="000E709F"/>
    <w:rsid w:val="000F0416"/>
    <w:rsid w:val="000F04B3"/>
    <w:rsid w:val="000F053A"/>
    <w:rsid w:val="000F1B8D"/>
    <w:rsid w:val="000F1CE9"/>
    <w:rsid w:val="000F2191"/>
    <w:rsid w:val="000F32A0"/>
    <w:rsid w:val="000F3570"/>
    <w:rsid w:val="000F3B8F"/>
    <w:rsid w:val="000F4101"/>
    <w:rsid w:val="000F412E"/>
    <w:rsid w:val="000F46CE"/>
    <w:rsid w:val="000F4980"/>
    <w:rsid w:val="000F4FF8"/>
    <w:rsid w:val="000F5120"/>
    <w:rsid w:val="000F5726"/>
    <w:rsid w:val="000F65CA"/>
    <w:rsid w:val="000F6D77"/>
    <w:rsid w:val="000F7BDA"/>
    <w:rsid w:val="000F7E56"/>
    <w:rsid w:val="000F7E83"/>
    <w:rsid w:val="00100CB3"/>
    <w:rsid w:val="00101C60"/>
    <w:rsid w:val="00101E8A"/>
    <w:rsid w:val="0010217B"/>
    <w:rsid w:val="00102DFF"/>
    <w:rsid w:val="001038EA"/>
    <w:rsid w:val="001041C2"/>
    <w:rsid w:val="0010435F"/>
    <w:rsid w:val="001045A0"/>
    <w:rsid w:val="00105FC6"/>
    <w:rsid w:val="001067F4"/>
    <w:rsid w:val="00106CCC"/>
    <w:rsid w:val="00106FB6"/>
    <w:rsid w:val="00107B18"/>
    <w:rsid w:val="00107CE8"/>
    <w:rsid w:val="0011024A"/>
    <w:rsid w:val="0011079E"/>
    <w:rsid w:val="00110BF7"/>
    <w:rsid w:val="00110C16"/>
    <w:rsid w:val="00112BE5"/>
    <w:rsid w:val="00112F1A"/>
    <w:rsid w:val="001130E7"/>
    <w:rsid w:val="001131E1"/>
    <w:rsid w:val="00113BD7"/>
    <w:rsid w:val="00113CAE"/>
    <w:rsid w:val="0011497F"/>
    <w:rsid w:val="00115EBE"/>
    <w:rsid w:val="0011693D"/>
    <w:rsid w:val="00117091"/>
    <w:rsid w:val="0011743A"/>
    <w:rsid w:val="00121384"/>
    <w:rsid w:val="00121D97"/>
    <w:rsid w:val="00121E28"/>
    <w:rsid w:val="0012288A"/>
    <w:rsid w:val="001229E5"/>
    <w:rsid w:val="00122E59"/>
    <w:rsid w:val="00122E7B"/>
    <w:rsid w:val="001230E5"/>
    <w:rsid w:val="00123126"/>
    <w:rsid w:val="00123D71"/>
    <w:rsid w:val="00124ED7"/>
    <w:rsid w:val="00124F8D"/>
    <w:rsid w:val="00125114"/>
    <w:rsid w:val="00126A63"/>
    <w:rsid w:val="00127D92"/>
    <w:rsid w:val="0013019F"/>
    <w:rsid w:val="00130F7C"/>
    <w:rsid w:val="00131078"/>
    <w:rsid w:val="001314F6"/>
    <w:rsid w:val="00131628"/>
    <w:rsid w:val="00131A49"/>
    <w:rsid w:val="0013277B"/>
    <w:rsid w:val="00132DD7"/>
    <w:rsid w:val="0013303B"/>
    <w:rsid w:val="001331A9"/>
    <w:rsid w:val="00133700"/>
    <w:rsid w:val="00133CD1"/>
    <w:rsid w:val="00133F91"/>
    <w:rsid w:val="0013529D"/>
    <w:rsid w:val="0013542E"/>
    <w:rsid w:val="0013618E"/>
    <w:rsid w:val="00137222"/>
    <w:rsid w:val="00137438"/>
    <w:rsid w:val="00137807"/>
    <w:rsid w:val="00137F72"/>
    <w:rsid w:val="00140187"/>
    <w:rsid w:val="00140BF3"/>
    <w:rsid w:val="00141670"/>
    <w:rsid w:val="001416A3"/>
    <w:rsid w:val="001421DC"/>
    <w:rsid w:val="0014370D"/>
    <w:rsid w:val="00144A4C"/>
    <w:rsid w:val="001462FA"/>
    <w:rsid w:val="00146E60"/>
    <w:rsid w:val="0015060C"/>
    <w:rsid w:val="00150D25"/>
    <w:rsid w:val="001510A3"/>
    <w:rsid w:val="001515EF"/>
    <w:rsid w:val="00151CE2"/>
    <w:rsid w:val="001520C5"/>
    <w:rsid w:val="001524ED"/>
    <w:rsid w:val="00152A55"/>
    <w:rsid w:val="00152C23"/>
    <w:rsid w:val="0015433E"/>
    <w:rsid w:val="00154621"/>
    <w:rsid w:val="00154708"/>
    <w:rsid w:val="0015533A"/>
    <w:rsid w:val="00155AA4"/>
    <w:rsid w:val="00155E78"/>
    <w:rsid w:val="00156E62"/>
    <w:rsid w:val="0016141D"/>
    <w:rsid w:val="00161478"/>
    <w:rsid w:val="001615DD"/>
    <w:rsid w:val="00162A82"/>
    <w:rsid w:val="00163C26"/>
    <w:rsid w:val="001648E2"/>
    <w:rsid w:val="001652C6"/>
    <w:rsid w:val="001653CA"/>
    <w:rsid w:val="00165674"/>
    <w:rsid w:val="001658F7"/>
    <w:rsid w:val="00165A04"/>
    <w:rsid w:val="00165F5A"/>
    <w:rsid w:val="00166AF6"/>
    <w:rsid w:val="0016727C"/>
    <w:rsid w:val="00167331"/>
    <w:rsid w:val="001707E0"/>
    <w:rsid w:val="00170CDF"/>
    <w:rsid w:val="00170DE1"/>
    <w:rsid w:val="00170DE6"/>
    <w:rsid w:val="00170E86"/>
    <w:rsid w:val="00170FDD"/>
    <w:rsid w:val="00171055"/>
    <w:rsid w:val="001710BD"/>
    <w:rsid w:val="001718C1"/>
    <w:rsid w:val="00171E8E"/>
    <w:rsid w:val="0017254C"/>
    <w:rsid w:val="001728B3"/>
    <w:rsid w:val="00172B9D"/>
    <w:rsid w:val="00172CC7"/>
    <w:rsid w:val="001733AF"/>
    <w:rsid w:val="001737B9"/>
    <w:rsid w:val="0017431B"/>
    <w:rsid w:val="00175800"/>
    <w:rsid w:val="00175D91"/>
    <w:rsid w:val="00176052"/>
    <w:rsid w:val="00176539"/>
    <w:rsid w:val="00176B3D"/>
    <w:rsid w:val="001772AE"/>
    <w:rsid w:val="00177946"/>
    <w:rsid w:val="00177A63"/>
    <w:rsid w:val="00180162"/>
    <w:rsid w:val="00181571"/>
    <w:rsid w:val="001816BE"/>
    <w:rsid w:val="00181AF9"/>
    <w:rsid w:val="00181E01"/>
    <w:rsid w:val="00182116"/>
    <w:rsid w:val="00182370"/>
    <w:rsid w:val="00182BC7"/>
    <w:rsid w:val="001835F7"/>
    <w:rsid w:val="00183BA3"/>
    <w:rsid w:val="00183FC5"/>
    <w:rsid w:val="001848E9"/>
    <w:rsid w:val="00184B2D"/>
    <w:rsid w:val="00184D70"/>
    <w:rsid w:val="00184DCA"/>
    <w:rsid w:val="0018534B"/>
    <w:rsid w:val="001859CD"/>
    <w:rsid w:val="001876F9"/>
    <w:rsid w:val="00187D66"/>
    <w:rsid w:val="0019048F"/>
    <w:rsid w:val="00190A86"/>
    <w:rsid w:val="0019195B"/>
    <w:rsid w:val="00191F52"/>
    <w:rsid w:val="001921C4"/>
    <w:rsid w:val="001922A1"/>
    <w:rsid w:val="00192C23"/>
    <w:rsid w:val="0019311A"/>
    <w:rsid w:val="0019313B"/>
    <w:rsid w:val="00193204"/>
    <w:rsid w:val="0019417E"/>
    <w:rsid w:val="0019459B"/>
    <w:rsid w:val="001945DD"/>
    <w:rsid w:val="00194ACD"/>
    <w:rsid w:val="00194CD0"/>
    <w:rsid w:val="00194E09"/>
    <w:rsid w:val="00195332"/>
    <w:rsid w:val="00195702"/>
    <w:rsid w:val="00195C51"/>
    <w:rsid w:val="00195FF1"/>
    <w:rsid w:val="00196471"/>
    <w:rsid w:val="00196A2F"/>
    <w:rsid w:val="00196B0E"/>
    <w:rsid w:val="00197E69"/>
    <w:rsid w:val="001A06C7"/>
    <w:rsid w:val="001A1A9A"/>
    <w:rsid w:val="001A1BD3"/>
    <w:rsid w:val="001A1BE6"/>
    <w:rsid w:val="001A2083"/>
    <w:rsid w:val="001A2338"/>
    <w:rsid w:val="001A26CC"/>
    <w:rsid w:val="001A2E86"/>
    <w:rsid w:val="001A3DF4"/>
    <w:rsid w:val="001A4A26"/>
    <w:rsid w:val="001A5AEB"/>
    <w:rsid w:val="001A5D58"/>
    <w:rsid w:val="001A6370"/>
    <w:rsid w:val="001A6BC7"/>
    <w:rsid w:val="001A6C86"/>
    <w:rsid w:val="001A78A0"/>
    <w:rsid w:val="001A7A33"/>
    <w:rsid w:val="001B08E4"/>
    <w:rsid w:val="001B20CC"/>
    <w:rsid w:val="001B2F00"/>
    <w:rsid w:val="001B34EF"/>
    <w:rsid w:val="001B368A"/>
    <w:rsid w:val="001B45B3"/>
    <w:rsid w:val="001B4B0D"/>
    <w:rsid w:val="001B559F"/>
    <w:rsid w:val="001B586B"/>
    <w:rsid w:val="001B72AA"/>
    <w:rsid w:val="001B7AD5"/>
    <w:rsid w:val="001B7BC1"/>
    <w:rsid w:val="001C0883"/>
    <w:rsid w:val="001C0FF8"/>
    <w:rsid w:val="001C11F0"/>
    <w:rsid w:val="001C16CB"/>
    <w:rsid w:val="001C1EFB"/>
    <w:rsid w:val="001C3556"/>
    <w:rsid w:val="001C3610"/>
    <w:rsid w:val="001C3A72"/>
    <w:rsid w:val="001C3C1F"/>
    <w:rsid w:val="001C48FB"/>
    <w:rsid w:val="001C597E"/>
    <w:rsid w:val="001C7B8D"/>
    <w:rsid w:val="001C7DFF"/>
    <w:rsid w:val="001D03E3"/>
    <w:rsid w:val="001D078B"/>
    <w:rsid w:val="001D0B97"/>
    <w:rsid w:val="001D1445"/>
    <w:rsid w:val="001D1E28"/>
    <w:rsid w:val="001D2CB4"/>
    <w:rsid w:val="001D2DA5"/>
    <w:rsid w:val="001D3797"/>
    <w:rsid w:val="001D47B7"/>
    <w:rsid w:val="001D4E62"/>
    <w:rsid w:val="001D4F40"/>
    <w:rsid w:val="001D557E"/>
    <w:rsid w:val="001D641F"/>
    <w:rsid w:val="001D79F8"/>
    <w:rsid w:val="001D7F53"/>
    <w:rsid w:val="001E0688"/>
    <w:rsid w:val="001E0ECA"/>
    <w:rsid w:val="001E0FB9"/>
    <w:rsid w:val="001E1294"/>
    <w:rsid w:val="001E2A25"/>
    <w:rsid w:val="001E2D12"/>
    <w:rsid w:val="001E52CA"/>
    <w:rsid w:val="001E5970"/>
    <w:rsid w:val="001E622B"/>
    <w:rsid w:val="001E6CC0"/>
    <w:rsid w:val="001E7763"/>
    <w:rsid w:val="001F039B"/>
    <w:rsid w:val="001F0AE1"/>
    <w:rsid w:val="001F1425"/>
    <w:rsid w:val="001F2066"/>
    <w:rsid w:val="001F2150"/>
    <w:rsid w:val="001F21E4"/>
    <w:rsid w:val="001F2572"/>
    <w:rsid w:val="001F2BA6"/>
    <w:rsid w:val="001F2F2C"/>
    <w:rsid w:val="001F335A"/>
    <w:rsid w:val="001F3C70"/>
    <w:rsid w:val="001F41BF"/>
    <w:rsid w:val="001F44D1"/>
    <w:rsid w:val="001F5306"/>
    <w:rsid w:val="001F53E1"/>
    <w:rsid w:val="001F543F"/>
    <w:rsid w:val="001F5570"/>
    <w:rsid w:val="001F5DD3"/>
    <w:rsid w:val="001F6092"/>
    <w:rsid w:val="001F6679"/>
    <w:rsid w:val="001F669F"/>
    <w:rsid w:val="001F6921"/>
    <w:rsid w:val="001F6E71"/>
    <w:rsid w:val="001F724D"/>
    <w:rsid w:val="001F7EE0"/>
    <w:rsid w:val="00200716"/>
    <w:rsid w:val="0020077C"/>
    <w:rsid w:val="00200C9E"/>
    <w:rsid w:val="002011A0"/>
    <w:rsid w:val="00201EC3"/>
    <w:rsid w:val="00202697"/>
    <w:rsid w:val="00203055"/>
    <w:rsid w:val="002032B7"/>
    <w:rsid w:val="00204162"/>
    <w:rsid w:val="00205D92"/>
    <w:rsid w:val="00205EC0"/>
    <w:rsid w:val="00205F8E"/>
    <w:rsid w:val="00206260"/>
    <w:rsid w:val="0020663C"/>
    <w:rsid w:val="00207C74"/>
    <w:rsid w:val="00210478"/>
    <w:rsid w:val="0021149F"/>
    <w:rsid w:val="00211DB6"/>
    <w:rsid w:val="002137D0"/>
    <w:rsid w:val="00213BBF"/>
    <w:rsid w:val="00213FD0"/>
    <w:rsid w:val="0021427A"/>
    <w:rsid w:val="00214673"/>
    <w:rsid w:val="00214731"/>
    <w:rsid w:val="00214D23"/>
    <w:rsid w:val="00215A5F"/>
    <w:rsid w:val="0021624A"/>
    <w:rsid w:val="00216E6F"/>
    <w:rsid w:val="00217108"/>
    <w:rsid w:val="00221029"/>
    <w:rsid w:val="00221274"/>
    <w:rsid w:val="00221805"/>
    <w:rsid w:val="00222307"/>
    <w:rsid w:val="0022252F"/>
    <w:rsid w:val="00222D97"/>
    <w:rsid w:val="002230E3"/>
    <w:rsid w:val="0022330E"/>
    <w:rsid w:val="0022680C"/>
    <w:rsid w:val="00226D5E"/>
    <w:rsid w:val="00231042"/>
    <w:rsid w:val="0023111B"/>
    <w:rsid w:val="002317CA"/>
    <w:rsid w:val="002319B7"/>
    <w:rsid w:val="0023269D"/>
    <w:rsid w:val="00233199"/>
    <w:rsid w:val="00233560"/>
    <w:rsid w:val="00234105"/>
    <w:rsid w:val="00234985"/>
    <w:rsid w:val="0023505A"/>
    <w:rsid w:val="002352A8"/>
    <w:rsid w:val="0023533B"/>
    <w:rsid w:val="002361C0"/>
    <w:rsid w:val="00236539"/>
    <w:rsid w:val="0023676F"/>
    <w:rsid w:val="002375EC"/>
    <w:rsid w:val="002379E7"/>
    <w:rsid w:val="00237C1E"/>
    <w:rsid w:val="00237E9F"/>
    <w:rsid w:val="002408E2"/>
    <w:rsid w:val="0024105D"/>
    <w:rsid w:val="002411B3"/>
    <w:rsid w:val="00241836"/>
    <w:rsid w:val="00241FAD"/>
    <w:rsid w:val="00242169"/>
    <w:rsid w:val="002430F4"/>
    <w:rsid w:val="002436D2"/>
    <w:rsid w:val="0024394B"/>
    <w:rsid w:val="00243BDE"/>
    <w:rsid w:val="00244384"/>
    <w:rsid w:val="002449F0"/>
    <w:rsid w:val="00244EAC"/>
    <w:rsid w:val="00246239"/>
    <w:rsid w:val="002469BB"/>
    <w:rsid w:val="00246C3D"/>
    <w:rsid w:val="00247439"/>
    <w:rsid w:val="00247530"/>
    <w:rsid w:val="00247E40"/>
    <w:rsid w:val="00247EF9"/>
    <w:rsid w:val="002503D6"/>
    <w:rsid w:val="00250E9C"/>
    <w:rsid w:val="0025202A"/>
    <w:rsid w:val="002520AB"/>
    <w:rsid w:val="00252C2F"/>
    <w:rsid w:val="00252C6B"/>
    <w:rsid w:val="00253054"/>
    <w:rsid w:val="00253667"/>
    <w:rsid w:val="00254098"/>
    <w:rsid w:val="00254304"/>
    <w:rsid w:val="00255AC0"/>
    <w:rsid w:val="00255C52"/>
    <w:rsid w:val="002560D0"/>
    <w:rsid w:val="00256101"/>
    <w:rsid w:val="00256333"/>
    <w:rsid w:val="00257017"/>
    <w:rsid w:val="00257613"/>
    <w:rsid w:val="002606C6"/>
    <w:rsid w:val="00261359"/>
    <w:rsid w:val="002615EF"/>
    <w:rsid w:val="00261C95"/>
    <w:rsid w:val="002623F3"/>
    <w:rsid w:val="00263885"/>
    <w:rsid w:val="00263EFA"/>
    <w:rsid w:val="002644B4"/>
    <w:rsid w:val="002667C3"/>
    <w:rsid w:val="00270632"/>
    <w:rsid w:val="00270BAD"/>
    <w:rsid w:val="002710EC"/>
    <w:rsid w:val="002713EB"/>
    <w:rsid w:val="002715B5"/>
    <w:rsid w:val="002716CE"/>
    <w:rsid w:val="0027240D"/>
    <w:rsid w:val="0027267E"/>
    <w:rsid w:val="0027276A"/>
    <w:rsid w:val="00272E9D"/>
    <w:rsid w:val="002730CD"/>
    <w:rsid w:val="00273D3F"/>
    <w:rsid w:val="002757B6"/>
    <w:rsid w:val="0027673C"/>
    <w:rsid w:val="0027712D"/>
    <w:rsid w:val="002800D1"/>
    <w:rsid w:val="00280428"/>
    <w:rsid w:val="00281874"/>
    <w:rsid w:val="00281C88"/>
    <w:rsid w:val="00282115"/>
    <w:rsid w:val="002833F0"/>
    <w:rsid w:val="00283ACF"/>
    <w:rsid w:val="00283BF3"/>
    <w:rsid w:val="00283D57"/>
    <w:rsid w:val="00284F8E"/>
    <w:rsid w:val="00285320"/>
    <w:rsid w:val="00285949"/>
    <w:rsid w:val="00286053"/>
    <w:rsid w:val="0028665C"/>
    <w:rsid w:val="00287120"/>
    <w:rsid w:val="00290666"/>
    <w:rsid w:val="00290777"/>
    <w:rsid w:val="002907D1"/>
    <w:rsid w:val="0029131A"/>
    <w:rsid w:val="00291382"/>
    <w:rsid w:val="002918C0"/>
    <w:rsid w:val="0029193E"/>
    <w:rsid w:val="00291B41"/>
    <w:rsid w:val="00292311"/>
    <w:rsid w:val="002929F3"/>
    <w:rsid w:val="00292B1A"/>
    <w:rsid w:val="00292CBD"/>
    <w:rsid w:val="00293AE7"/>
    <w:rsid w:val="00294291"/>
    <w:rsid w:val="00294815"/>
    <w:rsid w:val="0029482E"/>
    <w:rsid w:val="00294A45"/>
    <w:rsid w:val="0029572F"/>
    <w:rsid w:val="00295C20"/>
    <w:rsid w:val="002963BD"/>
    <w:rsid w:val="0029673C"/>
    <w:rsid w:val="00296C25"/>
    <w:rsid w:val="00297D86"/>
    <w:rsid w:val="00297F37"/>
    <w:rsid w:val="002A073C"/>
    <w:rsid w:val="002A08A6"/>
    <w:rsid w:val="002A12C8"/>
    <w:rsid w:val="002A13AF"/>
    <w:rsid w:val="002A1496"/>
    <w:rsid w:val="002A1D6D"/>
    <w:rsid w:val="002A29B5"/>
    <w:rsid w:val="002A2D10"/>
    <w:rsid w:val="002A2DCE"/>
    <w:rsid w:val="002A3AAB"/>
    <w:rsid w:val="002A3B2D"/>
    <w:rsid w:val="002A3BAC"/>
    <w:rsid w:val="002A40ED"/>
    <w:rsid w:val="002A426F"/>
    <w:rsid w:val="002A4AF1"/>
    <w:rsid w:val="002A4D07"/>
    <w:rsid w:val="002A563B"/>
    <w:rsid w:val="002A71A9"/>
    <w:rsid w:val="002A7398"/>
    <w:rsid w:val="002A750B"/>
    <w:rsid w:val="002A77F8"/>
    <w:rsid w:val="002B1A3B"/>
    <w:rsid w:val="002B2CD4"/>
    <w:rsid w:val="002B41EA"/>
    <w:rsid w:val="002B76CF"/>
    <w:rsid w:val="002C12BC"/>
    <w:rsid w:val="002C15EA"/>
    <w:rsid w:val="002C1DA1"/>
    <w:rsid w:val="002C2B41"/>
    <w:rsid w:val="002C30E6"/>
    <w:rsid w:val="002C4F2F"/>
    <w:rsid w:val="002C6227"/>
    <w:rsid w:val="002C6307"/>
    <w:rsid w:val="002C647A"/>
    <w:rsid w:val="002C6CFA"/>
    <w:rsid w:val="002C6E52"/>
    <w:rsid w:val="002C73F8"/>
    <w:rsid w:val="002C754D"/>
    <w:rsid w:val="002C7F61"/>
    <w:rsid w:val="002D0484"/>
    <w:rsid w:val="002D0922"/>
    <w:rsid w:val="002D0E2A"/>
    <w:rsid w:val="002D0F0A"/>
    <w:rsid w:val="002D17BD"/>
    <w:rsid w:val="002D22A5"/>
    <w:rsid w:val="002D2D5D"/>
    <w:rsid w:val="002D43BA"/>
    <w:rsid w:val="002D480B"/>
    <w:rsid w:val="002D4C6C"/>
    <w:rsid w:val="002D5062"/>
    <w:rsid w:val="002D54E6"/>
    <w:rsid w:val="002D64B9"/>
    <w:rsid w:val="002D65CB"/>
    <w:rsid w:val="002D6FD7"/>
    <w:rsid w:val="002D7A59"/>
    <w:rsid w:val="002E0403"/>
    <w:rsid w:val="002E067F"/>
    <w:rsid w:val="002E076B"/>
    <w:rsid w:val="002E15E2"/>
    <w:rsid w:val="002E1978"/>
    <w:rsid w:val="002E1F51"/>
    <w:rsid w:val="002E21AA"/>
    <w:rsid w:val="002E21B1"/>
    <w:rsid w:val="002E28EB"/>
    <w:rsid w:val="002E4135"/>
    <w:rsid w:val="002E5558"/>
    <w:rsid w:val="002E5BD3"/>
    <w:rsid w:val="002E5EC8"/>
    <w:rsid w:val="002E6005"/>
    <w:rsid w:val="002E6B64"/>
    <w:rsid w:val="002F05D2"/>
    <w:rsid w:val="002F29AA"/>
    <w:rsid w:val="002F2B46"/>
    <w:rsid w:val="002F3CAA"/>
    <w:rsid w:val="002F45A9"/>
    <w:rsid w:val="002F48F1"/>
    <w:rsid w:val="002F559E"/>
    <w:rsid w:val="002F55F7"/>
    <w:rsid w:val="002F616F"/>
    <w:rsid w:val="002F6402"/>
    <w:rsid w:val="002F70E0"/>
    <w:rsid w:val="002F73DA"/>
    <w:rsid w:val="003007FC"/>
    <w:rsid w:val="00300C92"/>
    <w:rsid w:val="00301A37"/>
    <w:rsid w:val="003020C9"/>
    <w:rsid w:val="003020F7"/>
    <w:rsid w:val="00302910"/>
    <w:rsid w:val="00302EC1"/>
    <w:rsid w:val="0030379E"/>
    <w:rsid w:val="0030436E"/>
    <w:rsid w:val="00305653"/>
    <w:rsid w:val="00306515"/>
    <w:rsid w:val="00306597"/>
    <w:rsid w:val="00306D26"/>
    <w:rsid w:val="00307E1D"/>
    <w:rsid w:val="00310385"/>
    <w:rsid w:val="003106B3"/>
    <w:rsid w:val="0031084B"/>
    <w:rsid w:val="00311642"/>
    <w:rsid w:val="003129B7"/>
    <w:rsid w:val="0031305F"/>
    <w:rsid w:val="00313179"/>
    <w:rsid w:val="0031393C"/>
    <w:rsid w:val="00313A79"/>
    <w:rsid w:val="00313E43"/>
    <w:rsid w:val="0031409C"/>
    <w:rsid w:val="0031411D"/>
    <w:rsid w:val="0031414C"/>
    <w:rsid w:val="00314306"/>
    <w:rsid w:val="00314BB1"/>
    <w:rsid w:val="00314CDC"/>
    <w:rsid w:val="0031514A"/>
    <w:rsid w:val="00315B13"/>
    <w:rsid w:val="00316144"/>
    <w:rsid w:val="003172E7"/>
    <w:rsid w:val="00317E61"/>
    <w:rsid w:val="003205EC"/>
    <w:rsid w:val="00320AD5"/>
    <w:rsid w:val="00320F1D"/>
    <w:rsid w:val="003215C2"/>
    <w:rsid w:val="00321AF2"/>
    <w:rsid w:val="00321D20"/>
    <w:rsid w:val="00321DAA"/>
    <w:rsid w:val="003229E1"/>
    <w:rsid w:val="00322FAE"/>
    <w:rsid w:val="00323689"/>
    <w:rsid w:val="00323712"/>
    <w:rsid w:val="003239D1"/>
    <w:rsid w:val="00325683"/>
    <w:rsid w:val="00326057"/>
    <w:rsid w:val="0032638E"/>
    <w:rsid w:val="0033074E"/>
    <w:rsid w:val="00331059"/>
    <w:rsid w:val="003311A5"/>
    <w:rsid w:val="003320A8"/>
    <w:rsid w:val="0033263F"/>
    <w:rsid w:val="0033289A"/>
    <w:rsid w:val="00332F6B"/>
    <w:rsid w:val="00333248"/>
    <w:rsid w:val="00333B0A"/>
    <w:rsid w:val="00334307"/>
    <w:rsid w:val="0033439E"/>
    <w:rsid w:val="00334923"/>
    <w:rsid w:val="0033524C"/>
    <w:rsid w:val="00335874"/>
    <w:rsid w:val="00335E96"/>
    <w:rsid w:val="00336CB4"/>
    <w:rsid w:val="00336E02"/>
    <w:rsid w:val="00336F59"/>
    <w:rsid w:val="003373C2"/>
    <w:rsid w:val="00337D57"/>
    <w:rsid w:val="003420B1"/>
    <w:rsid w:val="00342548"/>
    <w:rsid w:val="003429FC"/>
    <w:rsid w:val="00345163"/>
    <w:rsid w:val="00345342"/>
    <w:rsid w:val="00345B41"/>
    <w:rsid w:val="00345D90"/>
    <w:rsid w:val="00346466"/>
    <w:rsid w:val="00346746"/>
    <w:rsid w:val="00350286"/>
    <w:rsid w:val="0035042A"/>
    <w:rsid w:val="00350C20"/>
    <w:rsid w:val="003518AA"/>
    <w:rsid w:val="0035239F"/>
    <w:rsid w:val="0035249F"/>
    <w:rsid w:val="00352A40"/>
    <w:rsid w:val="00353811"/>
    <w:rsid w:val="003538E2"/>
    <w:rsid w:val="00354D7F"/>
    <w:rsid w:val="00355C45"/>
    <w:rsid w:val="00356836"/>
    <w:rsid w:val="00357D33"/>
    <w:rsid w:val="00360658"/>
    <w:rsid w:val="00360726"/>
    <w:rsid w:val="00360CEE"/>
    <w:rsid w:val="00361284"/>
    <w:rsid w:val="00361478"/>
    <w:rsid w:val="0036181F"/>
    <w:rsid w:val="003619A6"/>
    <w:rsid w:val="00361A94"/>
    <w:rsid w:val="003622BB"/>
    <w:rsid w:val="00362E53"/>
    <w:rsid w:val="00363665"/>
    <w:rsid w:val="003644EC"/>
    <w:rsid w:val="0036453A"/>
    <w:rsid w:val="00365583"/>
    <w:rsid w:val="003658B9"/>
    <w:rsid w:val="003658BC"/>
    <w:rsid w:val="00365F55"/>
    <w:rsid w:val="00367126"/>
    <w:rsid w:val="003674A8"/>
    <w:rsid w:val="003703E3"/>
    <w:rsid w:val="00370675"/>
    <w:rsid w:val="00370801"/>
    <w:rsid w:val="0037191D"/>
    <w:rsid w:val="00371A1A"/>
    <w:rsid w:val="003735E1"/>
    <w:rsid w:val="003739B7"/>
    <w:rsid w:val="00374019"/>
    <w:rsid w:val="0037429B"/>
    <w:rsid w:val="00374674"/>
    <w:rsid w:val="00375145"/>
    <w:rsid w:val="00375FCA"/>
    <w:rsid w:val="00377798"/>
    <w:rsid w:val="003777E9"/>
    <w:rsid w:val="003802CE"/>
    <w:rsid w:val="00380417"/>
    <w:rsid w:val="00380AE0"/>
    <w:rsid w:val="00381753"/>
    <w:rsid w:val="0038210C"/>
    <w:rsid w:val="00382460"/>
    <w:rsid w:val="00382E4F"/>
    <w:rsid w:val="00383425"/>
    <w:rsid w:val="00383A72"/>
    <w:rsid w:val="00383B43"/>
    <w:rsid w:val="0038405F"/>
    <w:rsid w:val="00384507"/>
    <w:rsid w:val="00384793"/>
    <w:rsid w:val="003854AF"/>
    <w:rsid w:val="00385625"/>
    <w:rsid w:val="003857FF"/>
    <w:rsid w:val="00385EC0"/>
    <w:rsid w:val="003861C5"/>
    <w:rsid w:val="0038628B"/>
    <w:rsid w:val="00386328"/>
    <w:rsid w:val="00386A22"/>
    <w:rsid w:val="0038733B"/>
    <w:rsid w:val="0038744D"/>
    <w:rsid w:val="00387BBC"/>
    <w:rsid w:val="00387BBE"/>
    <w:rsid w:val="00390219"/>
    <w:rsid w:val="00390696"/>
    <w:rsid w:val="00390B3C"/>
    <w:rsid w:val="00390E0D"/>
    <w:rsid w:val="0039113A"/>
    <w:rsid w:val="003922EE"/>
    <w:rsid w:val="003925F4"/>
    <w:rsid w:val="0039267B"/>
    <w:rsid w:val="00393B1E"/>
    <w:rsid w:val="00393B8E"/>
    <w:rsid w:val="0039437E"/>
    <w:rsid w:val="00394A69"/>
    <w:rsid w:val="00395012"/>
    <w:rsid w:val="00395414"/>
    <w:rsid w:val="00395B08"/>
    <w:rsid w:val="00395B33"/>
    <w:rsid w:val="003961BE"/>
    <w:rsid w:val="003961FD"/>
    <w:rsid w:val="00397435"/>
    <w:rsid w:val="00397AB0"/>
    <w:rsid w:val="003A04B7"/>
    <w:rsid w:val="003A12C4"/>
    <w:rsid w:val="003A14AF"/>
    <w:rsid w:val="003A15FB"/>
    <w:rsid w:val="003A2138"/>
    <w:rsid w:val="003A2554"/>
    <w:rsid w:val="003A2775"/>
    <w:rsid w:val="003A2A41"/>
    <w:rsid w:val="003A2E4C"/>
    <w:rsid w:val="003A319E"/>
    <w:rsid w:val="003A3391"/>
    <w:rsid w:val="003A367A"/>
    <w:rsid w:val="003A370B"/>
    <w:rsid w:val="003A3B76"/>
    <w:rsid w:val="003A3E8F"/>
    <w:rsid w:val="003A3EB6"/>
    <w:rsid w:val="003A45E2"/>
    <w:rsid w:val="003A4760"/>
    <w:rsid w:val="003A4C63"/>
    <w:rsid w:val="003A548B"/>
    <w:rsid w:val="003A59B3"/>
    <w:rsid w:val="003A6017"/>
    <w:rsid w:val="003A61FC"/>
    <w:rsid w:val="003A6275"/>
    <w:rsid w:val="003A6BD6"/>
    <w:rsid w:val="003A7182"/>
    <w:rsid w:val="003A71A7"/>
    <w:rsid w:val="003A7246"/>
    <w:rsid w:val="003A7530"/>
    <w:rsid w:val="003B0164"/>
    <w:rsid w:val="003B03BF"/>
    <w:rsid w:val="003B03E8"/>
    <w:rsid w:val="003B0671"/>
    <w:rsid w:val="003B19D0"/>
    <w:rsid w:val="003B2039"/>
    <w:rsid w:val="003B237B"/>
    <w:rsid w:val="003B27BA"/>
    <w:rsid w:val="003B2F94"/>
    <w:rsid w:val="003B4515"/>
    <w:rsid w:val="003B455E"/>
    <w:rsid w:val="003B48CE"/>
    <w:rsid w:val="003B48E3"/>
    <w:rsid w:val="003B5090"/>
    <w:rsid w:val="003B557F"/>
    <w:rsid w:val="003B5C24"/>
    <w:rsid w:val="003B6515"/>
    <w:rsid w:val="003B65D7"/>
    <w:rsid w:val="003B67B3"/>
    <w:rsid w:val="003B67D8"/>
    <w:rsid w:val="003B73AE"/>
    <w:rsid w:val="003B7623"/>
    <w:rsid w:val="003B7A46"/>
    <w:rsid w:val="003B7CA3"/>
    <w:rsid w:val="003C1864"/>
    <w:rsid w:val="003C1990"/>
    <w:rsid w:val="003C1F31"/>
    <w:rsid w:val="003C2AAE"/>
    <w:rsid w:val="003C2EF4"/>
    <w:rsid w:val="003C36E0"/>
    <w:rsid w:val="003C3856"/>
    <w:rsid w:val="003C417B"/>
    <w:rsid w:val="003C5051"/>
    <w:rsid w:val="003C6216"/>
    <w:rsid w:val="003C7743"/>
    <w:rsid w:val="003C7C5F"/>
    <w:rsid w:val="003D026C"/>
    <w:rsid w:val="003D0D95"/>
    <w:rsid w:val="003D124C"/>
    <w:rsid w:val="003D1B94"/>
    <w:rsid w:val="003D1EDF"/>
    <w:rsid w:val="003D2002"/>
    <w:rsid w:val="003D2045"/>
    <w:rsid w:val="003D2D39"/>
    <w:rsid w:val="003D51B0"/>
    <w:rsid w:val="003D57B7"/>
    <w:rsid w:val="003D5881"/>
    <w:rsid w:val="003D5ACC"/>
    <w:rsid w:val="003D6619"/>
    <w:rsid w:val="003D66EE"/>
    <w:rsid w:val="003D687E"/>
    <w:rsid w:val="003D6912"/>
    <w:rsid w:val="003D7A44"/>
    <w:rsid w:val="003D7CF5"/>
    <w:rsid w:val="003D7F10"/>
    <w:rsid w:val="003E141B"/>
    <w:rsid w:val="003E1949"/>
    <w:rsid w:val="003E1DAC"/>
    <w:rsid w:val="003E1EA8"/>
    <w:rsid w:val="003E2A02"/>
    <w:rsid w:val="003E2CA5"/>
    <w:rsid w:val="003E396A"/>
    <w:rsid w:val="003E534E"/>
    <w:rsid w:val="003E5889"/>
    <w:rsid w:val="003E5BA0"/>
    <w:rsid w:val="003E5CD6"/>
    <w:rsid w:val="003E67DA"/>
    <w:rsid w:val="003E6918"/>
    <w:rsid w:val="003E6F14"/>
    <w:rsid w:val="003E76E3"/>
    <w:rsid w:val="003E7CA2"/>
    <w:rsid w:val="003E7CC1"/>
    <w:rsid w:val="003E7D78"/>
    <w:rsid w:val="003F0096"/>
    <w:rsid w:val="003F009B"/>
    <w:rsid w:val="003F11A1"/>
    <w:rsid w:val="003F25DB"/>
    <w:rsid w:val="003F297F"/>
    <w:rsid w:val="003F2BA3"/>
    <w:rsid w:val="003F366C"/>
    <w:rsid w:val="003F36EE"/>
    <w:rsid w:val="003F37C4"/>
    <w:rsid w:val="003F4116"/>
    <w:rsid w:val="003F42ED"/>
    <w:rsid w:val="003F435B"/>
    <w:rsid w:val="003F4D24"/>
    <w:rsid w:val="003F4EE1"/>
    <w:rsid w:val="003F5444"/>
    <w:rsid w:val="003F6339"/>
    <w:rsid w:val="003F72F7"/>
    <w:rsid w:val="003F7FF5"/>
    <w:rsid w:val="00400384"/>
    <w:rsid w:val="00400C3E"/>
    <w:rsid w:val="0040119D"/>
    <w:rsid w:val="0040289F"/>
    <w:rsid w:val="00402998"/>
    <w:rsid w:val="00403176"/>
    <w:rsid w:val="004035C8"/>
    <w:rsid w:val="00403EA3"/>
    <w:rsid w:val="004046E7"/>
    <w:rsid w:val="00404D24"/>
    <w:rsid w:val="00405D91"/>
    <w:rsid w:val="00406023"/>
    <w:rsid w:val="00406723"/>
    <w:rsid w:val="004069D4"/>
    <w:rsid w:val="00406CB8"/>
    <w:rsid w:val="00406E94"/>
    <w:rsid w:val="00407F60"/>
    <w:rsid w:val="00410302"/>
    <w:rsid w:val="00410EB4"/>
    <w:rsid w:val="00411B57"/>
    <w:rsid w:val="00412792"/>
    <w:rsid w:val="004127B5"/>
    <w:rsid w:val="00412A0F"/>
    <w:rsid w:val="00412E7C"/>
    <w:rsid w:val="004143A1"/>
    <w:rsid w:val="0041440C"/>
    <w:rsid w:val="0041442C"/>
    <w:rsid w:val="004144E9"/>
    <w:rsid w:val="00414E83"/>
    <w:rsid w:val="004159A5"/>
    <w:rsid w:val="00416417"/>
    <w:rsid w:val="004168CB"/>
    <w:rsid w:val="004169BE"/>
    <w:rsid w:val="00417300"/>
    <w:rsid w:val="00417B95"/>
    <w:rsid w:val="00420D11"/>
    <w:rsid w:val="004211FA"/>
    <w:rsid w:val="004217E1"/>
    <w:rsid w:val="00423AE8"/>
    <w:rsid w:val="00423D44"/>
    <w:rsid w:val="0042415F"/>
    <w:rsid w:val="00424723"/>
    <w:rsid w:val="00424F18"/>
    <w:rsid w:val="0042593B"/>
    <w:rsid w:val="00425E3D"/>
    <w:rsid w:val="00425E63"/>
    <w:rsid w:val="00425FFA"/>
    <w:rsid w:val="00426BA7"/>
    <w:rsid w:val="00426C95"/>
    <w:rsid w:val="00427FA5"/>
    <w:rsid w:val="00430389"/>
    <w:rsid w:val="00430AF6"/>
    <w:rsid w:val="00430BCE"/>
    <w:rsid w:val="00430D89"/>
    <w:rsid w:val="00431C08"/>
    <w:rsid w:val="0043263E"/>
    <w:rsid w:val="004330AE"/>
    <w:rsid w:val="00433B85"/>
    <w:rsid w:val="004344AE"/>
    <w:rsid w:val="0043457C"/>
    <w:rsid w:val="00434961"/>
    <w:rsid w:val="0043618B"/>
    <w:rsid w:val="00436284"/>
    <w:rsid w:val="00436468"/>
    <w:rsid w:val="004367A5"/>
    <w:rsid w:val="00436A97"/>
    <w:rsid w:val="00437245"/>
    <w:rsid w:val="004406B7"/>
    <w:rsid w:val="0044070E"/>
    <w:rsid w:val="004415E5"/>
    <w:rsid w:val="004416B2"/>
    <w:rsid w:val="00441FA8"/>
    <w:rsid w:val="004439ED"/>
    <w:rsid w:val="004439FB"/>
    <w:rsid w:val="00444AC1"/>
    <w:rsid w:val="00445085"/>
    <w:rsid w:val="0044583D"/>
    <w:rsid w:val="004459FD"/>
    <w:rsid w:val="00447956"/>
    <w:rsid w:val="00450946"/>
    <w:rsid w:val="00450C02"/>
    <w:rsid w:val="00450C41"/>
    <w:rsid w:val="00450FCF"/>
    <w:rsid w:val="004511DF"/>
    <w:rsid w:val="0045135C"/>
    <w:rsid w:val="00451546"/>
    <w:rsid w:val="00452C39"/>
    <w:rsid w:val="00452C9D"/>
    <w:rsid w:val="0045359E"/>
    <w:rsid w:val="0045375E"/>
    <w:rsid w:val="004558D7"/>
    <w:rsid w:val="00455C17"/>
    <w:rsid w:val="00455F7E"/>
    <w:rsid w:val="00456F07"/>
    <w:rsid w:val="0045766A"/>
    <w:rsid w:val="00457921"/>
    <w:rsid w:val="004579EC"/>
    <w:rsid w:val="00460037"/>
    <w:rsid w:val="004612CF"/>
    <w:rsid w:val="0046258C"/>
    <w:rsid w:val="00463046"/>
    <w:rsid w:val="0046322E"/>
    <w:rsid w:val="00463293"/>
    <w:rsid w:val="00463351"/>
    <w:rsid w:val="00464CD0"/>
    <w:rsid w:val="00464E3F"/>
    <w:rsid w:val="00465BA2"/>
    <w:rsid w:val="0046696D"/>
    <w:rsid w:val="00466D55"/>
    <w:rsid w:val="00466FB1"/>
    <w:rsid w:val="00467AA9"/>
    <w:rsid w:val="004713A6"/>
    <w:rsid w:val="00471474"/>
    <w:rsid w:val="004717D8"/>
    <w:rsid w:val="004724DC"/>
    <w:rsid w:val="0047256F"/>
    <w:rsid w:val="0047269B"/>
    <w:rsid w:val="0047299D"/>
    <w:rsid w:val="00472CAE"/>
    <w:rsid w:val="00472CEB"/>
    <w:rsid w:val="00472F84"/>
    <w:rsid w:val="0047308D"/>
    <w:rsid w:val="00473FAD"/>
    <w:rsid w:val="00474222"/>
    <w:rsid w:val="00474653"/>
    <w:rsid w:val="00474A0E"/>
    <w:rsid w:val="00475EC1"/>
    <w:rsid w:val="00476572"/>
    <w:rsid w:val="004765BD"/>
    <w:rsid w:val="004766A9"/>
    <w:rsid w:val="0047714E"/>
    <w:rsid w:val="00477E08"/>
    <w:rsid w:val="00480D3E"/>
    <w:rsid w:val="00481F8B"/>
    <w:rsid w:val="00482017"/>
    <w:rsid w:val="00482318"/>
    <w:rsid w:val="00482535"/>
    <w:rsid w:val="00482C06"/>
    <w:rsid w:val="00482EB8"/>
    <w:rsid w:val="004836BD"/>
    <w:rsid w:val="004849BB"/>
    <w:rsid w:val="00484AB4"/>
    <w:rsid w:val="00485017"/>
    <w:rsid w:val="004857F6"/>
    <w:rsid w:val="00486029"/>
    <w:rsid w:val="00486538"/>
    <w:rsid w:val="004872CD"/>
    <w:rsid w:val="00487CBE"/>
    <w:rsid w:val="004900A3"/>
    <w:rsid w:val="00490435"/>
    <w:rsid w:val="004906F1"/>
    <w:rsid w:val="00490C08"/>
    <w:rsid w:val="00490F59"/>
    <w:rsid w:val="00491910"/>
    <w:rsid w:val="00491E34"/>
    <w:rsid w:val="00491E97"/>
    <w:rsid w:val="00491FF0"/>
    <w:rsid w:val="00492293"/>
    <w:rsid w:val="00492FF4"/>
    <w:rsid w:val="00493A23"/>
    <w:rsid w:val="00494197"/>
    <w:rsid w:val="00495421"/>
    <w:rsid w:val="00495EFC"/>
    <w:rsid w:val="00496C0E"/>
    <w:rsid w:val="00496F57"/>
    <w:rsid w:val="0049700C"/>
    <w:rsid w:val="00497580"/>
    <w:rsid w:val="00497632"/>
    <w:rsid w:val="00497735"/>
    <w:rsid w:val="00497834"/>
    <w:rsid w:val="00497914"/>
    <w:rsid w:val="004A05F3"/>
    <w:rsid w:val="004A08DF"/>
    <w:rsid w:val="004A0CCB"/>
    <w:rsid w:val="004A0DC1"/>
    <w:rsid w:val="004A114E"/>
    <w:rsid w:val="004A1277"/>
    <w:rsid w:val="004A1479"/>
    <w:rsid w:val="004A1790"/>
    <w:rsid w:val="004A1D38"/>
    <w:rsid w:val="004A23D7"/>
    <w:rsid w:val="004A312B"/>
    <w:rsid w:val="004A36AE"/>
    <w:rsid w:val="004A398C"/>
    <w:rsid w:val="004A4024"/>
    <w:rsid w:val="004A4EAB"/>
    <w:rsid w:val="004A52F5"/>
    <w:rsid w:val="004A59E5"/>
    <w:rsid w:val="004A6DE1"/>
    <w:rsid w:val="004A7277"/>
    <w:rsid w:val="004A736B"/>
    <w:rsid w:val="004B0477"/>
    <w:rsid w:val="004B0740"/>
    <w:rsid w:val="004B0AAE"/>
    <w:rsid w:val="004B148C"/>
    <w:rsid w:val="004B1898"/>
    <w:rsid w:val="004B18D8"/>
    <w:rsid w:val="004B196F"/>
    <w:rsid w:val="004B1D90"/>
    <w:rsid w:val="004B299D"/>
    <w:rsid w:val="004B2AEE"/>
    <w:rsid w:val="004B301A"/>
    <w:rsid w:val="004B30D5"/>
    <w:rsid w:val="004B3431"/>
    <w:rsid w:val="004B36F0"/>
    <w:rsid w:val="004B3FEC"/>
    <w:rsid w:val="004B4DFD"/>
    <w:rsid w:val="004B5095"/>
    <w:rsid w:val="004B5240"/>
    <w:rsid w:val="004B5A31"/>
    <w:rsid w:val="004B7140"/>
    <w:rsid w:val="004B7781"/>
    <w:rsid w:val="004C0182"/>
    <w:rsid w:val="004C04FB"/>
    <w:rsid w:val="004C0AE1"/>
    <w:rsid w:val="004C1583"/>
    <w:rsid w:val="004C2C11"/>
    <w:rsid w:val="004C2C2B"/>
    <w:rsid w:val="004C3810"/>
    <w:rsid w:val="004C39D3"/>
    <w:rsid w:val="004C4043"/>
    <w:rsid w:val="004C4137"/>
    <w:rsid w:val="004C4ABD"/>
    <w:rsid w:val="004C4E7B"/>
    <w:rsid w:val="004C5B5C"/>
    <w:rsid w:val="004C5C0C"/>
    <w:rsid w:val="004C5F0D"/>
    <w:rsid w:val="004C64BF"/>
    <w:rsid w:val="004C67C1"/>
    <w:rsid w:val="004C77AD"/>
    <w:rsid w:val="004D04F5"/>
    <w:rsid w:val="004D0873"/>
    <w:rsid w:val="004D1354"/>
    <w:rsid w:val="004D17BF"/>
    <w:rsid w:val="004D2720"/>
    <w:rsid w:val="004D27D6"/>
    <w:rsid w:val="004D2B8C"/>
    <w:rsid w:val="004D3108"/>
    <w:rsid w:val="004D5983"/>
    <w:rsid w:val="004D63F2"/>
    <w:rsid w:val="004D6A14"/>
    <w:rsid w:val="004D6CB4"/>
    <w:rsid w:val="004D6E58"/>
    <w:rsid w:val="004E039D"/>
    <w:rsid w:val="004E05C5"/>
    <w:rsid w:val="004E066B"/>
    <w:rsid w:val="004E0872"/>
    <w:rsid w:val="004E10E6"/>
    <w:rsid w:val="004E307D"/>
    <w:rsid w:val="004E3D73"/>
    <w:rsid w:val="004E4CC7"/>
    <w:rsid w:val="004E4FEB"/>
    <w:rsid w:val="004E532C"/>
    <w:rsid w:val="004E5C77"/>
    <w:rsid w:val="004E675F"/>
    <w:rsid w:val="004E6943"/>
    <w:rsid w:val="004E7227"/>
    <w:rsid w:val="004E7B0B"/>
    <w:rsid w:val="004F0B4E"/>
    <w:rsid w:val="004F0FBC"/>
    <w:rsid w:val="004F105D"/>
    <w:rsid w:val="004F1109"/>
    <w:rsid w:val="004F1513"/>
    <w:rsid w:val="004F2178"/>
    <w:rsid w:val="004F219E"/>
    <w:rsid w:val="004F230B"/>
    <w:rsid w:val="004F28AC"/>
    <w:rsid w:val="004F2ECF"/>
    <w:rsid w:val="004F2F7D"/>
    <w:rsid w:val="004F34B0"/>
    <w:rsid w:val="004F3A41"/>
    <w:rsid w:val="004F3FA5"/>
    <w:rsid w:val="004F479C"/>
    <w:rsid w:val="004F534E"/>
    <w:rsid w:val="004F56D8"/>
    <w:rsid w:val="004F792A"/>
    <w:rsid w:val="0050015D"/>
    <w:rsid w:val="005017A3"/>
    <w:rsid w:val="00502587"/>
    <w:rsid w:val="00502664"/>
    <w:rsid w:val="005026F9"/>
    <w:rsid w:val="005029D2"/>
    <w:rsid w:val="00503633"/>
    <w:rsid w:val="00506951"/>
    <w:rsid w:val="00506D4B"/>
    <w:rsid w:val="0051022F"/>
    <w:rsid w:val="005102AB"/>
    <w:rsid w:val="00510F29"/>
    <w:rsid w:val="00510F73"/>
    <w:rsid w:val="005113B8"/>
    <w:rsid w:val="005113C6"/>
    <w:rsid w:val="00511A60"/>
    <w:rsid w:val="00511BAF"/>
    <w:rsid w:val="00511FE1"/>
    <w:rsid w:val="00512693"/>
    <w:rsid w:val="005131D7"/>
    <w:rsid w:val="0051392B"/>
    <w:rsid w:val="005139A7"/>
    <w:rsid w:val="00513E83"/>
    <w:rsid w:val="00514C59"/>
    <w:rsid w:val="005163E8"/>
    <w:rsid w:val="00516BAD"/>
    <w:rsid w:val="0051712A"/>
    <w:rsid w:val="005178A7"/>
    <w:rsid w:val="00517BA8"/>
    <w:rsid w:val="0052006D"/>
    <w:rsid w:val="0052059D"/>
    <w:rsid w:val="00520645"/>
    <w:rsid w:val="00520A2B"/>
    <w:rsid w:val="0052130C"/>
    <w:rsid w:val="0052175B"/>
    <w:rsid w:val="005217A0"/>
    <w:rsid w:val="00521F8C"/>
    <w:rsid w:val="00522073"/>
    <w:rsid w:val="005228D3"/>
    <w:rsid w:val="00522C55"/>
    <w:rsid w:val="00522DE0"/>
    <w:rsid w:val="00522ED1"/>
    <w:rsid w:val="00522F87"/>
    <w:rsid w:val="00525602"/>
    <w:rsid w:val="0052707E"/>
    <w:rsid w:val="0052754A"/>
    <w:rsid w:val="00527CD1"/>
    <w:rsid w:val="00527E82"/>
    <w:rsid w:val="00530465"/>
    <w:rsid w:val="005308C5"/>
    <w:rsid w:val="00530C33"/>
    <w:rsid w:val="00530CAD"/>
    <w:rsid w:val="00531D9C"/>
    <w:rsid w:val="00531FEC"/>
    <w:rsid w:val="00532D6F"/>
    <w:rsid w:val="005330DD"/>
    <w:rsid w:val="00533FAE"/>
    <w:rsid w:val="005342D0"/>
    <w:rsid w:val="00535C1E"/>
    <w:rsid w:val="005369A9"/>
    <w:rsid w:val="00537875"/>
    <w:rsid w:val="00537C67"/>
    <w:rsid w:val="00537FA4"/>
    <w:rsid w:val="0054069D"/>
    <w:rsid w:val="005411F9"/>
    <w:rsid w:val="005416C8"/>
    <w:rsid w:val="00541EA7"/>
    <w:rsid w:val="00542D3B"/>
    <w:rsid w:val="005440CB"/>
    <w:rsid w:val="00546BA9"/>
    <w:rsid w:val="00547752"/>
    <w:rsid w:val="00547A87"/>
    <w:rsid w:val="00551401"/>
    <w:rsid w:val="00551C15"/>
    <w:rsid w:val="00552192"/>
    <w:rsid w:val="00552578"/>
    <w:rsid w:val="00552685"/>
    <w:rsid w:val="00552ED9"/>
    <w:rsid w:val="00553E83"/>
    <w:rsid w:val="0055444C"/>
    <w:rsid w:val="005560F0"/>
    <w:rsid w:val="005562EF"/>
    <w:rsid w:val="00556BCF"/>
    <w:rsid w:val="005571AA"/>
    <w:rsid w:val="0055733F"/>
    <w:rsid w:val="0055792A"/>
    <w:rsid w:val="00561E70"/>
    <w:rsid w:val="00561FED"/>
    <w:rsid w:val="005620C4"/>
    <w:rsid w:val="00562C89"/>
    <w:rsid w:val="00563912"/>
    <w:rsid w:val="005640CE"/>
    <w:rsid w:val="00564428"/>
    <w:rsid w:val="00564601"/>
    <w:rsid w:val="00564E87"/>
    <w:rsid w:val="00565461"/>
    <w:rsid w:val="005655FD"/>
    <w:rsid w:val="00565D27"/>
    <w:rsid w:val="00565EE2"/>
    <w:rsid w:val="00566726"/>
    <w:rsid w:val="0056680E"/>
    <w:rsid w:val="00566E33"/>
    <w:rsid w:val="005709FB"/>
    <w:rsid w:val="00571003"/>
    <w:rsid w:val="005717A7"/>
    <w:rsid w:val="005721FA"/>
    <w:rsid w:val="005722E5"/>
    <w:rsid w:val="005727EE"/>
    <w:rsid w:val="0057285C"/>
    <w:rsid w:val="005730B0"/>
    <w:rsid w:val="00573107"/>
    <w:rsid w:val="00573194"/>
    <w:rsid w:val="005733C9"/>
    <w:rsid w:val="00573FAF"/>
    <w:rsid w:val="00574098"/>
    <w:rsid w:val="00574150"/>
    <w:rsid w:val="00575E69"/>
    <w:rsid w:val="00577FA4"/>
    <w:rsid w:val="005800A5"/>
    <w:rsid w:val="005800B1"/>
    <w:rsid w:val="00580A0B"/>
    <w:rsid w:val="00581C1E"/>
    <w:rsid w:val="00582A7F"/>
    <w:rsid w:val="00582DD6"/>
    <w:rsid w:val="00582F79"/>
    <w:rsid w:val="00583688"/>
    <w:rsid w:val="00583C8B"/>
    <w:rsid w:val="00584336"/>
    <w:rsid w:val="005843B7"/>
    <w:rsid w:val="005852C9"/>
    <w:rsid w:val="00585CA2"/>
    <w:rsid w:val="0058626C"/>
    <w:rsid w:val="00586711"/>
    <w:rsid w:val="00587F5D"/>
    <w:rsid w:val="0059037C"/>
    <w:rsid w:val="005909E4"/>
    <w:rsid w:val="00590B41"/>
    <w:rsid w:val="00591BB3"/>
    <w:rsid w:val="0059216D"/>
    <w:rsid w:val="0059243D"/>
    <w:rsid w:val="00592585"/>
    <w:rsid w:val="00592E59"/>
    <w:rsid w:val="005931E6"/>
    <w:rsid w:val="00593453"/>
    <w:rsid w:val="00593A3C"/>
    <w:rsid w:val="005940E9"/>
    <w:rsid w:val="005943B1"/>
    <w:rsid w:val="00594BBA"/>
    <w:rsid w:val="00595B90"/>
    <w:rsid w:val="00596160"/>
    <w:rsid w:val="0059628D"/>
    <w:rsid w:val="00597647"/>
    <w:rsid w:val="0059796F"/>
    <w:rsid w:val="00597B54"/>
    <w:rsid w:val="00597FFB"/>
    <w:rsid w:val="005A19A9"/>
    <w:rsid w:val="005A1D72"/>
    <w:rsid w:val="005A2272"/>
    <w:rsid w:val="005A3445"/>
    <w:rsid w:val="005A358C"/>
    <w:rsid w:val="005A381F"/>
    <w:rsid w:val="005A4727"/>
    <w:rsid w:val="005A556C"/>
    <w:rsid w:val="005A6C76"/>
    <w:rsid w:val="005A792D"/>
    <w:rsid w:val="005A7BF4"/>
    <w:rsid w:val="005B0E17"/>
    <w:rsid w:val="005B2012"/>
    <w:rsid w:val="005B214B"/>
    <w:rsid w:val="005B2CBA"/>
    <w:rsid w:val="005B2D01"/>
    <w:rsid w:val="005B2EB5"/>
    <w:rsid w:val="005B367D"/>
    <w:rsid w:val="005B37FB"/>
    <w:rsid w:val="005B50D1"/>
    <w:rsid w:val="005B5A0A"/>
    <w:rsid w:val="005B5DC5"/>
    <w:rsid w:val="005B657E"/>
    <w:rsid w:val="005B66DA"/>
    <w:rsid w:val="005B6A92"/>
    <w:rsid w:val="005C1784"/>
    <w:rsid w:val="005C237B"/>
    <w:rsid w:val="005C2884"/>
    <w:rsid w:val="005C2993"/>
    <w:rsid w:val="005C2D2C"/>
    <w:rsid w:val="005C3C3B"/>
    <w:rsid w:val="005C3D39"/>
    <w:rsid w:val="005C3FAB"/>
    <w:rsid w:val="005C4930"/>
    <w:rsid w:val="005C5460"/>
    <w:rsid w:val="005C5CA8"/>
    <w:rsid w:val="005C65C7"/>
    <w:rsid w:val="005C7043"/>
    <w:rsid w:val="005C7186"/>
    <w:rsid w:val="005C7472"/>
    <w:rsid w:val="005C74EF"/>
    <w:rsid w:val="005C787B"/>
    <w:rsid w:val="005C799D"/>
    <w:rsid w:val="005C7F5F"/>
    <w:rsid w:val="005D1791"/>
    <w:rsid w:val="005D41B8"/>
    <w:rsid w:val="005D43D7"/>
    <w:rsid w:val="005D46C6"/>
    <w:rsid w:val="005D4D8A"/>
    <w:rsid w:val="005D6314"/>
    <w:rsid w:val="005D652D"/>
    <w:rsid w:val="005D6EA9"/>
    <w:rsid w:val="005D71D1"/>
    <w:rsid w:val="005D7D00"/>
    <w:rsid w:val="005E09F6"/>
    <w:rsid w:val="005E0E19"/>
    <w:rsid w:val="005E122B"/>
    <w:rsid w:val="005E1252"/>
    <w:rsid w:val="005E2C62"/>
    <w:rsid w:val="005E2EC4"/>
    <w:rsid w:val="005E31C4"/>
    <w:rsid w:val="005E3235"/>
    <w:rsid w:val="005E3863"/>
    <w:rsid w:val="005E432F"/>
    <w:rsid w:val="005E43BF"/>
    <w:rsid w:val="005E4B35"/>
    <w:rsid w:val="005E4D69"/>
    <w:rsid w:val="005E5603"/>
    <w:rsid w:val="005E584D"/>
    <w:rsid w:val="005E5863"/>
    <w:rsid w:val="005E6250"/>
    <w:rsid w:val="005E7827"/>
    <w:rsid w:val="005F0AEA"/>
    <w:rsid w:val="005F1494"/>
    <w:rsid w:val="005F16EB"/>
    <w:rsid w:val="005F2B89"/>
    <w:rsid w:val="005F2CF9"/>
    <w:rsid w:val="005F2E9C"/>
    <w:rsid w:val="005F38F0"/>
    <w:rsid w:val="005F40F4"/>
    <w:rsid w:val="005F48F4"/>
    <w:rsid w:val="005F5FB8"/>
    <w:rsid w:val="005F61CC"/>
    <w:rsid w:val="005F6CCA"/>
    <w:rsid w:val="005F6CDF"/>
    <w:rsid w:val="005F7334"/>
    <w:rsid w:val="005F7F6D"/>
    <w:rsid w:val="0060015E"/>
    <w:rsid w:val="00600DED"/>
    <w:rsid w:val="006011A8"/>
    <w:rsid w:val="006026E1"/>
    <w:rsid w:val="00602738"/>
    <w:rsid w:val="00602CBE"/>
    <w:rsid w:val="00603740"/>
    <w:rsid w:val="00603841"/>
    <w:rsid w:val="00603886"/>
    <w:rsid w:val="0060480B"/>
    <w:rsid w:val="00604AD4"/>
    <w:rsid w:val="00604DAB"/>
    <w:rsid w:val="006058C3"/>
    <w:rsid w:val="006060F1"/>
    <w:rsid w:val="0060611B"/>
    <w:rsid w:val="006063BC"/>
    <w:rsid w:val="00606477"/>
    <w:rsid w:val="0060666C"/>
    <w:rsid w:val="006070CE"/>
    <w:rsid w:val="00607415"/>
    <w:rsid w:val="0060746D"/>
    <w:rsid w:val="00607873"/>
    <w:rsid w:val="00607BDA"/>
    <w:rsid w:val="00607D4A"/>
    <w:rsid w:val="00610DD6"/>
    <w:rsid w:val="00611569"/>
    <w:rsid w:val="006121E1"/>
    <w:rsid w:val="00612A30"/>
    <w:rsid w:val="00612B41"/>
    <w:rsid w:val="006130D4"/>
    <w:rsid w:val="0061372C"/>
    <w:rsid w:val="00614152"/>
    <w:rsid w:val="00614285"/>
    <w:rsid w:val="006146CC"/>
    <w:rsid w:val="006148CF"/>
    <w:rsid w:val="00614A0F"/>
    <w:rsid w:val="00615C1D"/>
    <w:rsid w:val="00616BD7"/>
    <w:rsid w:val="00616F27"/>
    <w:rsid w:val="006203A6"/>
    <w:rsid w:val="006217C8"/>
    <w:rsid w:val="00621F3E"/>
    <w:rsid w:val="006221E3"/>
    <w:rsid w:val="00623075"/>
    <w:rsid w:val="006231DA"/>
    <w:rsid w:val="00623C51"/>
    <w:rsid w:val="0062465F"/>
    <w:rsid w:val="00624FF5"/>
    <w:rsid w:val="00625C64"/>
    <w:rsid w:val="00625E6B"/>
    <w:rsid w:val="00625FAF"/>
    <w:rsid w:val="0062608D"/>
    <w:rsid w:val="00626846"/>
    <w:rsid w:val="00626A1E"/>
    <w:rsid w:val="00630D1A"/>
    <w:rsid w:val="0063222C"/>
    <w:rsid w:val="00632A90"/>
    <w:rsid w:val="00632DE8"/>
    <w:rsid w:val="00633176"/>
    <w:rsid w:val="00634708"/>
    <w:rsid w:val="0063591D"/>
    <w:rsid w:val="00636B95"/>
    <w:rsid w:val="00637192"/>
    <w:rsid w:val="006371BF"/>
    <w:rsid w:val="00640A71"/>
    <w:rsid w:val="00640A9B"/>
    <w:rsid w:val="00642ED9"/>
    <w:rsid w:val="00642F60"/>
    <w:rsid w:val="00643859"/>
    <w:rsid w:val="0064394C"/>
    <w:rsid w:val="0064401F"/>
    <w:rsid w:val="00645259"/>
    <w:rsid w:val="00645A43"/>
    <w:rsid w:val="006464FB"/>
    <w:rsid w:val="00646E82"/>
    <w:rsid w:val="006470BC"/>
    <w:rsid w:val="0064767D"/>
    <w:rsid w:val="00650DE8"/>
    <w:rsid w:val="00651202"/>
    <w:rsid w:val="00651F05"/>
    <w:rsid w:val="0065237F"/>
    <w:rsid w:val="0065256C"/>
    <w:rsid w:val="006526CE"/>
    <w:rsid w:val="00652923"/>
    <w:rsid w:val="00652F30"/>
    <w:rsid w:val="0065349D"/>
    <w:rsid w:val="006539D4"/>
    <w:rsid w:val="00654042"/>
    <w:rsid w:val="00654081"/>
    <w:rsid w:val="00654E2D"/>
    <w:rsid w:val="00657125"/>
    <w:rsid w:val="00660256"/>
    <w:rsid w:val="00660460"/>
    <w:rsid w:val="00661116"/>
    <w:rsid w:val="006615F2"/>
    <w:rsid w:val="00661B18"/>
    <w:rsid w:val="006624C3"/>
    <w:rsid w:val="00663267"/>
    <w:rsid w:val="006637C9"/>
    <w:rsid w:val="006640EE"/>
    <w:rsid w:val="006647A7"/>
    <w:rsid w:val="00664A8F"/>
    <w:rsid w:val="006655D5"/>
    <w:rsid w:val="00665D51"/>
    <w:rsid w:val="00665EAF"/>
    <w:rsid w:val="00666FF1"/>
    <w:rsid w:val="006671AE"/>
    <w:rsid w:val="00667C96"/>
    <w:rsid w:val="00670651"/>
    <w:rsid w:val="006706D2"/>
    <w:rsid w:val="00670737"/>
    <w:rsid w:val="0067099E"/>
    <w:rsid w:val="00670B73"/>
    <w:rsid w:val="00671114"/>
    <w:rsid w:val="006718B2"/>
    <w:rsid w:val="006730D6"/>
    <w:rsid w:val="00673533"/>
    <w:rsid w:val="00674586"/>
    <w:rsid w:val="00675CE6"/>
    <w:rsid w:val="00675F2B"/>
    <w:rsid w:val="00675F6A"/>
    <w:rsid w:val="006765EB"/>
    <w:rsid w:val="00676A86"/>
    <w:rsid w:val="00677410"/>
    <w:rsid w:val="00680602"/>
    <w:rsid w:val="00680FF9"/>
    <w:rsid w:val="006814B0"/>
    <w:rsid w:val="0068321F"/>
    <w:rsid w:val="006833D3"/>
    <w:rsid w:val="00683802"/>
    <w:rsid w:val="00684AA1"/>
    <w:rsid w:val="00684DBC"/>
    <w:rsid w:val="00685672"/>
    <w:rsid w:val="006857D9"/>
    <w:rsid w:val="0068583F"/>
    <w:rsid w:val="00685F98"/>
    <w:rsid w:val="00686111"/>
    <w:rsid w:val="00686ED1"/>
    <w:rsid w:val="006873A3"/>
    <w:rsid w:val="00690428"/>
    <w:rsid w:val="00690C52"/>
    <w:rsid w:val="00691483"/>
    <w:rsid w:val="006919BE"/>
    <w:rsid w:val="00691A84"/>
    <w:rsid w:val="00691D30"/>
    <w:rsid w:val="00691E7B"/>
    <w:rsid w:val="0069241F"/>
    <w:rsid w:val="00693A50"/>
    <w:rsid w:val="00693B3B"/>
    <w:rsid w:val="00693D52"/>
    <w:rsid w:val="00693FEF"/>
    <w:rsid w:val="0069418D"/>
    <w:rsid w:val="006944B6"/>
    <w:rsid w:val="0069476E"/>
    <w:rsid w:val="00694EF2"/>
    <w:rsid w:val="00694F36"/>
    <w:rsid w:val="00694FED"/>
    <w:rsid w:val="0069532D"/>
    <w:rsid w:val="0069605E"/>
    <w:rsid w:val="00696DA3"/>
    <w:rsid w:val="006972A0"/>
    <w:rsid w:val="006A0628"/>
    <w:rsid w:val="006A1128"/>
    <w:rsid w:val="006A16DC"/>
    <w:rsid w:val="006A1CDE"/>
    <w:rsid w:val="006A1F74"/>
    <w:rsid w:val="006A23D8"/>
    <w:rsid w:val="006A34A1"/>
    <w:rsid w:val="006A34E5"/>
    <w:rsid w:val="006A4D01"/>
    <w:rsid w:val="006A4F81"/>
    <w:rsid w:val="006A51CA"/>
    <w:rsid w:val="006A5267"/>
    <w:rsid w:val="006A5D31"/>
    <w:rsid w:val="006A6A96"/>
    <w:rsid w:val="006A6C73"/>
    <w:rsid w:val="006B03FA"/>
    <w:rsid w:val="006B04A5"/>
    <w:rsid w:val="006B112F"/>
    <w:rsid w:val="006B1547"/>
    <w:rsid w:val="006B1978"/>
    <w:rsid w:val="006B2395"/>
    <w:rsid w:val="006B2681"/>
    <w:rsid w:val="006B309E"/>
    <w:rsid w:val="006B334E"/>
    <w:rsid w:val="006B39DC"/>
    <w:rsid w:val="006B3FF8"/>
    <w:rsid w:val="006B4040"/>
    <w:rsid w:val="006B5098"/>
    <w:rsid w:val="006B5DAF"/>
    <w:rsid w:val="006B62E4"/>
    <w:rsid w:val="006B64B3"/>
    <w:rsid w:val="006B72E4"/>
    <w:rsid w:val="006B767B"/>
    <w:rsid w:val="006B767C"/>
    <w:rsid w:val="006B773C"/>
    <w:rsid w:val="006C1525"/>
    <w:rsid w:val="006C1AAF"/>
    <w:rsid w:val="006C1C99"/>
    <w:rsid w:val="006C205C"/>
    <w:rsid w:val="006C3044"/>
    <w:rsid w:val="006C3AF1"/>
    <w:rsid w:val="006C4262"/>
    <w:rsid w:val="006C4EED"/>
    <w:rsid w:val="006C58FD"/>
    <w:rsid w:val="006C62D1"/>
    <w:rsid w:val="006C69B3"/>
    <w:rsid w:val="006C7533"/>
    <w:rsid w:val="006C7D96"/>
    <w:rsid w:val="006C7DFC"/>
    <w:rsid w:val="006D0998"/>
    <w:rsid w:val="006D0EE9"/>
    <w:rsid w:val="006D2D9B"/>
    <w:rsid w:val="006D3463"/>
    <w:rsid w:val="006D4714"/>
    <w:rsid w:val="006D4799"/>
    <w:rsid w:val="006D48AE"/>
    <w:rsid w:val="006D501C"/>
    <w:rsid w:val="006D5036"/>
    <w:rsid w:val="006D5C59"/>
    <w:rsid w:val="006D60A6"/>
    <w:rsid w:val="006D62F9"/>
    <w:rsid w:val="006D64DD"/>
    <w:rsid w:val="006D69AE"/>
    <w:rsid w:val="006D6EB4"/>
    <w:rsid w:val="006D72A8"/>
    <w:rsid w:val="006D7300"/>
    <w:rsid w:val="006D7616"/>
    <w:rsid w:val="006D7C23"/>
    <w:rsid w:val="006E042A"/>
    <w:rsid w:val="006E08CD"/>
    <w:rsid w:val="006E099F"/>
    <w:rsid w:val="006E0B6B"/>
    <w:rsid w:val="006E104D"/>
    <w:rsid w:val="006E13F7"/>
    <w:rsid w:val="006E193D"/>
    <w:rsid w:val="006E1C79"/>
    <w:rsid w:val="006E1E45"/>
    <w:rsid w:val="006E20F6"/>
    <w:rsid w:val="006E2651"/>
    <w:rsid w:val="006E3553"/>
    <w:rsid w:val="006E5197"/>
    <w:rsid w:val="006E5BFF"/>
    <w:rsid w:val="006E7161"/>
    <w:rsid w:val="006E720D"/>
    <w:rsid w:val="006E796C"/>
    <w:rsid w:val="006F07CA"/>
    <w:rsid w:val="006F3576"/>
    <w:rsid w:val="006F4958"/>
    <w:rsid w:val="006F4AF5"/>
    <w:rsid w:val="006F6047"/>
    <w:rsid w:val="006F6B3E"/>
    <w:rsid w:val="006F7FB5"/>
    <w:rsid w:val="0070023E"/>
    <w:rsid w:val="007006D3"/>
    <w:rsid w:val="00700D1E"/>
    <w:rsid w:val="007019B3"/>
    <w:rsid w:val="007019DA"/>
    <w:rsid w:val="00701C84"/>
    <w:rsid w:val="007024F3"/>
    <w:rsid w:val="0070302B"/>
    <w:rsid w:val="007046B1"/>
    <w:rsid w:val="007051A6"/>
    <w:rsid w:val="007052A4"/>
    <w:rsid w:val="00705B03"/>
    <w:rsid w:val="007063B9"/>
    <w:rsid w:val="0070680B"/>
    <w:rsid w:val="00706A91"/>
    <w:rsid w:val="00706BD0"/>
    <w:rsid w:val="00707CF7"/>
    <w:rsid w:val="00707D40"/>
    <w:rsid w:val="00707EE2"/>
    <w:rsid w:val="00710385"/>
    <w:rsid w:val="00711565"/>
    <w:rsid w:val="0071161E"/>
    <w:rsid w:val="00711779"/>
    <w:rsid w:val="00712C40"/>
    <w:rsid w:val="00713313"/>
    <w:rsid w:val="00713728"/>
    <w:rsid w:val="007139E0"/>
    <w:rsid w:val="00714B9C"/>
    <w:rsid w:val="00714E12"/>
    <w:rsid w:val="00715470"/>
    <w:rsid w:val="0071630C"/>
    <w:rsid w:val="00717AD3"/>
    <w:rsid w:val="00717C29"/>
    <w:rsid w:val="0072022F"/>
    <w:rsid w:val="00720282"/>
    <w:rsid w:val="007202FA"/>
    <w:rsid w:val="00720F18"/>
    <w:rsid w:val="00721714"/>
    <w:rsid w:val="0072221A"/>
    <w:rsid w:val="00722611"/>
    <w:rsid w:val="00722CF7"/>
    <w:rsid w:val="00722E06"/>
    <w:rsid w:val="0072325A"/>
    <w:rsid w:val="007238D9"/>
    <w:rsid w:val="00723A33"/>
    <w:rsid w:val="00723A9C"/>
    <w:rsid w:val="007245F6"/>
    <w:rsid w:val="0072475A"/>
    <w:rsid w:val="007250AD"/>
    <w:rsid w:val="007251C1"/>
    <w:rsid w:val="00725DC9"/>
    <w:rsid w:val="007269D7"/>
    <w:rsid w:val="00726B1F"/>
    <w:rsid w:val="007306F0"/>
    <w:rsid w:val="007314C6"/>
    <w:rsid w:val="00731990"/>
    <w:rsid w:val="00731EB4"/>
    <w:rsid w:val="00734BCB"/>
    <w:rsid w:val="00735D0A"/>
    <w:rsid w:val="0073696D"/>
    <w:rsid w:val="00736EEB"/>
    <w:rsid w:val="00737523"/>
    <w:rsid w:val="0073761F"/>
    <w:rsid w:val="00737A71"/>
    <w:rsid w:val="00737D47"/>
    <w:rsid w:val="0074082F"/>
    <w:rsid w:val="00740C5A"/>
    <w:rsid w:val="007414B9"/>
    <w:rsid w:val="007418C4"/>
    <w:rsid w:val="00741F18"/>
    <w:rsid w:val="007420B7"/>
    <w:rsid w:val="0074235D"/>
    <w:rsid w:val="0074261B"/>
    <w:rsid w:val="00742D12"/>
    <w:rsid w:val="00742FBF"/>
    <w:rsid w:val="007432B1"/>
    <w:rsid w:val="00743690"/>
    <w:rsid w:val="00743BAC"/>
    <w:rsid w:val="00743EA6"/>
    <w:rsid w:val="007445C7"/>
    <w:rsid w:val="00744743"/>
    <w:rsid w:val="0074558F"/>
    <w:rsid w:val="0074561C"/>
    <w:rsid w:val="00745B75"/>
    <w:rsid w:val="00745D63"/>
    <w:rsid w:val="00745FB0"/>
    <w:rsid w:val="00745FFA"/>
    <w:rsid w:val="00746BE1"/>
    <w:rsid w:val="00746E9B"/>
    <w:rsid w:val="00746F77"/>
    <w:rsid w:val="00747577"/>
    <w:rsid w:val="00747696"/>
    <w:rsid w:val="00747F44"/>
    <w:rsid w:val="00747FF3"/>
    <w:rsid w:val="00750236"/>
    <w:rsid w:val="00750841"/>
    <w:rsid w:val="00750F23"/>
    <w:rsid w:val="00750F61"/>
    <w:rsid w:val="00751493"/>
    <w:rsid w:val="00751CC6"/>
    <w:rsid w:val="0075278F"/>
    <w:rsid w:val="007529DE"/>
    <w:rsid w:val="00752DEE"/>
    <w:rsid w:val="00753A51"/>
    <w:rsid w:val="00754B58"/>
    <w:rsid w:val="00754BBE"/>
    <w:rsid w:val="007556A5"/>
    <w:rsid w:val="007557A9"/>
    <w:rsid w:val="0075626B"/>
    <w:rsid w:val="00756826"/>
    <w:rsid w:val="007573EB"/>
    <w:rsid w:val="0075763D"/>
    <w:rsid w:val="00757ADD"/>
    <w:rsid w:val="00757BAA"/>
    <w:rsid w:val="00760384"/>
    <w:rsid w:val="00760DAF"/>
    <w:rsid w:val="007612D5"/>
    <w:rsid w:val="00761735"/>
    <w:rsid w:val="00761A26"/>
    <w:rsid w:val="00762155"/>
    <w:rsid w:val="0076262A"/>
    <w:rsid w:val="0076263E"/>
    <w:rsid w:val="007626EB"/>
    <w:rsid w:val="007633AC"/>
    <w:rsid w:val="00763A81"/>
    <w:rsid w:val="00763FCF"/>
    <w:rsid w:val="00764CD5"/>
    <w:rsid w:val="007655DB"/>
    <w:rsid w:val="00765766"/>
    <w:rsid w:val="00765992"/>
    <w:rsid w:val="00765EFA"/>
    <w:rsid w:val="00765F19"/>
    <w:rsid w:val="007662C3"/>
    <w:rsid w:val="00766A9D"/>
    <w:rsid w:val="00766BEE"/>
    <w:rsid w:val="00767608"/>
    <w:rsid w:val="00767620"/>
    <w:rsid w:val="0076781E"/>
    <w:rsid w:val="007679A9"/>
    <w:rsid w:val="00767CC7"/>
    <w:rsid w:val="00770D57"/>
    <w:rsid w:val="00770F5E"/>
    <w:rsid w:val="0077187C"/>
    <w:rsid w:val="00771A0E"/>
    <w:rsid w:val="00771B83"/>
    <w:rsid w:val="00772623"/>
    <w:rsid w:val="00772CD7"/>
    <w:rsid w:val="00772F49"/>
    <w:rsid w:val="00773A85"/>
    <w:rsid w:val="00774021"/>
    <w:rsid w:val="00775562"/>
    <w:rsid w:val="007757A2"/>
    <w:rsid w:val="00775888"/>
    <w:rsid w:val="007779C7"/>
    <w:rsid w:val="00777A36"/>
    <w:rsid w:val="007800F3"/>
    <w:rsid w:val="007803E6"/>
    <w:rsid w:val="00780458"/>
    <w:rsid w:val="007809D4"/>
    <w:rsid w:val="0078297C"/>
    <w:rsid w:val="00782CF7"/>
    <w:rsid w:val="00782D00"/>
    <w:rsid w:val="00782EAA"/>
    <w:rsid w:val="0078333B"/>
    <w:rsid w:val="00783534"/>
    <w:rsid w:val="00783BAA"/>
    <w:rsid w:val="00784658"/>
    <w:rsid w:val="00784939"/>
    <w:rsid w:val="00784AD1"/>
    <w:rsid w:val="00784F26"/>
    <w:rsid w:val="00785A5B"/>
    <w:rsid w:val="00785FD9"/>
    <w:rsid w:val="007862AD"/>
    <w:rsid w:val="0078794F"/>
    <w:rsid w:val="00787986"/>
    <w:rsid w:val="00787E6A"/>
    <w:rsid w:val="00787F7D"/>
    <w:rsid w:val="00787FE2"/>
    <w:rsid w:val="00790650"/>
    <w:rsid w:val="00790CD6"/>
    <w:rsid w:val="00790CDA"/>
    <w:rsid w:val="007911F4"/>
    <w:rsid w:val="007913EA"/>
    <w:rsid w:val="00791D68"/>
    <w:rsid w:val="00792B41"/>
    <w:rsid w:val="00792DAB"/>
    <w:rsid w:val="00792E1B"/>
    <w:rsid w:val="00793304"/>
    <w:rsid w:val="007935E9"/>
    <w:rsid w:val="00793626"/>
    <w:rsid w:val="0079558E"/>
    <w:rsid w:val="00796276"/>
    <w:rsid w:val="007964B9"/>
    <w:rsid w:val="00796E70"/>
    <w:rsid w:val="00796F9A"/>
    <w:rsid w:val="0079733F"/>
    <w:rsid w:val="007A0A9E"/>
    <w:rsid w:val="007A139E"/>
    <w:rsid w:val="007A1481"/>
    <w:rsid w:val="007A2E2C"/>
    <w:rsid w:val="007A34E7"/>
    <w:rsid w:val="007A3FDC"/>
    <w:rsid w:val="007A5839"/>
    <w:rsid w:val="007A5BFF"/>
    <w:rsid w:val="007A5E9A"/>
    <w:rsid w:val="007A60B3"/>
    <w:rsid w:val="007A640B"/>
    <w:rsid w:val="007A6844"/>
    <w:rsid w:val="007A6C90"/>
    <w:rsid w:val="007A70A5"/>
    <w:rsid w:val="007A7AAC"/>
    <w:rsid w:val="007B117F"/>
    <w:rsid w:val="007B1C8F"/>
    <w:rsid w:val="007B1DA9"/>
    <w:rsid w:val="007B2058"/>
    <w:rsid w:val="007B2A1E"/>
    <w:rsid w:val="007B2EF2"/>
    <w:rsid w:val="007B3061"/>
    <w:rsid w:val="007B3218"/>
    <w:rsid w:val="007B3B39"/>
    <w:rsid w:val="007B403B"/>
    <w:rsid w:val="007B4218"/>
    <w:rsid w:val="007B46C1"/>
    <w:rsid w:val="007B5FAE"/>
    <w:rsid w:val="007B60E1"/>
    <w:rsid w:val="007B6EE2"/>
    <w:rsid w:val="007B730B"/>
    <w:rsid w:val="007B7A01"/>
    <w:rsid w:val="007B7E81"/>
    <w:rsid w:val="007B7EB5"/>
    <w:rsid w:val="007B7EFF"/>
    <w:rsid w:val="007C09F9"/>
    <w:rsid w:val="007C0A11"/>
    <w:rsid w:val="007C1352"/>
    <w:rsid w:val="007C13C4"/>
    <w:rsid w:val="007C1EEB"/>
    <w:rsid w:val="007C2057"/>
    <w:rsid w:val="007C21C2"/>
    <w:rsid w:val="007C29DF"/>
    <w:rsid w:val="007C2D1F"/>
    <w:rsid w:val="007C35EE"/>
    <w:rsid w:val="007C3972"/>
    <w:rsid w:val="007C3B44"/>
    <w:rsid w:val="007C4090"/>
    <w:rsid w:val="007C47D4"/>
    <w:rsid w:val="007C494C"/>
    <w:rsid w:val="007C4CA5"/>
    <w:rsid w:val="007C50D7"/>
    <w:rsid w:val="007C603E"/>
    <w:rsid w:val="007C6791"/>
    <w:rsid w:val="007C7F35"/>
    <w:rsid w:val="007D08F2"/>
    <w:rsid w:val="007D0C0A"/>
    <w:rsid w:val="007D2A26"/>
    <w:rsid w:val="007D32B8"/>
    <w:rsid w:val="007D4A96"/>
    <w:rsid w:val="007D60DA"/>
    <w:rsid w:val="007D62E0"/>
    <w:rsid w:val="007D69F9"/>
    <w:rsid w:val="007D7813"/>
    <w:rsid w:val="007D7AC2"/>
    <w:rsid w:val="007D7AE8"/>
    <w:rsid w:val="007D7C78"/>
    <w:rsid w:val="007E1DA5"/>
    <w:rsid w:val="007E1F5F"/>
    <w:rsid w:val="007E32BA"/>
    <w:rsid w:val="007E33B4"/>
    <w:rsid w:val="007E362E"/>
    <w:rsid w:val="007E3DBA"/>
    <w:rsid w:val="007E4511"/>
    <w:rsid w:val="007E562A"/>
    <w:rsid w:val="007E5BD4"/>
    <w:rsid w:val="007E61ED"/>
    <w:rsid w:val="007E70A7"/>
    <w:rsid w:val="007E721C"/>
    <w:rsid w:val="007E7740"/>
    <w:rsid w:val="007F0315"/>
    <w:rsid w:val="007F09AE"/>
    <w:rsid w:val="007F150E"/>
    <w:rsid w:val="007F1E67"/>
    <w:rsid w:val="007F20D7"/>
    <w:rsid w:val="007F223D"/>
    <w:rsid w:val="007F276C"/>
    <w:rsid w:val="007F3540"/>
    <w:rsid w:val="007F3C9F"/>
    <w:rsid w:val="007F3E6D"/>
    <w:rsid w:val="007F4A34"/>
    <w:rsid w:val="007F4E1C"/>
    <w:rsid w:val="007F5A9A"/>
    <w:rsid w:val="007F604F"/>
    <w:rsid w:val="007F6E11"/>
    <w:rsid w:val="007F6EA4"/>
    <w:rsid w:val="00800315"/>
    <w:rsid w:val="00800DC1"/>
    <w:rsid w:val="00802003"/>
    <w:rsid w:val="0080284E"/>
    <w:rsid w:val="00802C8D"/>
    <w:rsid w:val="00802F6F"/>
    <w:rsid w:val="00804992"/>
    <w:rsid w:val="00805297"/>
    <w:rsid w:val="008061DD"/>
    <w:rsid w:val="00806CC5"/>
    <w:rsid w:val="00806D0B"/>
    <w:rsid w:val="00811370"/>
    <w:rsid w:val="00811793"/>
    <w:rsid w:val="008121DC"/>
    <w:rsid w:val="00812B75"/>
    <w:rsid w:val="008130DD"/>
    <w:rsid w:val="00813E84"/>
    <w:rsid w:val="00814EE7"/>
    <w:rsid w:val="0081503E"/>
    <w:rsid w:val="0081585E"/>
    <w:rsid w:val="00815C0C"/>
    <w:rsid w:val="00816225"/>
    <w:rsid w:val="0081785E"/>
    <w:rsid w:val="0081790E"/>
    <w:rsid w:val="00817A38"/>
    <w:rsid w:val="00820042"/>
    <w:rsid w:val="00820D1B"/>
    <w:rsid w:val="008210A7"/>
    <w:rsid w:val="00821E6F"/>
    <w:rsid w:val="008222DE"/>
    <w:rsid w:val="00822738"/>
    <w:rsid w:val="00822EDC"/>
    <w:rsid w:val="008236D1"/>
    <w:rsid w:val="00823E1F"/>
    <w:rsid w:val="0082502C"/>
    <w:rsid w:val="00825161"/>
    <w:rsid w:val="00825DF0"/>
    <w:rsid w:val="008261DB"/>
    <w:rsid w:val="00830486"/>
    <w:rsid w:val="00830A99"/>
    <w:rsid w:val="0083257F"/>
    <w:rsid w:val="008348FC"/>
    <w:rsid w:val="00834BBB"/>
    <w:rsid w:val="00834E38"/>
    <w:rsid w:val="00834E50"/>
    <w:rsid w:val="00834EE5"/>
    <w:rsid w:val="008351BA"/>
    <w:rsid w:val="00835227"/>
    <w:rsid w:val="00835345"/>
    <w:rsid w:val="00835563"/>
    <w:rsid w:val="00836845"/>
    <w:rsid w:val="008373BC"/>
    <w:rsid w:val="008379FC"/>
    <w:rsid w:val="00841706"/>
    <w:rsid w:val="00841B82"/>
    <w:rsid w:val="00842337"/>
    <w:rsid w:val="008424BE"/>
    <w:rsid w:val="008427B8"/>
    <w:rsid w:val="0084348B"/>
    <w:rsid w:val="0084349E"/>
    <w:rsid w:val="00843F89"/>
    <w:rsid w:val="00844F36"/>
    <w:rsid w:val="00844FAB"/>
    <w:rsid w:val="00845A30"/>
    <w:rsid w:val="00846209"/>
    <w:rsid w:val="00846598"/>
    <w:rsid w:val="00846B52"/>
    <w:rsid w:val="00846CE5"/>
    <w:rsid w:val="00847890"/>
    <w:rsid w:val="008502CE"/>
    <w:rsid w:val="0085093E"/>
    <w:rsid w:val="00850A42"/>
    <w:rsid w:val="0085100A"/>
    <w:rsid w:val="00851427"/>
    <w:rsid w:val="00851FCA"/>
    <w:rsid w:val="00853EB2"/>
    <w:rsid w:val="008548A5"/>
    <w:rsid w:val="0085518D"/>
    <w:rsid w:val="0085637F"/>
    <w:rsid w:val="00856764"/>
    <w:rsid w:val="00856E63"/>
    <w:rsid w:val="008578DF"/>
    <w:rsid w:val="00857B1D"/>
    <w:rsid w:val="00857DAF"/>
    <w:rsid w:val="0086038F"/>
    <w:rsid w:val="008603E4"/>
    <w:rsid w:val="00860FAB"/>
    <w:rsid w:val="00861347"/>
    <w:rsid w:val="008614E6"/>
    <w:rsid w:val="0086189E"/>
    <w:rsid w:val="0086289E"/>
    <w:rsid w:val="0086295A"/>
    <w:rsid w:val="00864025"/>
    <w:rsid w:val="0086442E"/>
    <w:rsid w:val="00865028"/>
    <w:rsid w:val="00865DF4"/>
    <w:rsid w:val="008668DC"/>
    <w:rsid w:val="00866A34"/>
    <w:rsid w:val="00866B54"/>
    <w:rsid w:val="008675C0"/>
    <w:rsid w:val="0086790C"/>
    <w:rsid w:val="00867DC8"/>
    <w:rsid w:val="008706C2"/>
    <w:rsid w:val="00870E37"/>
    <w:rsid w:val="00871075"/>
    <w:rsid w:val="00871943"/>
    <w:rsid w:val="008732DB"/>
    <w:rsid w:val="008734EB"/>
    <w:rsid w:val="0087575B"/>
    <w:rsid w:val="0087612D"/>
    <w:rsid w:val="00876396"/>
    <w:rsid w:val="00876879"/>
    <w:rsid w:val="0087702A"/>
    <w:rsid w:val="0087756D"/>
    <w:rsid w:val="00877798"/>
    <w:rsid w:val="00877C97"/>
    <w:rsid w:val="0088033B"/>
    <w:rsid w:val="00880936"/>
    <w:rsid w:val="008809A8"/>
    <w:rsid w:val="00880FEA"/>
    <w:rsid w:val="00881109"/>
    <w:rsid w:val="008817BC"/>
    <w:rsid w:val="008820EC"/>
    <w:rsid w:val="00883B86"/>
    <w:rsid w:val="00884359"/>
    <w:rsid w:val="00884520"/>
    <w:rsid w:val="00884E0B"/>
    <w:rsid w:val="0088505D"/>
    <w:rsid w:val="0088573B"/>
    <w:rsid w:val="0088588A"/>
    <w:rsid w:val="00886430"/>
    <w:rsid w:val="008865A7"/>
    <w:rsid w:val="008874B4"/>
    <w:rsid w:val="008879C5"/>
    <w:rsid w:val="008905C6"/>
    <w:rsid w:val="00890C1B"/>
    <w:rsid w:val="00890F96"/>
    <w:rsid w:val="0089261D"/>
    <w:rsid w:val="0089278A"/>
    <w:rsid w:val="00892863"/>
    <w:rsid w:val="00892B04"/>
    <w:rsid w:val="00892D72"/>
    <w:rsid w:val="0089313A"/>
    <w:rsid w:val="00893ED3"/>
    <w:rsid w:val="00894B96"/>
    <w:rsid w:val="00894D76"/>
    <w:rsid w:val="0089589F"/>
    <w:rsid w:val="00895A51"/>
    <w:rsid w:val="00895B8B"/>
    <w:rsid w:val="00895F2C"/>
    <w:rsid w:val="00896A03"/>
    <w:rsid w:val="00896E9F"/>
    <w:rsid w:val="0089753E"/>
    <w:rsid w:val="00897ED6"/>
    <w:rsid w:val="008A116A"/>
    <w:rsid w:val="008A12BD"/>
    <w:rsid w:val="008A14CF"/>
    <w:rsid w:val="008A23D0"/>
    <w:rsid w:val="008A25A7"/>
    <w:rsid w:val="008A2C93"/>
    <w:rsid w:val="008A2E57"/>
    <w:rsid w:val="008A3068"/>
    <w:rsid w:val="008A3076"/>
    <w:rsid w:val="008A34F4"/>
    <w:rsid w:val="008A422C"/>
    <w:rsid w:val="008A4E20"/>
    <w:rsid w:val="008A5ED2"/>
    <w:rsid w:val="008A6CD7"/>
    <w:rsid w:val="008A732C"/>
    <w:rsid w:val="008A7EF3"/>
    <w:rsid w:val="008B0209"/>
    <w:rsid w:val="008B05BF"/>
    <w:rsid w:val="008B1DE9"/>
    <w:rsid w:val="008B2D16"/>
    <w:rsid w:val="008B3732"/>
    <w:rsid w:val="008B38DC"/>
    <w:rsid w:val="008B4952"/>
    <w:rsid w:val="008B4ED7"/>
    <w:rsid w:val="008B53BA"/>
    <w:rsid w:val="008B721A"/>
    <w:rsid w:val="008C0DBE"/>
    <w:rsid w:val="008C1941"/>
    <w:rsid w:val="008C21A1"/>
    <w:rsid w:val="008C251B"/>
    <w:rsid w:val="008C27D6"/>
    <w:rsid w:val="008C28C2"/>
    <w:rsid w:val="008C2B3D"/>
    <w:rsid w:val="008C302F"/>
    <w:rsid w:val="008C42C6"/>
    <w:rsid w:val="008C44B7"/>
    <w:rsid w:val="008C4606"/>
    <w:rsid w:val="008C4822"/>
    <w:rsid w:val="008C563B"/>
    <w:rsid w:val="008C6386"/>
    <w:rsid w:val="008C64B2"/>
    <w:rsid w:val="008C7454"/>
    <w:rsid w:val="008C7B9F"/>
    <w:rsid w:val="008D0B76"/>
    <w:rsid w:val="008D1ECC"/>
    <w:rsid w:val="008D2627"/>
    <w:rsid w:val="008D2A07"/>
    <w:rsid w:val="008D3713"/>
    <w:rsid w:val="008D3A65"/>
    <w:rsid w:val="008D4198"/>
    <w:rsid w:val="008D423A"/>
    <w:rsid w:val="008D4AE1"/>
    <w:rsid w:val="008D4D07"/>
    <w:rsid w:val="008D53E1"/>
    <w:rsid w:val="008D588F"/>
    <w:rsid w:val="008D6886"/>
    <w:rsid w:val="008D6C50"/>
    <w:rsid w:val="008D7532"/>
    <w:rsid w:val="008D767D"/>
    <w:rsid w:val="008E08DC"/>
    <w:rsid w:val="008E0C73"/>
    <w:rsid w:val="008E10B1"/>
    <w:rsid w:val="008E13BF"/>
    <w:rsid w:val="008E1493"/>
    <w:rsid w:val="008E252B"/>
    <w:rsid w:val="008E298A"/>
    <w:rsid w:val="008E2B83"/>
    <w:rsid w:val="008E4D9F"/>
    <w:rsid w:val="008E52E9"/>
    <w:rsid w:val="008E60DD"/>
    <w:rsid w:val="008E611F"/>
    <w:rsid w:val="008E6441"/>
    <w:rsid w:val="008E715E"/>
    <w:rsid w:val="008E72E3"/>
    <w:rsid w:val="008E735C"/>
    <w:rsid w:val="008E7395"/>
    <w:rsid w:val="008F1A88"/>
    <w:rsid w:val="008F2CC6"/>
    <w:rsid w:val="008F2DE2"/>
    <w:rsid w:val="008F30A7"/>
    <w:rsid w:val="008F313E"/>
    <w:rsid w:val="008F3EBB"/>
    <w:rsid w:val="008F49E1"/>
    <w:rsid w:val="008F4C37"/>
    <w:rsid w:val="008F4DD2"/>
    <w:rsid w:val="008F7373"/>
    <w:rsid w:val="008F74F5"/>
    <w:rsid w:val="00900183"/>
    <w:rsid w:val="009001E6"/>
    <w:rsid w:val="00900991"/>
    <w:rsid w:val="00900BD2"/>
    <w:rsid w:val="00901468"/>
    <w:rsid w:val="00901A39"/>
    <w:rsid w:val="00902089"/>
    <w:rsid w:val="009020E1"/>
    <w:rsid w:val="0090372D"/>
    <w:rsid w:val="00904417"/>
    <w:rsid w:val="00904490"/>
    <w:rsid w:val="0090471F"/>
    <w:rsid w:val="0090538F"/>
    <w:rsid w:val="00905957"/>
    <w:rsid w:val="00910739"/>
    <w:rsid w:val="00910958"/>
    <w:rsid w:val="00911C03"/>
    <w:rsid w:val="00911C2B"/>
    <w:rsid w:val="00911D9B"/>
    <w:rsid w:val="00911E9A"/>
    <w:rsid w:val="0091218A"/>
    <w:rsid w:val="00912CB6"/>
    <w:rsid w:val="009136D4"/>
    <w:rsid w:val="00914565"/>
    <w:rsid w:val="00914F6F"/>
    <w:rsid w:val="009153D6"/>
    <w:rsid w:val="009161AD"/>
    <w:rsid w:val="0091664B"/>
    <w:rsid w:val="0091693E"/>
    <w:rsid w:val="00916BC9"/>
    <w:rsid w:val="00920922"/>
    <w:rsid w:val="00920963"/>
    <w:rsid w:val="009210E8"/>
    <w:rsid w:val="00921302"/>
    <w:rsid w:val="009214E2"/>
    <w:rsid w:val="009219B6"/>
    <w:rsid w:val="009229E9"/>
    <w:rsid w:val="00922DFE"/>
    <w:rsid w:val="0092314D"/>
    <w:rsid w:val="009232BF"/>
    <w:rsid w:val="009238B2"/>
    <w:rsid w:val="00924811"/>
    <w:rsid w:val="00924893"/>
    <w:rsid w:val="00924C65"/>
    <w:rsid w:val="00924EA1"/>
    <w:rsid w:val="00926660"/>
    <w:rsid w:val="009269C2"/>
    <w:rsid w:val="00926C8B"/>
    <w:rsid w:val="00927557"/>
    <w:rsid w:val="0093025F"/>
    <w:rsid w:val="00931630"/>
    <w:rsid w:val="00931A1C"/>
    <w:rsid w:val="00931B18"/>
    <w:rsid w:val="00931DD1"/>
    <w:rsid w:val="0093378B"/>
    <w:rsid w:val="00933875"/>
    <w:rsid w:val="00935A12"/>
    <w:rsid w:val="00936427"/>
    <w:rsid w:val="00937525"/>
    <w:rsid w:val="00937A67"/>
    <w:rsid w:val="00940012"/>
    <w:rsid w:val="009402EB"/>
    <w:rsid w:val="00940813"/>
    <w:rsid w:val="009416A6"/>
    <w:rsid w:val="0094276D"/>
    <w:rsid w:val="00942C03"/>
    <w:rsid w:val="00944EE1"/>
    <w:rsid w:val="00945E2C"/>
    <w:rsid w:val="00945F64"/>
    <w:rsid w:val="009465E2"/>
    <w:rsid w:val="00947082"/>
    <w:rsid w:val="00950853"/>
    <w:rsid w:val="009509FF"/>
    <w:rsid w:val="00950A07"/>
    <w:rsid w:val="00950C1D"/>
    <w:rsid w:val="00950CC5"/>
    <w:rsid w:val="00950DF2"/>
    <w:rsid w:val="0095107B"/>
    <w:rsid w:val="009521CF"/>
    <w:rsid w:val="00952CF1"/>
    <w:rsid w:val="00953428"/>
    <w:rsid w:val="00953834"/>
    <w:rsid w:val="00953DE1"/>
    <w:rsid w:val="00954419"/>
    <w:rsid w:val="009549AC"/>
    <w:rsid w:val="00955E2A"/>
    <w:rsid w:val="00955F09"/>
    <w:rsid w:val="00956CDA"/>
    <w:rsid w:val="00957769"/>
    <w:rsid w:val="00960A82"/>
    <w:rsid w:val="009618F2"/>
    <w:rsid w:val="00962456"/>
    <w:rsid w:val="009632C8"/>
    <w:rsid w:val="00963BC6"/>
    <w:rsid w:val="00963CEA"/>
    <w:rsid w:val="00964D3B"/>
    <w:rsid w:val="0096500D"/>
    <w:rsid w:val="0096636E"/>
    <w:rsid w:val="00967B6F"/>
    <w:rsid w:val="0097269A"/>
    <w:rsid w:val="00972F6D"/>
    <w:rsid w:val="009746CA"/>
    <w:rsid w:val="0097486A"/>
    <w:rsid w:val="00974C6C"/>
    <w:rsid w:val="00975012"/>
    <w:rsid w:val="00975519"/>
    <w:rsid w:val="00975720"/>
    <w:rsid w:val="00975DB7"/>
    <w:rsid w:val="00975DCD"/>
    <w:rsid w:val="00975F3E"/>
    <w:rsid w:val="00976612"/>
    <w:rsid w:val="00977BB9"/>
    <w:rsid w:val="00980912"/>
    <w:rsid w:val="00980B69"/>
    <w:rsid w:val="00980E5F"/>
    <w:rsid w:val="009813F3"/>
    <w:rsid w:val="00982E22"/>
    <w:rsid w:val="009837AB"/>
    <w:rsid w:val="00985B5E"/>
    <w:rsid w:val="0098602C"/>
    <w:rsid w:val="00986669"/>
    <w:rsid w:val="00986B44"/>
    <w:rsid w:val="00986FEF"/>
    <w:rsid w:val="00987453"/>
    <w:rsid w:val="00987787"/>
    <w:rsid w:val="009901F9"/>
    <w:rsid w:val="00990501"/>
    <w:rsid w:val="00990B08"/>
    <w:rsid w:val="00990E52"/>
    <w:rsid w:val="00991FB1"/>
    <w:rsid w:val="00992679"/>
    <w:rsid w:val="00992C0B"/>
    <w:rsid w:val="00993689"/>
    <w:rsid w:val="00993BCB"/>
    <w:rsid w:val="00993D09"/>
    <w:rsid w:val="00993D7B"/>
    <w:rsid w:val="00993E13"/>
    <w:rsid w:val="00994DA5"/>
    <w:rsid w:val="00994EC4"/>
    <w:rsid w:val="00995812"/>
    <w:rsid w:val="00995AEB"/>
    <w:rsid w:val="00995BD9"/>
    <w:rsid w:val="00995DE3"/>
    <w:rsid w:val="00995E58"/>
    <w:rsid w:val="00996170"/>
    <w:rsid w:val="00996286"/>
    <w:rsid w:val="0099659C"/>
    <w:rsid w:val="009966F2"/>
    <w:rsid w:val="009973E5"/>
    <w:rsid w:val="009A0F92"/>
    <w:rsid w:val="009A178C"/>
    <w:rsid w:val="009A1A39"/>
    <w:rsid w:val="009A2D0C"/>
    <w:rsid w:val="009A42FB"/>
    <w:rsid w:val="009A4799"/>
    <w:rsid w:val="009A56EF"/>
    <w:rsid w:val="009A5798"/>
    <w:rsid w:val="009A5B4D"/>
    <w:rsid w:val="009A5B80"/>
    <w:rsid w:val="009A6289"/>
    <w:rsid w:val="009A651F"/>
    <w:rsid w:val="009A69B4"/>
    <w:rsid w:val="009A6A1E"/>
    <w:rsid w:val="009A6CB4"/>
    <w:rsid w:val="009A7138"/>
    <w:rsid w:val="009A75CB"/>
    <w:rsid w:val="009A76A1"/>
    <w:rsid w:val="009A79BF"/>
    <w:rsid w:val="009B03AA"/>
    <w:rsid w:val="009B042D"/>
    <w:rsid w:val="009B1A84"/>
    <w:rsid w:val="009B242C"/>
    <w:rsid w:val="009B24B3"/>
    <w:rsid w:val="009B27C4"/>
    <w:rsid w:val="009B2D07"/>
    <w:rsid w:val="009B2E40"/>
    <w:rsid w:val="009B31A3"/>
    <w:rsid w:val="009B35D3"/>
    <w:rsid w:val="009B378A"/>
    <w:rsid w:val="009B3B7C"/>
    <w:rsid w:val="009B4282"/>
    <w:rsid w:val="009B42A6"/>
    <w:rsid w:val="009B5070"/>
    <w:rsid w:val="009B5153"/>
    <w:rsid w:val="009B60D9"/>
    <w:rsid w:val="009B677C"/>
    <w:rsid w:val="009C0434"/>
    <w:rsid w:val="009C2A1D"/>
    <w:rsid w:val="009C3540"/>
    <w:rsid w:val="009C416F"/>
    <w:rsid w:val="009C486B"/>
    <w:rsid w:val="009C4B02"/>
    <w:rsid w:val="009C4B67"/>
    <w:rsid w:val="009C6683"/>
    <w:rsid w:val="009C687D"/>
    <w:rsid w:val="009C6FE1"/>
    <w:rsid w:val="009C71D4"/>
    <w:rsid w:val="009C7B1B"/>
    <w:rsid w:val="009D01D4"/>
    <w:rsid w:val="009D0BD4"/>
    <w:rsid w:val="009D0CBA"/>
    <w:rsid w:val="009D175A"/>
    <w:rsid w:val="009D2596"/>
    <w:rsid w:val="009D297F"/>
    <w:rsid w:val="009D2FF1"/>
    <w:rsid w:val="009D3A79"/>
    <w:rsid w:val="009D45C9"/>
    <w:rsid w:val="009D4EE2"/>
    <w:rsid w:val="009D53C3"/>
    <w:rsid w:val="009D53EF"/>
    <w:rsid w:val="009D5833"/>
    <w:rsid w:val="009D5A24"/>
    <w:rsid w:val="009D60D4"/>
    <w:rsid w:val="009D7B1A"/>
    <w:rsid w:val="009E02B9"/>
    <w:rsid w:val="009E1B05"/>
    <w:rsid w:val="009E2925"/>
    <w:rsid w:val="009E2E8B"/>
    <w:rsid w:val="009E3E72"/>
    <w:rsid w:val="009E4D16"/>
    <w:rsid w:val="009E52D5"/>
    <w:rsid w:val="009E5458"/>
    <w:rsid w:val="009E5547"/>
    <w:rsid w:val="009E57E2"/>
    <w:rsid w:val="009E6403"/>
    <w:rsid w:val="009E69B3"/>
    <w:rsid w:val="009E7A86"/>
    <w:rsid w:val="009E7C02"/>
    <w:rsid w:val="009E7CEB"/>
    <w:rsid w:val="009F12E2"/>
    <w:rsid w:val="009F269B"/>
    <w:rsid w:val="009F293D"/>
    <w:rsid w:val="009F2C66"/>
    <w:rsid w:val="009F3989"/>
    <w:rsid w:val="009F3F52"/>
    <w:rsid w:val="009F4344"/>
    <w:rsid w:val="009F466F"/>
    <w:rsid w:val="009F47C8"/>
    <w:rsid w:val="009F48A3"/>
    <w:rsid w:val="009F5813"/>
    <w:rsid w:val="009F669B"/>
    <w:rsid w:val="009F7088"/>
    <w:rsid w:val="009F7ADC"/>
    <w:rsid w:val="009F7E49"/>
    <w:rsid w:val="00A00F78"/>
    <w:rsid w:val="00A02A1A"/>
    <w:rsid w:val="00A02F00"/>
    <w:rsid w:val="00A0319E"/>
    <w:rsid w:val="00A032D6"/>
    <w:rsid w:val="00A034A5"/>
    <w:rsid w:val="00A03AD0"/>
    <w:rsid w:val="00A03E29"/>
    <w:rsid w:val="00A04760"/>
    <w:rsid w:val="00A0511A"/>
    <w:rsid w:val="00A059A0"/>
    <w:rsid w:val="00A05F72"/>
    <w:rsid w:val="00A06F09"/>
    <w:rsid w:val="00A07979"/>
    <w:rsid w:val="00A1017F"/>
    <w:rsid w:val="00A11121"/>
    <w:rsid w:val="00A1145D"/>
    <w:rsid w:val="00A11EDC"/>
    <w:rsid w:val="00A12070"/>
    <w:rsid w:val="00A122F5"/>
    <w:rsid w:val="00A13D75"/>
    <w:rsid w:val="00A1427E"/>
    <w:rsid w:val="00A143FA"/>
    <w:rsid w:val="00A15ACE"/>
    <w:rsid w:val="00A1709E"/>
    <w:rsid w:val="00A171A1"/>
    <w:rsid w:val="00A17289"/>
    <w:rsid w:val="00A17348"/>
    <w:rsid w:val="00A1790B"/>
    <w:rsid w:val="00A17FC9"/>
    <w:rsid w:val="00A20304"/>
    <w:rsid w:val="00A20878"/>
    <w:rsid w:val="00A209EB"/>
    <w:rsid w:val="00A20EDB"/>
    <w:rsid w:val="00A21194"/>
    <w:rsid w:val="00A21377"/>
    <w:rsid w:val="00A22152"/>
    <w:rsid w:val="00A221D9"/>
    <w:rsid w:val="00A22551"/>
    <w:rsid w:val="00A22F81"/>
    <w:rsid w:val="00A232D8"/>
    <w:rsid w:val="00A237CA"/>
    <w:rsid w:val="00A238B4"/>
    <w:rsid w:val="00A23D1C"/>
    <w:rsid w:val="00A23E40"/>
    <w:rsid w:val="00A2479A"/>
    <w:rsid w:val="00A24990"/>
    <w:rsid w:val="00A249E7"/>
    <w:rsid w:val="00A2598B"/>
    <w:rsid w:val="00A25C52"/>
    <w:rsid w:val="00A25FB6"/>
    <w:rsid w:val="00A2680C"/>
    <w:rsid w:val="00A26DEE"/>
    <w:rsid w:val="00A271AB"/>
    <w:rsid w:val="00A272EF"/>
    <w:rsid w:val="00A27524"/>
    <w:rsid w:val="00A30302"/>
    <w:rsid w:val="00A30424"/>
    <w:rsid w:val="00A30CCB"/>
    <w:rsid w:val="00A325F7"/>
    <w:rsid w:val="00A32EBF"/>
    <w:rsid w:val="00A32F07"/>
    <w:rsid w:val="00A33187"/>
    <w:rsid w:val="00A33982"/>
    <w:rsid w:val="00A33EEC"/>
    <w:rsid w:val="00A34B34"/>
    <w:rsid w:val="00A35039"/>
    <w:rsid w:val="00A350B4"/>
    <w:rsid w:val="00A35774"/>
    <w:rsid w:val="00A35B69"/>
    <w:rsid w:val="00A36069"/>
    <w:rsid w:val="00A37038"/>
    <w:rsid w:val="00A37DEA"/>
    <w:rsid w:val="00A41082"/>
    <w:rsid w:val="00A4226A"/>
    <w:rsid w:val="00A42588"/>
    <w:rsid w:val="00A42700"/>
    <w:rsid w:val="00A42D85"/>
    <w:rsid w:val="00A4379F"/>
    <w:rsid w:val="00A43D51"/>
    <w:rsid w:val="00A45E51"/>
    <w:rsid w:val="00A46112"/>
    <w:rsid w:val="00A46507"/>
    <w:rsid w:val="00A467BD"/>
    <w:rsid w:val="00A46A73"/>
    <w:rsid w:val="00A46BCF"/>
    <w:rsid w:val="00A46C4C"/>
    <w:rsid w:val="00A50116"/>
    <w:rsid w:val="00A50A9A"/>
    <w:rsid w:val="00A5127B"/>
    <w:rsid w:val="00A519A4"/>
    <w:rsid w:val="00A52DF2"/>
    <w:rsid w:val="00A542F0"/>
    <w:rsid w:val="00A545B5"/>
    <w:rsid w:val="00A54ABB"/>
    <w:rsid w:val="00A55272"/>
    <w:rsid w:val="00A554C0"/>
    <w:rsid w:val="00A55B69"/>
    <w:rsid w:val="00A55CFE"/>
    <w:rsid w:val="00A5678A"/>
    <w:rsid w:val="00A56AAD"/>
    <w:rsid w:val="00A57002"/>
    <w:rsid w:val="00A570A3"/>
    <w:rsid w:val="00A57197"/>
    <w:rsid w:val="00A57A00"/>
    <w:rsid w:val="00A60E9C"/>
    <w:rsid w:val="00A61368"/>
    <w:rsid w:val="00A616B8"/>
    <w:rsid w:val="00A61B2A"/>
    <w:rsid w:val="00A61FA3"/>
    <w:rsid w:val="00A6249D"/>
    <w:rsid w:val="00A62957"/>
    <w:rsid w:val="00A62A26"/>
    <w:rsid w:val="00A62D0A"/>
    <w:rsid w:val="00A639E1"/>
    <w:rsid w:val="00A64A5B"/>
    <w:rsid w:val="00A64EF5"/>
    <w:rsid w:val="00A64F58"/>
    <w:rsid w:val="00A652AA"/>
    <w:rsid w:val="00A66574"/>
    <w:rsid w:val="00A67531"/>
    <w:rsid w:val="00A704A1"/>
    <w:rsid w:val="00A7097B"/>
    <w:rsid w:val="00A709EB"/>
    <w:rsid w:val="00A70DE6"/>
    <w:rsid w:val="00A70E86"/>
    <w:rsid w:val="00A71579"/>
    <w:rsid w:val="00A718E9"/>
    <w:rsid w:val="00A71A58"/>
    <w:rsid w:val="00A71A9A"/>
    <w:rsid w:val="00A71E94"/>
    <w:rsid w:val="00A7219B"/>
    <w:rsid w:val="00A73690"/>
    <w:rsid w:val="00A73868"/>
    <w:rsid w:val="00A73CDA"/>
    <w:rsid w:val="00A73EAB"/>
    <w:rsid w:val="00A74138"/>
    <w:rsid w:val="00A74C9D"/>
    <w:rsid w:val="00A7517D"/>
    <w:rsid w:val="00A75419"/>
    <w:rsid w:val="00A76D7F"/>
    <w:rsid w:val="00A770BF"/>
    <w:rsid w:val="00A77310"/>
    <w:rsid w:val="00A77894"/>
    <w:rsid w:val="00A80234"/>
    <w:rsid w:val="00A80579"/>
    <w:rsid w:val="00A8060A"/>
    <w:rsid w:val="00A80A5B"/>
    <w:rsid w:val="00A823BD"/>
    <w:rsid w:val="00A82B13"/>
    <w:rsid w:val="00A82C56"/>
    <w:rsid w:val="00A82C9C"/>
    <w:rsid w:val="00A82EAC"/>
    <w:rsid w:val="00A83A39"/>
    <w:rsid w:val="00A841DA"/>
    <w:rsid w:val="00A84E72"/>
    <w:rsid w:val="00A85E47"/>
    <w:rsid w:val="00A86191"/>
    <w:rsid w:val="00A86501"/>
    <w:rsid w:val="00A866D2"/>
    <w:rsid w:val="00A8702B"/>
    <w:rsid w:val="00A8704A"/>
    <w:rsid w:val="00A87F72"/>
    <w:rsid w:val="00A904D9"/>
    <w:rsid w:val="00A917C0"/>
    <w:rsid w:val="00A919EF"/>
    <w:rsid w:val="00A92C21"/>
    <w:rsid w:val="00A9378B"/>
    <w:rsid w:val="00A93826"/>
    <w:rsid w:val="00A938C4"/>
    <w:rsid w:val="00A93D0D"/>
    <w:rsid w:val="00A93D5C"/>
    <w:rsid w:val="00A95019"/>
    <w:rsid w:val="00A9554A"/>
    <w:rsid w:val="00A96707"/>
    <w:rsid w:val="00A96DE7"/>
    <w:rsid w:val="00A97723"/>
    <w:rsid w:val="00A978E8"/>
    <w:rsid w:val="00AA130D"/>
    <w:rsid w:val="00AA29C4"/>
    <w:rsid w:val="00AA3D20"/>
    <w:rsid w:val="00AA3ED2"/>
    <w:rsid w:val="00AA41AF"/>
    <w:rsid w:val="00AA4F05"/>
    <w:rsid w:val="00AA5073"/>
    <w:rsid w:val="00AA570A"/>
    <w:rsid w:val="00AA5F1E"/>
    <w:rsid w:val="00AA5FA4"/>
    <w:rsid w:val="00AA70EF"/>
    <w:rsid w:val="00AB07D3"/>
    <w:rsid w:val="00AB1EC9"/>
    <w:rsid w:val="00AB1EDA"/>
    <w:rsid w:val="00AB27A9"/>
    <w:rsid w:val="00AB2828"/>
    <w:rsid w:val="00AB2840"/>
    <w:rsid w:val="00AB301A"/>
    <w:rsid w:val="00AB32B5"/>
    <w:rsid w:val="00AB33F4"/>
    <w:rsid w:val="00AB362D"/>
    <w:rsid w:val="00AB3CF6"/>
    <w:rsid w:val="00AB416F"/>
    <w:rsid w:val="00AB4ADA"/>
    <w:rsid w:val="00AB4B1D"/>
    <w:rsid w:val="00AB50A2"/>
    <w:rsid w:val="00AB55D9"/>
    <w:rsid w:val="00AB5F62"/>
    <w:rsid w:val="00AB6D3A"/>
    <w:rsid w:val="00AB7672"/>
    <w:rsid w:val="00AB7D21"/>
    <w:rsid w:val="00AC0C96"/>
    <w:rsid w:val="00AC10F5"/>
    <w:rsid w:val="00AC11C2"/>
    <w:rsid w:val="00AC11C6"/>
    <w:rsid w:val="00AC1650"/>
    <w:rsid w:val="00AC1A90"/>
    <w:rsid w:val="00AC2A51"/>
    <w:rsid w:val="00AC2A6A"/>
    <w:rsid w:val="00AC38EB"/>
    <w:rsid w:val="00AC44AC"/>
    <w:rsid w:val="00AC463A"/>
    <w:rsid w:val="00AC5ECA"/>
    <w:rsid w:val="00AC6A07"/>
    <w:rsid w:val="00AC740F"/>
    <w:rsid w:val="00AC74D3"/>
    <w:rsid w:val="00AC769C"/>
    <w:rsid w:val="00AC7CA4"/>
    <w:rsid w:val="00AD0441"/>
    <w:rsid w:val="00AD0C8F"/>
    <w:rsid w:val="00AD11D6"/>
    <w:rsid w:val="00AD17A8"/>
    <w:rsid w:val="00AD2C95"/>
    <w:rsid w:val="00AD341D"/>
    <w:rsid w:val="00AD4B24"/>
    <w:rsid w:val="00AD4FC0"/>
    <w:rsid w:val="00AD5206"/>
    <w:rsid w:val="00AD52F3"/>
    <w:rsid w:val="00AD53C7"/>
    <w:rsid w:val="00AD56CC"/>
    <w:rsid w:val="00AD5CA6"/>
    <w:rsid w:val="00AD6454"/>
    <w:rsid w:val="00AD6497"/>
    <w:rsid w:val="00AD66A4"/>
    <w:rsid w:val="00AD717E"/>
    <w:rsid w:val="00AD71B4"/>
    <w:rsid w:val="00AD7A60"/>
    <w:rsid w:val="00AD7F5D"/>
    <w:rsid w:val="00AD7F66"/>
    <w:rsid w:val="00AE087D"/>
    <w:rsid w:val="00AE1020"/>
    <w:rsid w:val="00AE26F1"/>
    <w:rsid w:val="00AE2EA2"/>
    <w:rsid w:val="00AE33A5"/>
    <w:rsid w:val="00AE38EF"/>
    <w:rsid w:val="00AE3A82"/>
    <w:rsid w:val="00AE4B78"/>
    <w:rsid w:val="00AE52B2"/>
    <w:rsid w:val="00AE5822"/>
    <w:rsid w:val="00AE590F"/>
    <w:rsid w:val="00AE6965"/>
    <w:rsid w:val="00AE6A4D"/>
    <w:rsid w:val="00AE6CD4"/>
    <w:rsid w:val="00AE7AE4"/>
    <w:rsid w:val="00AF11F8"/>
    <w:rsid w:val="00AF1B2B"/>
    <w:rsid w:val="00AF3D86"/>
    <w:rsid w:val="00AF3DF8"/>
    <w:rsid w:val="00AF4A54"/>
    <w:rsid w:val="00AF59D4"/>
    <w:rsid w:val="00AF5A35"/>
    <w:rsid w:val="00AF634C"/>
    <w:rsid w:val="00AF647B"/>
    <w:rsid w:val="00AF6EA1"/>
    <w:rsid w:val="00AF7238"/>
    <w:rsid w:val="00AF77DD"/>
    <w:rsid w:val="00AF7E21"/>
    <w:rsid w:val="00B00068"/>
    <w:rsid w:val="00B00405"/>
    <w:rsid w:val="00B004C6"/>
    <w:rsid w:val="00B0128F"/>
    <w:rsid w:val="00B01435"/>
    <w:rsid w:val="00B016B2"/>
    <w:rsid w:val="00B01EB2"/>
    <w:rsid w:val="00B02860"/>
    <w:rsid w:val="00B02D12"/>
    <w:rsid w:val="00B02DB2"/>
    <w:rsid w:val="00B02E37"/>
    <w:rsid w:val="00B046DC"/>
    <w:rsid w:val="00B04C25"/>
    <w:rsid w:val="00B06291"/>
    <w:rsid w:val="00B068EB"/>
    <w:rsid w:val="00B069B2"/>
    <w:rsid w:val="00B06B54"/>
    <w:rsid w:val="00B07292"/>
    <w:rsid w:val="00B07524"/>
    <w:rsid w:val="00B105CE"/>
    <w:rsid w:val="00B10CA1"/>
    <w:rsid w:val="00B11487"/>
    <w:rsid w:val="00B1159C"/>
    <w:rsid w:val="00B12513"/>
    <w:rsid w:val="00B14389"/>
    <w:rsid w:val="00B1502E"/>
    <w:rsid w:val="00B156CB"/>
    <w:rsid w:val="00B15B83"/>
    <w:rsid w:val="00B1613F"/>
    <w:rsid w:val="00B161AF"/>
    <w:rsid w:val="00B16D3F"/>
    <w:rsid w:val="00B171E1"/>
    <w:rsid w:val="00B172F1"/>
    <w:rsid w:val="00B20EA1"/>
    <w:rsid w:val="00B21EDD"/>
    <w:rsid w:val="00B22A1A"/>
    <w:rsid w:val="00B235D1"/>
    <w:rsid w:val="00B2386A"/>
    <w:rsid w:val="00B24C03"/>
    <w:rsid w:val="00B25101"/>
    <w:rsid w:val="00B251D5"/>
    <w:rsid w:val="00B25280"/>
    <w:rsid w:val="00B262E1"/>
    <w:rsid w:val="00B26E82"/>
    <w:rsid w:val="00B26F23"/>
    <w:rsid w:val="00B275D6"/>
    <w:rsid w:val="00B2765D"/>
    <w:rsid w:val="00B30BC2"/>
    <w:rsid w:val="00B312B3"/>
    <w:rsid w:val="00B318AB"/>
    <w:rsid w:val="00B323C3"/>
    <w:rsid w:val="00B330F2"/>
    <w:rsid w:val="00B33EE5"/>
    <w:rsid w:val="00B341EA"/>
    <w:rsid w:val="00B34D4B"/>
    <w:rsid w:val="00B34D5B"/>
    <w:rsid w:val="00B35525"/>
    <w:rsid w:val="00B358AD"/>
    <w:rsid w:val="00B35F45"/>
    <w:rsid w:val="00B363CB"/>
    <w:rsid w:val="00B373D8"/>
    <w:rsid w:val="00B374B9"/>
    <w:rsid w:val="00B41339"/>
    <w:rsid w:val="00B41A3A"/>
    <w:rsid w:val="00B4326C"/>
    <w:rsid w:val="00B4391C"/>
    <w:rsid w:val="00B43B89"/>
    <w:rsid w:val="00B4417B"/>
    <w:rsid w:val="00B447C8"/>
    <w:rsid w:val="00B450CD"/>
    <w:rsid w:val="00B45505"/>
    <w:rsid w:val="00B4551B"/>
    <w:rsid w:val="00B45FF3"/>
    <w:rsid w:val="00B508E4"/>
    <w:rsid w:val="00B50C9F"/>
    <w:rsid w:val="00B51583"/>
    <w:rsid w:val="00B51A62"/>
    <w:rsid w:val="00B51B0F"/>
    <w:rsid w:val="00B51F0A"/>
    <w:rsid w:val="00B528F9"/>
    <w:rsid w:val="00B52ACC"/>
    <w:rsid w:val="00B52F7E"/>
    <w:rsid w:val="00B5362F"/>
    <w:rsid w:val="00B54D2E"/>
    <w:rsid w:val="00B5545A"/>
    <w:rsid w:val="00B55531"/>
    <w:rsid w:val="00B5583D"/>
    <w:rsid w:val="00B55B61"/>
    <w:rsid w:val="00B55EF3"/>
    <w:rsid w:val="00B617CC"/>
    <w:rsid w:val="00B61E7C"/>
    <w:rsid w:val="00B61E92"/>
    <w:rsid w:val="00B625DE"/>
    <w:rsid w:val="00B62C8C"/>
    <w:rsid w:val="00B636F3"/>
    <w:rsid w:val="00B64025"/>
    <w:rsid w:val="00B6429B"/>
    <w:rsid w:val="00B653F0"/>
    <w:rsid w:val="00B65539"/>
    <w:rsid w:val="00B656CF"/>
    <w:rsid w:val="00B65932"/>
    <w:rsid w:val="00B65A71"/>
    <w:rsid w:val="00B66DB3"/>
    <w:rsid w:val="00B67367"/>
    <w:rsid w:val="00B700DC"/>
    <w:rsid w:val="00B70328"/>
    <w:rsid w:val="00B72409"/>
    <w:rsid w:val="00B730B9"/>
    <w:rsid w:val="00B7353B"/>
    <w:rsid w:val="00B737AB"/>
    <w:rsid w:val="00B73C52"/>
    <w:rsid w:val="00B74B3D"/>
    <w:rsid w:val="00B74D2B"/>
    <w:rsid w:val="00B75612"/>
    <w:rsid w:val="00B76261"/>
    <w:rsid w:val="00B768AC"/>
    <w:rsid w:val="00B77EA5"/>
    <w:rsid w:val="00B82151"/>
    <w:rsid w:val="00B82CC5"/>
    <w:rsid w:val="00B833A2"/>
    <w:rsid w:val="00B836B6"/>
    <w:rsid w:val="00B83E03"/>
    <w:rsid w:val="00B84435"/>
    <w:rsid w:val="00B86487"/>
    <w:rsid w:val="00B866C5"/>
    <w:rsid w:val="00B86A42"/>
    <w:rsid w:val="00B87A4A"/>
    <w:rsid w:val="00B90700"/>
    <w:rsid w:val="00B913BF"/>
    <w:rsid w:val="00B9314A"/>
    <w:rsid w:val="00B93639"/>
    <w:rsid w:val="00B94513"/>
    <w:rsid w:val="00B946C6"/>
    <w:rsid w:val="00B94B2C"/>
    <w:rsid w:val="00B94E8D"/>
    <w:rsid w:val="00B95F0C"/>
    <w:rsid w:val="00B966D7"/>
    <w:rsid w:val="00B96C65"/>
    <w:rsid w:val="00B97826"/>
    <w:rsid w:val="00B97E8B"/>
    <w:rsid w:val="00BA0076"/>
    <w:rsid w:val="00BA0079"/>
    <w:rsid w:val="00BA04AC"/>
    <w:rsid w:val="00BA4C24"/>
    <w:rsid w:val="00BA4D96"/>
    <w:rsid w:val="00BA5D58"/>
    <w:rsid w:val="00BA6AFF"/>
    <w:rsid w:val="00BA6DF5"/>
    <w:rsid w:val="00BA736F"/>
    <w:rsid w:val="00BB078B"/>
    <w:rsid w:val="00BB08AD"/>
    <w:rsid w:val="00BB0A88"/>
    <w:rsid w:val="00BB0D14"/>
    <w:rsid w:val="00BB0DD6"/>
    <w:rsid w:val="00BB0EF2"/>
    <w:rsid w:val="00BB0F97"/>
    <w:rsid w:val="00BB1249"/>
    <w:rsid w:val="00BB212D"/>
    <w:rsid w:val="00BB269D"/>
    <w:rsid w:val="00BB2FB8"/>
    <w:rsid w:val="00BB3126"/>
    <w:rsid w:val="00BB31E4"/>
    <w:rsid w:val="00BB4B62"/>
    <w:rsid w:val="00BB4ED0"/>
    <w:rsid w:val="00BB5B81"/>
    <w:rsid w:val="00BB662A"/>
    <w:rsid w:val="00BB668E"/>
    <w:rsid w:val="00BB6854"/>
    <w:rsid w:val="00BB6B53"/>
    <w:rsid w:val="00BB79AE"/>
    <w:rsid w:val="00BB7B94"/>
    <w:rsid w:val="00BC013B"/>
    <w:rsid w:val="00BC02EE"/>
    <w:rsid w:val="00BC035A"/>
    <w:rsid w:val="00BC0976"/>
    <w:rsid w:val="00BC147B"/>
    <w:rsid w:val="00BC1660"/>
    <w:rsid w:val="00BC175B"/>
    <w:rsid w:val="00BC1933"/>
    <w:rsid w:val="00BC198B"/>
    <w:rsid w:val="00BC22AD"/>
    <w:rsid w:val="00BC29DF"/>
    <w:rsid w:val="00BC2B58"/>
    <w:rsid w:val="00BC354A"/>
    <w:rsid w:val="00BC3BC3"/>
    <w:rsid w:val="00BC40E8"/>
    <w:rsid w:val="00BC410C"/>
    <w:rsid w:val="00BC44E0"/>
    <w:rsid w:val="00BC48AC"/>
    <w:rsid w:val="00BC4BFA"/>
    <w:rsid w:val="00BC5FD0"/>
    <w:rsid w:val="00BC60A1"/>
    <w:rsid w:val="00BC68F5"/>
    <w:rsid w:val="00BC6D20"/>
    <w:rsid w:val="00BC73D4"/>
    <w:rsid w:val="00BC7B84"/>
    <w:rsid w:val="00BD01DB"/>
    <w:rsid w:val="00BD03DB"/>
    <w:rsid w:val="00BD0894"/>
    <w:rsid w:val="00BD1785"/>
    <w:rsid w:val="00BD1A37"/>
    <w:rsid w:val="00BD21A2"/>
    <w:rsid w:val="00BD2EE0"/>
    <w:rsid w:val="00BD33BC"/>
    <w:rsid w:val="00BD33CE"/>
    <w:rsid w:val="00BD35D2"/>
    <w:rsid w:val="00BD3D4E"/>
    <w:rsid w:val="00BD44D5"/>
    <w:rsid w:val="00BD4689"/>
    <w:rsid w:val="00BD4AAA"/>
    <w:rsid w:val="00BD5EFD"/>
    <w:rsid w:val="00BD67B1"/>
    <w:rsid w:val="00BD702F"/>
    <w:rsid w:val="00BD75F6"/>
    <w:rsid w:val="00BD7BB3"/>
    <w:rsid w:val="00BE0A55"/>
    <w:rsid w:val="00BE18A3"/>
    <w:rsid w:val="00BE19A7"/>
    <w:rsid w:val="00BE26FE"/>
    <w:rsid w:val="00BE2E17"/>
    <w:rsid w:val="00BE379B"/>
    <w:rsid w:val="00BE381E"/>
    <w:rsid w:val="00BE3BA2"/>
    <w:rsid w:val="00BE4A3D"/>
    <w:rsid w:val="00BE5E49"/>
    <w:rsid w:val="00BE5F44"/>
    <w:rsid w:val="00BE60FC"/>
    <w:rsid w:val="00BE6F30"/>
    <w:rsid w:val="00BE79DE"/>
    <w:rsid w:val="00BF02D1"/>
    <w:rsid w:val="00BF0CCC"/>
    <w:rsid w:val="00BF1357"/>
    <w:rsid w:val="00BF1F5D"/>
    <w:rsid w:val="00BF2361"/>
    <w:rsid w:val="00BF29D4"/>
    <w:rsid w:val="00BF2ACB"/>
    <w:rsid w:val="00BF36A6"/>
    <w:rsid w:val="00BF3DD2"/>
    <w:rsid w:val="00BF44C7"/>
    <w:rsid w:val="00BF4B82"/>
    <w:rsid w:val="00BF59C3"/>
    <w:rsid w:val="00BF5A37"/>
    <w:rsid w:val="00BF615E"/>
    <w:rsid w:val="00BF65F9"/>
    <w:rsid w:val="00BF6BE0"/>
    <w:rsid w:val="00BF6E3B"/>
    <w:rsid w:val="00BF72BF"/>
    <w:rsid w:val="00C00148"/>
    <w:rsid w:val="00C00706"/>
    <w:rsid w:val="00C0144F"/>
    <w:rsid w:val="00C018AC"/>
    <w:rsid w:val="00C018AF"/>
    <w:rsid w:val="00C01B67"/>
    <w:rsid w:val="00C02383"/>
    <w:rsid w:val="00C0249B"/>
    <w:rsid w:val="00C0350E"/>
    <w:rsid w:val="00C0404E"/>
    <w:rsid w:val="00C0432E"/>
    <w:rsid w:val="00C046ED"/>
    <w:rsid w:val="00C04FA7"/>
    <w:rsid w:val="00C051D4"/>
    <w:rsid w:val="00C056F0"/>
    <w:rsid w:val="00C0770D"/>
    <w:rsid w:val="00C0795F"/>
    <w:rsid w:val="00C07C48"/>
    <w:rsid w:val="00C10381"/>
    <w:rsid w:val="00C10970"/>
    <w:rsid w:val="00C122FA"/>
    <w:rsid w:val="00C12697"/>
    <w:rsid w:val="00C127FE"/>
    <w:rsid w:val="00C133F0"/>
    <w:rsid w:val="00C1341B"/>
    <w:rsid w:val="00C139E5"/>
    <w:rsid w:val="00C157DB"/>
    <w:rsid w:val="00C163ED"/>
    <w:rsid w:val="00C16A5A"/>
    <w:rsid w:val="00C17469"/>
    <w:rsid w:val="00C1751F"/>
    <w:rsid w:val="00C1783A"/>
    <w:rsid w:val="00C20342"/>
    <w:rsid w:val="00C20B8C"/>
    <w:rsid w:val="00C21972"/>
    <w:rsid w:val="00C21F9E"/>
    <w:rsid w:val="00C23A55"/>
    <w:rsid w:val="00C24898"/>
    <w:rsid w:val="00C2504B"/>
    <w:rsid w:val="00C259B8"/>
    <w:rsid w:val="00C25A5A"/>
    <w:rsid w:val="00C25CD8"/>
    <w:rsid w:val="00C26F7E"/>
    <w:rsid w:val="00C27E63"/>
    <w:rsid w:val="00C302A0"/>
    <w:rsid w:val="00C30705"/>
    <w:rsid w:val="00C31031"/>
    <w:rsid w:val="00C3151A"/>
    <w:rsid w:val="00C3182E"/>
    <w:rsid w:val="00C32A46"/>
    <w:rsid w:val="00C32B41"/>
    <w:rsid w:val="00C333A0"/>
    <w:rsid w:val="00C335D8"/>
    <w:rsid w:val="00C33BAE"/>
    <w:rsid w:val="00C3644F"/>
    <w:rsid w:val="00C37075"/>
    <w:rsid w:val="00C37AA8"/>
    <w:rsid w:val="00C40C53"/>
    <w:rsid w:val="00C40F0A"/>
    <w:rsid w:val="00C411A1"/>
    <w:rsid w:val="00C41629"/>
    <w:rsid w:val="00C41E44"/>
    <w:rsid w:val="00C42352"/>
    <w:rsid w:val="00C42F4F"/>
    <w:rsid w:val="00C431EE"/>
    <w:rsid w:val="00C439DA"/>
    <w:rsid w:val="00C43CA0"/>
    <w:rsid w:val="00C44273"/>
    <w:rsid w:val="00C44A5F"/>
    <w:rsid w:val="00C44BD3"/>
    <w:rsid w:val="00C452A9"/>
    <w:rsid w:val="00C455ED"/>
    <w:rsid w:val="00C45CA7"/>
    <w:rsid w:val="00C45E75"/>
    <w:rsid w:val="00C4675E"/>
    <w:rsid w:val="00C46F23"/>
    <w:rsid w:val="00C5019A"/>
    <w:rsid w:val="00C516FD"/>
    <w:rsid w:val="00C52A2E"/>
    <w:rsid w:val="00C53A17"/>
    <w:rsid w:val="00C53CC1"/>
    <w:rsid w:val="00C54211"/>
    <w:rsid w:val="00C542EE"/>
    <w:rsid w:val="00C54550"/>
    <w:rsid w:val="00C546E4"/>
    <w:rsid w:val="00C54A33"/>
    <w:rsid w:val="00C54CE4"/>
    <w:rsid w:val="00C5678F"/>
    <w:rsid w:val="00C574AB"/>
    <w:rsid w:val="00C57F47"/>
    <w:rsid w:val="00C61496"/>
    <w:rsid w:val="00C62193"/>
    <w:rsid w:val="00C6238D"/>
    <w:rsid w:val="00C63060"/>
    <w:rsid w:val="00C63371"/>
    <w:rsid w:val="00C636FE"/>
    <w:rsid w:val="00C637B7"/>
    <w:rsid w:val="00C63BB4"/>
    <w:rsid w:val="00C64F74"/>
    <w:rsid w:val="00C6598D"/>
    <w:rsid w:val="00C669E0"/>
    <w:rsid w:val="00C705D3"/>
    <w:rsid w:val="00C7150D"/>
    <w:rsid w:val="00C71575"/>
    <w:rsid w:val="00C71917"/>
    <w:rsid w:val="00C722A8"/>
    <w:rsid w:val="00C726A1"/>
    <w:rsid w:val="00C72BED"/>
    <w:rsid w:val="00C7499C"/>
    <w:rsid w:val="00C749E4"/>
    <w:rsid w:val="00C7549A"/>
    <w:rsid w:val="00C75802"/>
    <w:rsid w:val="00C76DAC"/>
    <w:rsid w:val="00C76FFB"/>
    <w:rsid w:val="00C77043"/>
    <w:rsid w:val="00C771DE"/>
    <w:rsid w:val="00C77AD0"/>
    <w:rsid w:val="00C77DC0"/>
    <w:rsid w:val="00C80169"/>
    <w:rsid w:val="00C809C1"/>
    <w:rsid w:val="00C80E6F"/>
    <w:rsid w:val="00C8124F"/>
    <w:rsid w:val="00C81CF8"/>
    <w:rsid w:val="00C831E4"/>
    <w:rsid w:val="00C836AA"/>
    <w:rsid w:val="00C8443E"/>
    <w:rsid w:val="00C8465A"/>
    <w:rsid w:val="00C846E2"/>
    <w:rsid w:val="00C84C2C"/>
    <w:rsid w:val="00C85A21"/>
    <w:rsid w:val="00C85CAF"/>
    <w:rsid w:val="00C86397"/>
    <w:rsid w:val="00C86634"/>
    <w:rsid w:val="00C86677"/>
    <w:rsid w:val="00C86DEE"/>
    <w:rsid w:val="00C87177"/>
    <w:rsid w:val="00C874D9"/>
    <w:rsid w:val="00C87516"/>
    <w:rsid w:val="00C87E49"/>
    <w:rsid w:val="00C9078D"/>
    <w:rsid w:val="00C90ACC"/>
    <w:rsid w:val="00C9119A"/>
    <w:rsid w:val="00C91A43"/>
    <w:rsid w:val="00C926D4"/>
    <w:rsid w:val="00C92FD3"/>
    <w:rsid w:val="00C937B5"/>
    <w:rsid w:val="00C93B03"/>
    <w:rsid w:val="00C93D77"/>
    <w:rsid w:val="00C93D97"/>
    <w:rsid w:val="00C946B5"/>
    <w:rsid w:val="00C95BF9"/>
    <w:rsid w:val="00C961EB"/>
    <w:rsid w:val="00C96760"/>
    <w:rsid w:val="00C9780D"/>
    <w:rsid w:val="00C97C8B"/>
    <w:rsid w:val="00C97F04"/>
    <w:rsid w:val="00CA02F5"/>
    <w:rsid w:val="00CA08BA"/>
    <w:rsid w:val="00CA0DEF"/>
    <w:rsid w:val="00CA11D8"/>
    <w:rsid w:val="00CA169B"/>
    <w:rsid w:val="00CA1718"/>
    <w:rsid w:val="00CA199D"/>
    <w:rsid w:val="00CA22A6"/>
    <w:rsid w:val="00CA26F9"/>
    <w:rsid w:val="00CA2711"/>
    <w:rsid w:val="00CA286E"/>
    <w:rsid w:val="00CA343D"/>
    <w:rsid w:val="00CA36D4"/>
    <w:rsid w:val="00CA3BBF"/>
    <w:rsid w:val="00CA3CBB"/>
    <w:rsid w:val="00CA3EE2"/>
    <w:rsid w:val="00CA3FD3"/>
    <w:rsid w:val="00CA41F7"/>
    <w:rsid w:val="00CA4482"/>
    <w:rsid w:val="00CA4F8F"/>
    <w:rsid w:val="00CA5C42"/>
    <w:rsid w:val="00CA60B3"/>
    <w:rsid w:val="00CA6E64"/>
    <w:rsid w:val="00CA7A92"/>
    <w:rsid w:val="00CA7C15"/>
    <w:rsid w:val="00CB0163"/>
    <w:rsid w:val="00CB0B1E"/>
    <w:rsid w:val="00CB1DC6"/>
    <w:rsid w:val="00CB32A2"/>
    <w:rsid w:val="00CB32BF"/>
    <w:rsid w:val="00CB3478"/>
    <w:rsid w:val="00CB36D5"/>
    <w:rsid w:val="00CB3811"/>
    <w:rsid w:val="00CB39E6"/>
    <w:rsid w:val="00CB66ED"/>
    <w:rsid w:val="00CB682D"/>
    <w:rsid w:val="00CC0AEE"/>
    <w:rsid w:val="00CC114D"/>
    <w:rsid w:val="00CC1924"/>
    <w:rsid w:val="00CC1FBA"/>
    <w:rsid w:val="00CC22EB"/>
    <w:rsid w:val="00CC300F"/>
    <w:rsid w:val="00CC32D2"/>
    <w:rsid w:val="00CC379A"/>
    <w:rsid w:val="00CC3B4E"/>
    <w:rsid w:val="00CC3C1F"/>
    <w:rsid w:val="00CC4392"/>
    <w:rsid w:val="00CC4CC5"/>
    <w:rsid w:val="00CC4D58"/>
    <w:rsid w:val="00CC53D6"/>
    <w:rsid w:val="00CC590E"/>
    <w:rsid w:val="00CC5D36"/>
    <w:rsid w:val="00CC5ED3"/>
    <w:rsid w:val="00CC5FA0"/>
    <w:rsid w:val="00CC6298"/>
    <w:rsid w:val="00CC6FDF"/>
    <w:rsid w:val="00CC7759"/>
    <w:rsid w:val="00CC78AA"/>
    <w:rsid w:val="00CC7A3C"/>
    <w:rsid w:val="00CD0094"/>
    <w:rsid w:val="00CD01F9"/>
    <w:rsid w:val="00CD0EFA"/>
    <w:rsid w:val="00CD0F10"/>
    <w:rsid w:val="00CD173E"/>
    <w:rsid w:val="00CD23C2"/>
    <w:rsid w:val="00CD276C"/>
    <w:rsid w:val="00CD2865"/>
    <w:rsid w:val="00CD3023"/>
    <w:rsid w:val="00CD3E46"/>
    <w:rsid w:val="00CD4095"/>
    <w:rsid w:val="00CD47AC"/>
    <w:rsid w:val="00CD4E04"/>
    <w:rsid w:val="00CD5AE0"/>
    <w:rsid w:val="00CD7409"/>
    <w:rsid w:val="00CD771C"/>
    <w:rsid w:val="00CD7CCD"/>
    <w:rsid w:val="00CD7E3E"/>
    <w:rsid w:val="00CE0587"/>
    <w:rsid w:val="00CE15AD"/>
    <w:rsid w:val="00CE1B91"/>
    <w:rsid w:val="00CE1C4E"/>
    <w:rsid w:val="00CE2BCD"/>
    <w:rsid w:val="00CE32A3"/>
    <w:rsid w:val="00CE3336"/>
    <w:rsid w:val="00CE33CE"/>
    <w:rsid w:val="00CE51CD"/>
    <w:rsid w:val="00CF0257"/>
    <w:rsid w:val="00CF042D"/>
    <w:rsid w:val="00CF0A14"/>
    <w:rsid w:val="00CF0C21"/>
    <w:rsid w:val="00CF0D3E"/>
    <w:rsid w:val="00CF12A8"/>
    <w:rsid w:val="00CF1574"/>
    <w:rsid w:val="00CF1EC5"/>
    <w:rsid w:val="00CF2587"/>
    <w:rsid w:val="00CF3DC0"/>
    <w:rsid w:val="00CF43FC"/>
    <w:rsid w:val="00CF512E"/>
    <w:rsid w:val="00CF550B"/>
    <w:rsid w:val="00CF5A9D"/>
    <w:rsid w:val="00CF67AB"/>
    <w:rsid w:val="00CF6A32"/>
    <w:rsid w:val="00CF6C41"/>
    <w:rsid w:val="00CF73F2"/>
    <w:rsid w:val="00CF7C33"/>
    <w:rsid w:val="00D00ACB"/>
    <w:rsid w:val="00D017F0"/>
    <w:rsid w:val="00D01E99"/>
    <w:rsid w:val="00D033A1"/>
    <w:rsid w:val="00D036C9"/>
    <w:rsid w:val="00D03FF7"/>
    <w:rsid w:val="00D040E8"/>
    <w:rsid w:val="00D04C3B"/>
    <w:rsid w:val="00D04DD5"/>
    <w:rsid w:val="00D05CAA"/>
    <w:rsid w:val="00D062AC"/>
    <w:rsid w:val="00D064F8"/>
    <w:rsid w:val="00D06D32"/>
    <w:rsid w:val="00D07F16"/>
    <w:rsid w:val="00D10BF6"/>
    <w:rsid w:val="00D13C6B"/>
    <w:rsid w:val="00D13F74"/>
    <w:rsid w:val="00D142B7"/>
    <w:rsid w:val="00D155EE"/>
    <w:rsid w:val="00D15715"/>
    <w:rsid w:val="00D163C7"/>
    <w:rsid w:val="00D1738F"/>
    <w:rsid w:val="00D178EC"/>
    <w:rsid w:val="00D17D24"/>
    <w:rsid w:val="00D20A4F"/>
    <w:rsid w:val="00D20A6A"/>
    <w:rsid w:val="00D211E5"/>
    <w:rsid w:val="00D214EE"/>
    <w:rsid w:val="00D21757"/>
    <w:rsid w:val="00D223EF"/>
    <w:rsid w:val="00D22C10"/>
    <w:rsid w:val="00D2354A"/>
    <w:rsid w:val="00D23891"/>
    <w:rsid w:val="00D240B8"/>
    <w:rsid w:val="00D26855"/>
    <w:rsid w:val="00D26885"/>
    <w:rsid w:val="00D26F78"/>
    <w:rsid w:val="00D2756B"/>
    <w:rsid w:val="00D27CA1"/>
    <w:rsid w:val="00D309C9"/>
    <w:rsid w:val="00D30CEC"/>
    <w:rsid w:val="00D31837"/>
    <w:rsid w:val="00D3268E"/>
    <w:rsid w:val="00D330D5"/>
    <w:rsid w:val="00D331E1"/>
    <w:rsid w:val="00D335C1"/>
    <w:rsid w:val="00D33985"/>
    <w:rsid w:val="00D339F4"/>
    <w:rsid w:val="00D33A97"/>
    <w:rsid w:val="00D33B78"/>
    <w:rsid w:val="00D344B6"/>
    <w:rsid w:val="00D3472E"/>
    <w:rsid w:val="00D34B6F"/>
    <w:rsid w:val="00D35678"/>
    <w:rsid w:val="00D366B0"/>
    <w:rsid w:val="00D36F8A"/>
    <w:rsid w:val="00D37444"/>
    <w:rsid w:val="00D40313"/>
    <w:rsid w:val="00D406B3"/>
    <w:rsid w:val="00D40733"/>
    <w:rsid w:val="00D40831"/>
    <w:rsid w:val="00D40E0A"/>
    <w:rsid w:val="00D40E41"/>
    <w:rsid w:val="00D40E8C"/>
    <w:rsid w:val="00D40E99"/>
    <w:rsid w:val="00D416B4"/>
    <w:rsid w:val="00D41890"/>
    <w:rsid w:val="00D41C63"/>
    <w:rsid w:val="00D42654"/>
    <w:rsid w:val="00D4296B"/>
    <w:rsid w:val="00D42E2E"/>
    <w:rsid w:val="00D43E93"/>
    <w:rsid w:val="00D44DCD"/>
    <w:rsid w:val="00D4551A"/>
    <w:rsid w:val="00D46986"/>
    <w:rsid w:val="00D4707C"/>
    <w:rsid w:val="00D475E4"/>
    <w:rsid w:val="00D4794F"/>
    <w:rsid w:val="00D47C4C"/>
    <w:rsid w:val="00D50064"/>
    <w:rsid w:val="00D501C6"/>
    <w:rsid w:val="00D505FB"/>
    <w:rsid w:val="00D50864"/>
    <w:rsid w:val="00D50FBF"/>
    <w:rsid w:val="00D51B08"/>
    <w:rsid w:val="00D529E0"/>
    <w:rsid w:val="00D52D4A"/>
    <w:rsid w:val="00D531F9"/>
    <w:rsid w:val="00D53A8F"/>
    <w:rsid w:val="00D540D5"/>
    <w:rsid w:val="00D5419C"/>
    <w:rsid w:val="00D54205"/>
    <w:rsid w:val="00D5505A"/>
    <w:rsid w:val="00D558DF"/>
    <w:rsid w:val="00D55ADF"/>
    <w:rsid w:val="00D55F7E"/>
    <w:rsid w:val="00D56653"/>
    <w:rsid w:val="00D600AB"/>
    <w:rsid w:val="00D605F4"/>
    <w:rsid w:val="00D616B2"/>
    <w:rsid w:val="00D624F3"/>
    <w:rsid w:val="00D62793"/>
    <w:rsid w:val="00D62983"/>
    <w:rsid w:val="00D62B02"/>
    <w:rsid w:val="00D62B63"/>
    <w:rsid w:val="00D63230"/>
    <w:rsid w:val="00D63242"/>
    <w:rsid w:val="00D64D83"/>
    <w:rsid w:val="00D64E8F"/>
    <w:rsid w:val="00D64F8A"/>
    <w:rsid w:val="00D65FE3"/>
    <w:rsid w:val="00D66CA0"/>
    <w:rsid w:val="00D66CE4"/>
    <w:rsid w:val="00D66E26"/>
    <w:rsid w:val="00D67E46"/>
    <w:rsid w:val="00D7019D"/>
    <w:rsid w:val="00D714E4"/>
    <w:rsid w:val="00D717F0"/>
    <w:rsid w:val="00D725DA"/>
    <w:rsid w:val="00D72606"/>
    <w:rsid w:val="00D729A8"/>
    <w:rsid w:val="00D72FE4"/>
    <w:rsid w:val="00D73AE0"/>
    <w:rsid w:val="00D7481B"/>
    <w:rsid w:val="00D74E29"/>
    <w:rsid w:val="00D7505F"/>
    <w:rsid w:val="00D755CD"/>
    <w:rsid w:val="00D75677"/>
    <w:rsid w:val="00D75789"/>
    <w:rsid w:val="00D75889"/>
    <w:rsid w:val="00D76252"/>
    <w:rsid w:val="00D76885"/>
    <w:rsid w:val="00D76C32"/>
    <w:rsid w:val="00D80189"/>
    <w:rsid w:val="00D806D0"/>
    <w:rsid w:val="00D81790"/>
    <w:rsid w:val="00D8189C"/>
    <w:rsid w:val="00D82224"/>
    <w:rsid w:val="00D82E53"/>
    <w:rsid w:val="00D83EB5"/>
    <w:rsid w:val="00D844E3"/>
    <w:rsid w:val="00D8491C"/>
    <w:rsid w:val="00D869F7"/>
    <w:rsid w:val="00D87C7A"/>
    <w:rsid w:val="00D87EC8"/>
    <w:rsid w:val="00D87F19"/>
    <w:rsid w:val="00D91683"/>
    <w:rsid w:val="00D92521"/>
    <w:rsid w:val="00D9472A"/>
    <w:rsid w:val="00D948A6"/>
    <w:rsid w:val="00D95039"/>
    <w:rsid w:val="00D95427"/>
    <w:rsid w:val="00D95612"/>
    <w:rsid w:val="00D95F88"/>
    <w:rsid w:val="00D96EAA"/>
    <w:rsid w:val="00D96F2A"/>
    <w:rsid w:val="00D96FC9"/>
    <w:rsid w:val="00D97279"/>
    <w:rsid w:val="00D972EF"/>
    <w:rsid w:val="00D976FC"/>
    <w:rsid w:val="00D9777D"/>
    <w:rsid w:val="00D97C3B"/>
    <w:rsid w:val="00D97F2C"/>
    <w:rsid w:val="00DA00CC"/>
    <w:rsid w:val="00DA0621"/>
    <w:rsid w:val="00DA0FED"/>
    <w:rsid w:val="00DA12CC"/>
    <w:rsid w:val="00DA1399"/>
    <w:rsid w:val="00DA14DC"/>
    <w:rsid w:val="00DA1CB2"/>
    <w:rsid w:val="00DA2A4A"/>
    <w:rsid w:val="00DA3194"/>
    <w:rsid w:val="00DA4632"/>
    <w:rsid w:val="00DA466E"/>
    <w:rsid w:val="00DA5033"/>
    <w:rsid w:val="00DA5F18"/>
    <w:rsid w:val="00DA75BF"/>
    <w:rsid w:val="00DA7839"/>
    <w:rsid w:val="00DA7EF2"/>
    <w:rsid w:val="00DB0A9F"/>
    <w:rsid w:val="00DB16AD"/>
    <w:rsid w:val="00DB1724"/>
    <w:rsid w:val="00DB1A31"/>
    <w:rsid w:val="00DB1C1B"/>
    <w:rsid w:val="00DB1CE0"/>
    <w:rsid w:val="00DB1DFA"/>
    <w:rsid w:val="00DB2506"/>
    <w:rsid w:val="00DB288F"/>
    <w:rsid w:val="00DB2C4E"/>
    <w:rsid w:val="00DB2E93"/>
    <w:rsid w:val="00DB3458"/>
    <w:rsid w:val="00DB3770"/>
    <w:rsid w:val="00DB39C3"/>
    <w:rsid w:val="00DB4194"/>
    <w:rsid w:val="00DB4688"/>
    <w:rsid w:val="00DB51DA"/>
    <w:rsid w:val="00DB56D4"/>
    <w:rsid w:val="00DB5D56"/>
    <w:rsid w:val="00DB6230"/>
    <w:rsid w:val="00DB74E0"/>
    <w:rsid w:val="00DB77B6"/>
    <w:rsid w:val="00DB7A08"/>
    <w:rsid w:val="00DC0131"/>
    <w:rsid w:val="00DC0290"/>
    <w:rsid w:val="00DC02D0"/>
    <w:rsid w:val="00DC046D"/>
    <w:rsid w:val="00DC0BDB"/>
    <w:rsid w:val="00DC15C0"/>
    <w:rsid w:val="00DC190D"/>
    <w:rsid w:val="00DC215F"/>
    <w:rsid w:val="00DC2590"/>
    <w:rsid w:val="00DC2B10"/>
    <w:rsid w:val="00DC2DF5"/>
    <w:rsid w:val="00DC2EC3"/>
    <w:rsid w:val="00DC30C2"/>
    <w:rsid w:val="00DC4237"/>
    <w:rsid w:val="00DC4485"/>
    <w:rsid w:val="00DC493D"/>
    <w:rsid w:val="00DC5A81"/>
    <w:rsid w:val="00DC5F18"/>
    <w:rsid w:val="00DC64F4"/>
    <w:rsid w:val="00DC7090"/>
    <w:rsid w:val="00DC794C"/>
    <w:rsid w:val="00DC7E1D"/>
    <w:rsid w:val="00DD0CE5"/>
    <w:rsid w:val="00DD232E"/>
    <w:rsid w:val="00DD25BC"/>
    <w:rsid w:val="00DD3217"/>
    <w:rsid w:val="00DD4911"/>
    <w:rsid w:val="00DD5111"/>
    <w:rsid w:val="00DD5DE6"/>
    <w:rsid w:val="00DD61A9"/>
    <w:rsid w:val="00DD650B"/>
    <w:rsid w:val="00DD659A"/>
    <w:rsid w:val="00DD65E2"/>
    <w:rsid w:val="00DD69B4"/>
    <w:rsid w:val="00DD76EE"/>
    <w:rsid w:val="00DD7FFB"/>
    <w:rsid w:val="00DE08E6"/>
    <w:rsid w:val="00DE0F49"/>
    <w:rsid w:val="00DE0F85"/>
    <w:rsid w:val="00DE1041"/>
    <w:rsid w:val="00DE12CD"/>
    <w:rsid w:val="00DE21CB"/>
    <w:rsid w:val="00DE406B"/>
    <w:rsid w:val="00DE4613"/>
    <w:rsid w:val="00DE4636"/>
    <w:rsid w:val="00DE571D"/>
    <w:rsid w:val="00DE580F"/>
    <w:rsid w:val="00DE5C5C"/>
    <w:rsid w:val="00DE640D"/>
    <w:rsid w:val="00DE6C8A"/>
    <w:rsid w:val="00DE6C9B"/>
    <w:rsid w:val="00DE7123"/>
    <w:rsid w:val="00DE7812"/>
    <w:rsid w:val="00DE7CB0"/>
    <w:rsid w:val="00DE7E13"/>
    <w:rsid w:val="00DF14DF"/>
    <w:rsid w:val="00DF20A4"/>
    <w:rsid w:val="00DF2115"/>
    <w:rsid w:val="00DF43C4"/>
    <w:rsid w:val="00DF5524"/>
    <w:rsid w:val="00DF557A"/>
    <w:rsid w:val="00DF5ECA"/>
    <w:rsid w:val="00DF5FB2"/>
    <w:rsid w:val="00DF6A52"/>
    <w:rsid w:val="00DF6C91"/>
    <w:rsid w:val="00DF6FA2"/>
    <w:rsid w:val="00DF71CF"/>
    <w:rsid w:val="00DF76B7"/>
    <w:rsid w:val="00DF7803"/>
    <w:rsid w:val="00DF7833"/>
    <w:rsid w:val="00DF7AFE"/>
    <w:rsid w:val="00DF7EB9"/>
    <w:rsid w:val="00E0059F"/>
    <w:rsid w:val="00E0070F"/>
    <w:rsid w:val="00E01212"/>
    <w:rsid w:val="00E01574"/>
    <w:rsid w:val="00E01652"/>
    <w:rsid w:val="00E01F09"/>
    <w:rsid w:val="00E01FAC"/>
    <w:rsid w:val="00E023B7"/>
    <w:rsid w:val="00E0291D"/>
    <w:rsid w:val="00E0316F"/>
    <w:rsid w:val="00E03941"/>
    <w:rsid w:val="00E03AEC"/>
    <w:rsid w:val="00E03B42"/>
    <w:rsid w:val="00E03DEF"/>
    <w:rsid w:val="00E03F76"/>
    <w:rsid w:val="00E0455F"/>
    <w:rsid w:val="00E04A71"/>
    <w:rsid w:val="00E04F97"/>
    <w:rsid w:val="00E055B6"/>
    <w:rsid w:val="00E064B2"/>
    <w:rsid w:val="00E06852"/>
    <w:rsid w:val="00E07486"/>
    <w:rsid w:val="00E10038"/>
    <w:rsid w:val="00E104BC"/>
    <w:rsid w:val="00E10757"/>
    <w:rsid w:val="00E135C5"/>
    <w:rsid w:val="00E13828"/>
    <w:rsid w:val="00E1568B"/>
    <w:rsid w:val="00E1568F"/>
    <w:rsid w:val="00E177BD"/>
    <w:rsid w:val="00E17942"/>
    <w:rsid w:val="00E17EB5"/>
    <w:rsid w:val="00E17F01"/>
    <w:rsid w:val="00E203D6"/>
    <w:rsid w:val="00E20D56"/>
    <w:rsid w:val="00E20FE6"/>
    <w:rsid w:val="00E21729"/>
    <w:rsid w:val="00E21E6D"/>
    <w:rsid w:val="00E22010"/>
    <w:rsid w:val="00E22EA3"/>
    <w:rsid w:val="00E2406E"/>
    <w:rsid w:val="00E2456A"/>
    <w:rsid w:val="00E25F52"/>
    <w:rsid w:val="00E273A0"/>
    <w:rsid w:val="00E300ED"/>
    <w:rsid w:val="00E30203"/>
    <w:rsid w:val="00E3070B"/>
    <w:rsid w:val="00E3112A"/>
    <w:rsid w:val="00E319A5"/>
    <w:rsid w:val="00E32A94"/>
    <w:rsid w:val="00E32E4D"/>
    <w:rsid w:val="00E3321E"/>
    <w:rsid w:val="00E337F9"/>
    <w:rsid w:val="00E3390E"/>
    <w:rsid w:val="00E33F71"/>
    <w:rsid w:val="00E343B1"/>
    <w:rsid w:val="00E34784"/>
    <w:rsid w:val="00E34EDD"/>
    <w:rsid w:val="00E3533B"/>
    <w:rsid w:val="00E357AB"/>
    <w:rsid w:val="00E35D64"/>
    <w:rsid w:val="00E3705E"/>
    <w:rsid w:val="00E37783"/>
    <w:rsid w:val="00E37829"/>
    <w:rsid w:val="00E37BED"/>
    <w:rsid w:val="00E37E7A"/>
    <w:rsid w:val="00E4328A"/>
    <w:rsid w:val="00E436E9"/>
    <w:rsid w:val="00E436F1"/>
    <w:rsid w:val="00E442CB"/>
    <w:rsid w:val="00E44A76"/>
    <w:rsid w:val="00E45235"/>
    <w:rsid w:val="00E45687"/>
    <w:rsid w:val="00E461BE"/>
    <w:rsid w:val="00E46771"/>
    <w:rsid w:val="00E47503"/>
    <w:rsid w:val="00E50139"/>
    <w:rsid w:val="00E51B2D"/>
    <w:rsid w:val="00E52F93"/>
    <w:rsid w:val="00E541EB"/>
    <w:rsid w:val="00E542B7"/>
    <w:rsid w:val="00E54AB0"/>
    <w:rsid w:val="00E5607E"/>
    <w:rsid w:val="00E560B5"/>
    <w:rsid w:val="00E5713B"/>
    <w:rsid w:val="00E5789A"/>
    <w:rsid w:val="00E57BB4"/>
    <w:rsid w:val="00E60F28"/>
    <w:rsid w:val="00E6227C"/>
    <w:rsid w:val="00E62DD1"/>
    <w:rsid w:val="00E64676"/>
    <w:rsid w:val="00E64789"/>
    <w:rsid w:val="00E6498D"/>
    <w:rsid w:val="00E649A0"/>
    <w:rsid w:val="00E650E3"/>
    <w:rsid w:val="00E662EB"/>
    <w:rsid w:val="00E67B42"/>
    <w:rsid w:val="00E7064A"/>
    <w:rsid w:val="00E70863"/>
    <w:rsid w:val="00E708A6"/>
    <w:rsid w:val="00E71121"/>
    <w:rsid w:val="00E72276"/>
    <w:rsid w:val="00E7347F"/>
    <w:rsid w:val="00E73B94"/>
    <w:rsid w:val="00E73CDF"/>
    <w:rsid w:val="00E75382"/>
    <w:rsid w:val="00E75BD8"/>
    <w:rsid w:val="00E76464"/>
    <w:rsid w:val="00E800E8"/>
    <w:rsid w:val="00E80988"/>
    <w:rsid w:val="00E80F84"/>
    <w:rsid w:val="00E813D8"/>
    <w:rsid w:val="00E822FD"/>
    <w:rsid w:val="00E8260C"/>
    <w:rsid w:val="00E827AF"/>
    <w:rsid w:val="00E82C40"/>
    <w:rsid w:val="00E83A09"/>
    <w:rsid w:val="00E83BAB"/>
    <w:rsid w:val="00E84730"/>
    <w:rsid w:val="00E855AB"/>
    <w:rsid w:val="00E86124"/>
    <w:rsid w:val="00E861A2"/>
    <w:rsid w:val="00E862A2"/>
    <w:rsid w:val="00E86687"/>
    <w:rsid w:val="00E87355"/>
    <w:rsid w:val="00E87BBD"/>
    <w:rsid w:val="00E913E4"/>
    <w:rsid w:val="00E91F2D"/>
    <w:rsid w:val="00E92A9D"/>
    <w:rsid w:val="00E92CBF"/>
    <w:rsid w:val="00E932D1"/>
    <w:rsid w:val="00E93EF7"/>
    <w:rsid w:val="00E942ED"/>
    <w:rsid w:val="00E94433"/>
    <w:rsid w:val="00E94A92"/>
    <w:rsid w:val="00E94D2A"/>
    <w:rsid w:val="00E95C25"/>
    <w:rsid w:val="00E960AE"/>
    <w:rsid w:val="00E96128"/>
    <w:rsid w:val="00E9646F"/>
    <w:rsid w:val="00E96D1A"/>
    <w:rsid w:val="00E97628"/>
    <w:rsid w:val="00E977C5"/>
    <w:rsid w:val="00EA03E2"/>
    <w:rsid w:val="00EA0713"/>
    <w:rsid w:val="00EA17A2"/>
    <w:rsid w:val="00EA188F"/>
    <w:rsid w:val="00EA214F"/>
    <w:rsid w:val="00EA21CE"/>
    <w:rsid w:val="00EA285A"/>
    <w:rsid w:val="00EA3727"/>
    <w:rsid w:val="00EA410A"/>
    <w:rsid w:val="00EA43E5"/>
    <w:rsid w:val="00EA4A4E"/>
    <w:rsid w:val="00EA5321"/>
    <w:rsid w:val="00EA58FA"/>
    <w:rsid w:val="00EA5ED3"/>
    <w:rsid w:val="00EA5F70"/>
    <w:rsid w:val="00EA6626"/>
    <w:rsid w:val="00EA668C"/>
    <w:rsid w:val="00EA7EE2"/>
    <w:rsid w:val="00EB00B0"/>
    <w:rsid w:val="00EB0579"/>
    <w:rsid w:val="00EB2229"/>
    <w:rsid w:val="00EB2E67"/>
    <w:rsid w:val="00EB3CE2"/>
    <w:rsid w:val="00EB3DA6"/>
    <w:rsid w:val="00EB461D"/>
    <w:rsid w:val="00EB46D9"/>
    <w:rsid w:val="00EB476D"/>
    <w:rsid w:val="00EB57EA"/>
    <w:rsid w:val="00EB5855"/>
    <w:rsid w:val="00EB7ADF"/>
    <w:rsid w:val="00EC0BE7"/>
    <w:rsid w:val="00EC1147"/>
    <w:rsid w:val="00EC1501"/>
    <w:rsid w:val="00EC17C8"/>
    <w:rsid w:val="00EC1A07"/>
    <w:rsid w:val="00EC1A2D"/>
    <w:rsid w:val="00EC24B6"/>
    <w:rsid w:val="00EC2E4A"/>
    <w:rsid w:val="00EC3255"/>
    <w:rsid w:val="00EC36A9"/>
    <w:rsid w:val="00EC38ED"/>
    <w:rsid w:val="00EC4073"/>
    <w:rsid w:val="00EC4954"/>
    <w:rsid w:val="00EC503E"/>
    <w:rsid w:val="00EC5604"/>
    <w:rsid w:val="00EC57FE"/>
    <w:rsid w:val="00EC6634"/>
    <w:rsid w:val="00EC693B"/>
    <w:rsid w:val="00EC7A8E"/>
    <w:rsid w:val="00EC7B09"/>
    <w:rsid w:val="00EC7F3C"/>
    <w:rsid w:val="00ED0518"/>
    <w:rsid w:val="00ED062F"/>
    <w:rsid w:val="00ED08A7"/>
    <w:rsid w:val="00ED2018"/>
    <w:rsid w:val="00ED27FB"/>
    <w:rsid w:val="00ED30B6"/>
    <w:rsid w:val="00ED39D0"/>
    <w:rsid w:val="00ED4809"/>
    <w:rsid w:val="00ED4DF6"/>
    <w:rsid w:val="00ED5283"/>
    <w:rsid w:val="00ED6223"/>
    <w:rsid w:val="00ED72BB"/>
    <w:rsid w:val="00ED7A86"/>
    <w:rsid w:val="00ED7DC4"/>
    <w:rsid w:val="00EE2091"/>
    <w:rsid w:val="00EE219F"/>
    <w:rsid w:val="00EE3D8F"/>
    <w:rsid w:val="00EE40BF"/>
    <w:rsid w:val="00EE4851"/>
    <w:rsid w:val="00EE51B5"/>
    <w:rsid w:val="00EE62BE"/>
    <w:rsid w:val="00EE63BD"/>
    <w:rsid w:val="00EE72DF"/>
    <w:rsid w:val="00EE7671"/>
    <w:rsid w:val="00EE7AA7"/>
    <w:rsid w:val="00EF0F48"/>
    <w:rsid w:val="00EF16AD"/>
    <w:rsid w:val="00EF278B"/>
    <w:rsid w:val="00EF2F0A"/>
    <w:rsid w:val="00EF3512"/>
    <w:rsid w:val="00EF376F"/>
    <w:rsid w:val="00EF4003"/>
    <w:rsid w:val="00EF5741"/>
    <w:rsid w:val="00EF5B4F"/>
    <w:rsid w:val="00EF64C0"/>
    <w:rsid w:val="00F007B4"/>
    <w:rsid w:val="00F00A4C"/>
    <w:rsid w:val="00F01167"/>
    <w:rsid w:val="00F013F3"/>
    <w:rsid w:val="00F02425"/>
    <w:rsid w:val="00F02467"/>
    <w:rsid w:val="00F02D7E"/>
    <w:rsid w:val="00F0312E"/>
    <w:rsid w:val="00F036B1"/>
    <w:rsid w:val="00F0396F"/>
    <w:rsid w:val="00F0485C"/>
    <w:rsid w:val="00F04A7F"/>
    <w:rsid w:val="00F056E2"/>
    <w:rsid w:val="00F057F2"/>
    <w:rsid w:val="00F05955"/>
    <w:rsid w:val="00F05BA8"/>
    <w:rsid w:val="00F06C12"/>
    <w:rsid w:val="00F06F6C"/>
    <w:rsid w:val="00F07677"/>
    <w:rsid w:val="00F0772F"/>
    <w:rsid w:val="00F1022F"/>
    <w:rsid w:val="00F1059E"/>
    <w:rsid w:val="00F1061A"/>
    <w:rsid w:val="00F10774"/>
    <w:rsid w:val="00F109B2"/>
    <w:rsid w:val="00F10F94"/>
    <w:rsid w:val="00F1176C"/>
    <w:rsid w:val="00F13BC6"/>
    <w:rsid w:val="00F1429F"/>
    <w:rsid w:val="00F1441F"/>
    <w:rsid w:val="00F144B5"/>
    <w:rsid w:val="00F154B3"/>
    <w:rsid w:val="00F1619E"/>
    <w:rsid w:val="00F16566"/>
    <w:rsid w:val="00F16FD3"/>
    <w:rsid w:val="00F20575"/>
    <w:rsid w:val="00F21071"/>
    <w:rsid w:val="00F211A2"/>
    <w:rsid w:val="00F21284"/>
    <w:rsid w:val="00F224E5"/>
    <w:rsid w:val="00F225BD"/>
    <w:rsid w:val="00F22D18"/>
    <w:rsid w:val="00F23DD7"/>
    <w:rsid w:val="00F24187"/>
    <w:rsid w:val="00F243D3"/>
    <w:rsid w:val="00F24BDD"/>
    <w:rsid w:val="00F255D7"/>
    <w:rsid w:val="00F2582E"/>
    <w:rsid w:val="00F259FA"/>
    <w:rsid w:val="00F25F53"/>
    <w:rsid w:val="00F26418"/>
    <w:rsid w:val="00F275DA"/>
    <w:rsid w:val="00F279A8"/>
    <w:rsid w:val="00F27B8C"/>
    <w:rsid w:val="00F301DA"/>
    <w:rsid w:val="00F30475"/>
    <w:rsid w:val="00F30B4C"/>
    <w:rsid w:val="00F313FD"/>
    <w:rsid w:val="00F33050"/>
    <w:rsid w:val="00F3360D"/>
    <w:rsid w:val="00F3389F"/>
    <w:rsid w:val="00F340F8"/>
    <w:rsid w:val="00F3518D"/>
    <w:rsid w:val="00F35CDB"/>
    <w:rsid w:val="00F35D08"/>
    <w:rsid w:val="00F36676"/>
    <w:rsid w:val="00F36725"/>
    <w:rsid w:val="00F36A06"/>
    <w:rsid w:val="00F36A6D"/>
    <w:rsid w:val="00F3737F"/>
    <w:rsid w:val="00F37394"/>
    <w:rsid w:val="00F376D1"/>
    <w:rsid w:val="00F37DA2"/>
    <w:rsid w:val="00F403CB"/>
    <w:rsid w:val="00F40410"/>
    <w:rsid w:val="00F41540"/>
    <w:rsid w:val="00F41882"/>
    <w:rsid w:val="00F41D40"/>
    <w:rsid w:val="00F421D1"/>
    <w:rsid w:val="00F42555"/>
    <w:rsid w:val="00F43478"/>
    <w:rsid w:val="00F43ACC"/>
    <w:rsid w:val="00F45824"/>
    <w:rsid w:val="00F45B4D"/>
    <w:rsid w:val="00F46229"/>
    <w:rsid w:val="00F46A1E"/>
    <w:rsid w:val="00F46DD5"/>
    <w:rsid w:val="00F46F27"/>
    <w:rsid w:val="00F50D41"/>
    <w:rsid w:val="00F5118C"/>
    <w:rsid w:val="00F514AA"/>
    <w:rsid w:val="00F51F28"/>
    <w:rsid w:val="00F528EC"/>
    <w:rsid w:val="00F52D39"/>
    <w:rsid w:val="00F52D80"/>
    <w:rsid w:val="00F52E7A"/>
    <w:rsid w:val="00F53202"/>
    <w:rsid w:val="00F532EA"/>
    <w:rsid w:val="00F53629"/>
    <w:rsid w:val="00F537D5"/>
    <w:rsid w:val="00F5459F"/>
    <w:rsid w:val="00F55D4D"/>
    <w:rsid w:val="00F569E5"/>
    <w:rsid w:val="00F5707E"/>
    <w:rsid w:val="00F570F8"/>
    <w:rsid w:val="00F5719D"/>
    <w:rsid w:val="00F573BC"/>
    <w:rsid w:val="00F57966"/>
    <w:rsid w:val="00F6020E"/>
    <w:rsid w:val="00F6085F"/>
    <w:rsid w:val="00F61889"/>
    <w:rsid w:val="00F63EBD"/>
    <w:rsid w:val="00F641CB"/>
    <w:rsid w:val="00F64D1A"/>
    <w:rsid w:val="00F64F9A"/>
    <w:rsid w:val="00F65476"/>
    <w:rsid w:val="00F65687"/>
    <w:rsid w:val="00F65781"/>
    <w:rsid w:val="00F664E9"/>
    <w:rsid w:val="00F668EA"/>
    <w:rsid w:val="00F66DCF"/>
    <w:rsid w:val="00F66EF2"/>
    <w:rsid w:val="00F67ABF"/>
    <w:rsid w:val="00F7053E"/>
    <w:rsid w:val="00F708B7"/>
    <w:rsid w:val="00F70AAD"/>
    <w:rsid w:val="00F713AF"/>
    <w:rsid w:val="00F71B50"/>
    <w:rsid w:val="00F72AA5"/>
    <w:rsid w:val="00F731D7"/>
    <w:rsid w:val="00F73B6E"/>
    <w:rsid w:val="00F743EF"/>
    <w:rsid w:val="00F74C9B"/>
    <w:rsid w:val="00F75B3F"/>
    <w:rsid w:val="00F76FEF"/>
    <w:rsid w:val="00F77103"/>
    <w:rsid w:val="00F77534"/>
    <w:rsid w:val="00F777B9"/>
    <w:rsid w:val="00F77BC5"/>
    <w:rsid w:val="00F77E4F"/>
    <w:rsid w:val="00F818D4"/>
    <w:rsid w:val="00F82119"/>
    <w:rsid w:val="00F829D6"/>
    <w:rsid w:val="00F86F95"/>
    <w:rsid w:val="00F873D3"/>
    <w:rsid w:val="00F90007"/>
    <w:rsid w:val="00F905FF"/>
    <w:rsid w:val="00F9069E"/>
    <w:rsid w:val="00F91B32"/>
    <w:rsid w:val="00F9278F"/>
    <w:rsid w:val="00F92856"/>
    <w:rsid w:val="00F92CA5"/>
    <w:rsid w:val="00F92E67"/>
    <w:rsid w:val="00F93036"/>
    <w:rsid w:val="00F933FD"/>
    <w:rsid w:val="00F93950"/>
    <w:rsid w:val="00F93C45"/>
    <w:rsid w:val="00F95A81"/>
    <w:rsid w:val="00FA0AC0"/>
    <w:rsid w:val="00FA0D85"/>
    <w:rsid w:val="00FA0E48"/>
    <w:rsid w:val="00FA10FC"/>
    <w:rsid w:val="00FA1B6B"/>
    <w:rsid w:val="00FA20BE"/>
    <w:rsid w:val="00FA2D41"/>
    <w:rsid w:val="00FA4866"/>
    <w:rsid w:val="00FA5BD0"/>
    <w:rsid w:val="00FA60E7"/>
    <w:rsid w:val="00FA6C0B"/>
    <w:rsid w:val="00FA6C81"/>
    <w:rsid w:val="00FA6D2D"/>
    <w:rsid w:val="00FA75D6"/>
    <w:rsid w:val="00FB0E2F"/>
    <w:rsid w:val="00FB111A"/>
    <w:rsid w:val="00FB146A"/>
    <w:rsid w:val="00FB16F9"/>
    <w:rsid w:val="00FB1DE2"/>
    <w:rsid w:val="00FB25D6"/>
    <w:rsid w:val="00FB2B3B"/>
    <w:rsid w:val="00FB41BE"/>
    <w:rsid w:val="00FB4369"/>
    <w:rsid w:val="00FB4BA3"/>
    <w:rsid w:val="00FB541A"/>
    <w:rsid w:val="00FB5FA9"/>
    <w:rsid w:val="00FB691D"/>
    <w:rsid w:val="00FB6A07"/>
    <w:rsid w:val="00FB6ABE"/>
    <w:rsid w:val="00FB79B2"/>
    <w:rsid w:val="00FC016E"/>
    <w:rsid w:val="00FC062D"/>
    <w:rsid w:val="00FC15D2"/>
    <w:rsid w:val="00FC2230"/>
    <w:rsid w:val="00FC34EA"/>
    <w:rsid w:val="00FC3614"/>
    <w:rsid w:val="00FC62CE"/>
    <w:rsid w:val="00FC649A"/>
    <w:rsid w:val="00FC6552"/>
    <w:rsid w:val="00FC6F73"/>
    <w:rsid w:val="00FC7122"/>
    <w:rsid w:val="00FC7578"/>
    <w:rsid w:val="00FC7CF1"/>
    <w:rsid w:val="00FC7F3D"/>
    <w:rsid w:val="00FD085C"/>
    <w:rsid w:val="00FD099C"/>
    <w:rsid w:val="00FD1C98"/>
    <w:rsid w:val="00FD20B1"/>
    <w:rsid w:val="00FD23AB"/>
    <w:rsid w:val="00FD2D71"/>
    <w:rsid w:val="00FD32A6"/>
    <w:rsid w:val="00FD3474"/>
    <w:rsid w:val="00FD3A7B"/>
    <w:rsid w:val="00FD5159"/>
    <w:rsid w:val="00FD51BD"/>
    <w:rsid w:val="00FD5334"/>
    <w:rsid w:val="00FD5F33"/>
    <w:rsid w:val="00FD642E"/>
    <w:rsid w:val="00FD6C15"/>
    <w:rsid w:val="00FD72E0"/>
    <w:rsid w:val="00FD76DB"/>
    <w:rsid w:val="00FE09DF"/>
    <w:rsid w:val="00FE0CE3"/>
    <w:rsid w:val="00FE1167"/>
    <w:rsid w:val="00FE1567"/>
    <w:rsid w:val="00FE203F"/>
    <w:rsid w:val="00FE2EAD"/>
    <w:rsid w:val="00FE2F2B"/>
    <w:rsid w:val="00FE32CE"/>
    <w:rsid w:val="00FE3A58"/>
    <w:rsid w:val="00FE3AAB"/>
    <w:rsid w:val="00FE3D08"/>
    <w:rsid w:val="00FE446F"/>
    <w:rsid w:val="00FE5739"/>
    <w:rsid w:val="00FE683A"/>
    <w:rsid w:val="00FE6F63"/>
    <w:rsid w:val="00FE7358"/>
    <w:rsid w:val="00FE79E6"/>
    <w:rsid w:val="00FF0A95"/>
    <w:rsid w:val="00FF0BD7"/>
    <w:rsid w:val="00FF0C8F"/>
    <w:rsid w:val="00FF0E57"/>
    <w:rsid w:val="00FF16BD"/>
    <w:rsid w:val="00FF182D"/>
    <w:rsid w:val="00FF190B"/>
    <w:rsid w:val="00FF19EE"/>
    <w:rsid w:val="00FF225A"/>
    <w:rsid w:val="00FF3FEB"/>
    <w:rsid w:val="00FF4108"/>
    <w:rsid w:val="00FF4D50"/>
    <w:rsid w:val="00FF55A8"/>
    <w:rsid w:val="00FF5B79"/>
    <w:rsid w:val="00FF5B88"/>
    <w:rsid w:val="00FF6317"/>
    <w:rsid w:val="00FF6628"/>
    <w:rsid w:val="00FF6E73"/>
    <w:rsid w:val="00FF6E97"/>
    <w:rsid w:val="00FF6E9F"/>
    <w:rsid w:val="00FF7624"/>
    <w:rsid w:val="00FF78B6"/>
    <w:rsid w:val="00FF7D11"/>
    <w:rsid w:val="65211114"/>
    <w:rsid w:val="71ABDD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425C5"/>
  <w15:docId w15:val="{6A2F6986-7D96-994D-B0D7-F6466292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C86"/>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3B7623"/>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3B7623"/>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13277B"/>
    <w:pPr>
      <w:spacing w:line="276" w:lineRule="auto"/>
      <w:ind w:left="709" w:hanging="709"/>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13277B"/>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a">
    <w:name w:val="List"/>
    <w:basedOn w:val="Normal"/>
    <w:uiPriority w:val="99"/>
    <w:unhideWhenUsed/>
    <w:rsid w:val="005F1494"/>
    <w:pPr>
      <w:ind w:left="283" w:hanging="283"/>
      <w:contextualSpacing/>
    </w:pPr>
  </w:style>
  <w:style w:type="paragraph" w:styleId="Continuarlista">
    <w:name w:val="List Continue"/>
    <w:basedOn w:val="Normal"/>
    <w:uiPriority w:val="99"/>
    <w:unhideWhenUsed/>
    <w:rsid w:val="005F1494"/>
    <w:pPr>
      <w:spacing w:after="120"/>
      <w:ind w:left="283"/>
      <w:contextualSpacing/>
    </w:pPr>
  </w:style>
  <w:style w:type="paragraph" w:styleId="Continuarlista2">
    <w:name w:val="List Continue 2"/>
    <w:basedOn w:val="Normal"/>
    <w:uiPriority w:val="99"/>
    <w:unhideWhenUsed/>
    <w:rsid w:val="005F1494"/>
    <w:pPr>
      <w:spacing w:after="120"/>
      <w:ind w:left="566"/>
      <w:contextualSpacing/>
    </w:pPr>
  </w:style>
  <w:style w:type="paragraph" w:styleId="Textoindependiente">
    <w:name w:val="Body Text"/>
    <w:basedOn w:val="Normal"/>
    <w:link w:val="TextoindependienteCar"/>
    <w:uiPriority w:val="99"/>
    <w:unhideWhenUsed/>
    <w:rsid w:val="005F1494"/>
    <w:pPr>
      <w:spacing w:after="120"/>
    </w:pPr>
  </w:style>
  <w:style w:type="character" w:customStyle="1" w:styleId="TextoindependienteCar">
    <w:name w:val="Texto independiente Car"/>
    <w:basedOn w:val="Fuentedeprrafopredeter"/>
    <w:link w:val="Textoindependiente"/>
    <w:uiPriority w:val="99"/>
    <w:rsid w:val="005F1494"/>
    <w:rPr>
      <w:sz w:val="16"/>
      <w:szCs w:val="16"/>
      <w:lang w:eastAsia="es-ES_tradnl"/>
    </w:rPr>
  </w:style>
  <w:style w:type="table" w:styleId="Tablaconcuadrcula">
    <w:name w:val="Table Grid"/>
    <w:basedOn w:val="Tablanormal"/>
    <w:uiPriority w:val="39"/>
    <w:rsid w:val="007314C6"/>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2C73F8"/>
    <w:rPr>
      <w:color w:val="605E5C"/>
      <w:shd w:val="clear" w:color="auto" w:fill="E1DFDD"/>
    </w:rPr>
  </w:style>
  <w:style w:type="character" w:customStyle="1" w:styleId="Mencinsinresolver1">
    <w:name w:val="Mención sin resolver1"/>
    <w:basedOn w:val="Fuentedeprrafopredeter"/>
    <w:uiPriority w:val="99"/>
    <w:semiHidden/>
    <w:unhideWhenUsed/>
    <w:rsid w:val="00EC5604"/>
    <w:rPr>
      <w:color w:val="605E5C"/>
      <w:shd w:val="clear" w:color="auto" w:fill="E1DFDD"/>
    </w:rPr>
  </w:style>
  <w:style w:type="paragraph" w:styleId="Revisi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fa">
    <w:name w:val="Bibliography"/>
    <w:basedOn w:val="Normal"/>
    <w:next w:val="Normal"/>
    <w:uiPriority w:val="37"/>
    <w:unhideWhenUsed/>
    <w:rsid w:val="00990B08"/>
  </w:style>
  <w:style w:type="paragraph" w:styleId="Asuntodelcomentario">
    <w:name w:val="annotation subject"/>
    <w:basedOn w:val="Textocomentario"/>
    <w:next w:val="Textocomentario"/>
    <w:link w:val="AsuntodelcomentarioCar"/>
    <w:uiPriority w:val="99"/>
    <w:semiHidden/>
    <w:unhideWhenUsed/>
    <w:rsid w:val="0019417E"/>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19417E"/>
    <w:rPr>
      <w:rFonts w:ascii="Calibri" w:hAnsi="Calibri" w:cs="Times New Roman"/>
      <w:b/>
      <w:bCs/>
      <w:lang w:val="es-ES" w:eastAsia="es-ES_tradnl"/>
    </w:rPr>
  </w:style>
  <w:style w:type="paragraph" w:customStyle="1" w:styleId="Default">
    <w:name w:val="Default"/>
    <w:rsid w:val="00EC1A2D"/>
    <w:pPr>
      <w:autoSpaceDE w:val="0"/>
      <w:autoSpaceDN w:val="0"/>
      <w:adjustRightInd w:val="0"/>
    </w:pPr>
    <w:rPr>
      <w:rFonts w:ascii="Century Gothic" w:eastAsiaTheme="minorHAnsi" w:hAnsi="Century Gothic" w:cs="Century Gothic"/>
      <w:color w:val="000000"/>
      <w:sz w:val="24"/>
      <w:szCs w:val="24"/>
      <w:lang w:val="en-US" w:eastAsia="en-US"/>
    </w:rPr>
  </w:style>
  <w:style w:type="character" w:customStyle="1" w:styleId="PrrafodelistaCar">
    <w:name w:val="Párrafo de lista Car"/>
    <w:link w:val="Prrafodelista"/>
    <w:uiPriority w:val="34"/>
    <w:qFormat/>
    <w:locked/>
    <w:rsid w:val="00BD33CE"/>
    <w:rPr>
      <w:sz w:val="16"/>
      <w:szCs w:val="16"/>
      <w:lang w:eastAsia="es-ES_tradnl"/>
    </w:rPr>
  </w:style>
  <w:style w:type="paragraph" w:styleId="NormalWeb">
    <w:name w:val="Normal (Web)"/>
    <w:basedOn w:val="Normal"/>
    <w:uiPriority w:val="99"/>
    <w:unhideWhenUsed/>
    <w:rsid w:val="00490C08"/>
    <w:rPr>
      <w:rFonts w:ascii="Times New Roman" w:hAnsi="Times New Roman" w:cs="Times New Roman"/>
      <w:sz w:val="24"/>
      <w:szCs w:val="24"/>
    </w:rPr>
  </w:style>
  <w:style w:type="paragraph" w:customStyle="1" w:styleId="paragraph">
    <w:name w:val="paragraph"/>
    <w:basedOn w:val="Normal"/>
    <w:rsid w:val="003861C5"/>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eop">
    <w:name w:val="eop"/>
    <w:basedOn w:val="Fuentedeprrafopredeter"/>
    <w:rsid w:val="003861C5"/>
  </w:style>
  <w:style w:type="character" w:customStyle="1" w:styleId="normaltextrun">
    <w:name w:val="normaltextrun"/>
    <w:basedOn w:val="Fuentedeprrafopredeter"/>
    <w:rsid w:val="003861C5"/>
  </w:style>
  <w:style w:type="paragraph" w:customStyle="1" w:styleId="Textodecuerpo31">
    <w:name w:val="Texto de cuerpo 31"/>
    <w:basedOn w:val="Normal"/>
    <w:rsid w:val="00660460"/>
    <w:pPr>
      <w:tabs>
        <w:tab w:val="left" w:pos="851"/>
      </w:tabs>
      <w:spacing w:line="360" w:lineRule="auto"/>
    </w:pPr>
    <w:rPr>
      <w:rFonts w:eastAsia="Times New Roman" w:cs="Times New Roman"/>
      <w:sz w:val="24"/>
      <w:szCs w:val="20"/>
      <w:lang w:eastAsia="es-ES"/>
    </w:rPr>
  </w:style>
  <w:style w:type="character" w:customStyle="1" w:styleId="Mencinsinresolver2">
    <w:name w:val="Mención sin resolver2"/>
    <w:basedOn w:val="Fuentedeprrafopredeter"/>
    <w:uiPriority w:val="99"/>
    <w:semiHidden/>
    <w:unhideWhenUsed/>
    <w:rsid w:val="0045135C"/>
    <w:rPr>
      <w:color w:val="605E5C"/>
      <w:shd w:val="clear" w:color="auto" w:fill="E1DFDD"/>
    </w:rPr>
  </w:style>
  <w:style w:type="paragraph" w:styleId="Textonotaalfinal">
    <w:name w:val="endnote text"/>
    <w:basedOn w:val="Normal"/>
    <w:link w:val="TextonotaalfinalCar"/>
    <w:uiPriority w:val="99"/>
    <w:semiHidden/>
    <w:unhideWhenUsed/>
    <w:rsid w:val="00AE6965"/>
    <w:rPr>
      <w:sz w:val="20"/>
      <w:szCs w:val="20"/>
    </w:rPr>
  </w:style>
  <w:style w:type="character" w:customStyle="1" w:styleId="TextonotaalfinalCar">
    <w:name w:val="Texto nota al final Car"/>
    <w:basedOn w:val="Fuentedeprrafopredeter"/>
    <w:link w:val="Textonotaalfinal"/>
    <w:uiPriority w:val="99"/>
    <w:semiHidden/>
    <w:rsid w:val="00AE6965"/>
    <w:rPr>
      <w:lang w:eastAsia="es-ES_tradnl"/>
    </w:rPr>
  </w:style>
  <w:style w:type="character" w:styleId="Refdenotaalfinal">
    <w:name w:val="endnote reference"/>
    <w:basedOn w:val="Fuentedeprrafopredeter"/>
    <w:uiPriority w:val="99"/>
    <w:semiHidden/>
    <w:unhideWhenUsed/>
    <w:rsid w:val="00AE6965"/>
    <w:rPr>
      <w:vertAlign w:val="superscript"/>
    </w:rPr>
  </w:style>
  <w:style w:type="paragraph" w:customStyle="1" w:styleId="Cuadrculamedia21">
    <w:name w:val="Cuadrícula media 21"/>
    <w:uiPriority w:val="1"/>
    <w:qFormat/>
    <w:rsid w:val="00B02E37"/>
    <w:rPr>
      <w:rFonts w:ascii="Calibri" w:eastAsia="SimSu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7764">
      <w:bodyDiv w:val="1"/>
      <w:marLeft w:val="0"/>
      <w:marRight w:val="0"/>
      <w:marTop w:val="0"/>
      <w:marBottom w:val="0"/>
      <w:divBdr>
        <w:top w:val="none" w:sz="0" w:space="0" w:color="auto"/>
        <w:left w:val="none" w:sz="0" w:space="0" w:color="auto"/>
        <w:bottom w:val="none" w:sz="0" w:space="0" w:color="auto"/>
        <w:right w:val="none" w:sz="0" w:space="0" w:color="auto"/>
      </w:divBdr>
    </w:div>
    <w:div w:id="87625595">
      <w:bodyDiv w:val="1"/>
      <w:marLeft w:val="0"/>
      <w:marRight w:val="0"/>
      <w:marTop w:val="0"/>
      <w:marBottom w:val="0"/>
      <w:divBdr>
        <w:top w:val="none" w:sz="0" w:space="0" w:color="auto"/>
        <w:left w:val="none" w:sz="0" w:space="0" w:color="auto"/>
        <w:bottom w:val="none" w:sz="0" w:space="0" w:color="auto"/>
        <w:right w:val="none" w:sz="0" w:space="0" w:color="auto"/>
      </w:divBdr>
    </w:div>
    <w:div w:id="123697777">
      <w:bodyDiv w:val="1"/>
      <w:marLeft w:val="0"/>
      <w:marRight w:val="0"/>
      <w:marTop w:val="0"/>
      <w:marBottom w:val="0"/>
      <w:divBdr>
        <w:top w:val="none" w:sz="0" w:space="0" w:color="auto"/>
        <w:left w:val="none" w:sz="0" w:space="0" w:color="auto"/>
        <w:bottom w:val="none" w:sz="0" w:space="0" w:color="auto"/>
        <w:right w:val="none" w:sz="0" w:space="0" w:color="auto"/>
      </w:divBdr>
    </w:div>
    <w:div w:id="134027353">
      <w:bodyDiv w:val="1"/>
      <w:marLeft w:val="0"/>
      <w:marRight w:val="0"/>
      <w:marTop w:val="0"/>
      <w:marBottom w:val="0"/>
      <w:divBdr>
        <w:top w:val="none" w:sz="0" w:space="0" w:color="auto"/>
        <w:left w:val="none" w:sz="0" w:space="0" w:color="auto"/>
        <w:bottom w:val="none" w:sz="0" w:space="0" w:color="auto"/>
        <w:right w:val="none" w:sz="0" w:space="0" w:color="auto"/>
      </w:divBdr>
    </w:div>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159545784">
      <w:bodyDiv w:val="1"/>
      <w:marLeft w:val="0"/>
      <w:marRight w:val="0"/>
      <w:marTop w:val="0"/>
      <w:marBottom w:val="0"/>
      <w:divBdr>
        <w:top w:val="none" w:sz="0" w:space="0" w:color="auto"/>
        <w:left w:val="none" w:sz="0" w:space="0" w:color="auto"/>
        <w:bottom w:val="none" w:sz="0" w:space="0" w:color="auto"/>
        <w:right w:val="none" w:sz="0" w:space="0" w:color="auto"/>
      </w:divBdr>
    </w:div>
    <w:div w:id="172112192">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234585298">
      <w:bodyDiv w:val="1"/>
      <w:marLeft w:val="0"/>
      <w:marRight w:val="0"/>
      <w:marTop w:val="0"/>
      <w:marBottom w:val="0"/>
      <w:divBdr>
        <w:top w:val="none" w:sz="0" w:space="0" w:color="auto"/>
        <w:left w:val="none" w:sz="0" w:space="0" w:color="auto"/>
        <w:bottom w:val="none" w:sz="0" w:space="0" w:color="auto"/>
        <w:right w:val="none" w:sz="0" w:space="0" w:color="auto"/>
      </w:divBdr>
    </w:div>
    <w:div w:id="239103803">
      <w:bodyDiv w:val="1"/>
      <w:marLeft w:val="0"/>
      <w:marRight w:val="0"/>
      <w:marTop w:val="0"/>
      <w:marBottom w:val="0"/>
      <w:divBdr>
        <w:top w:val="none" w:sz="0" w:space="0" w:color="auto"/>
        <w:left w:val="none" w:sz="0" w:space="0" w:color="auto"/>
        <w:bottom w:val="none" w:sz="0" w:space="0" w:color="auto"/>
        <w:right w:val="none" w:sz="0" w:space="0" w:color="auto"/>
      </w:divBdr>
    </w:div>
    <w:div w:id="302852973">
      <w:bodyDiv w:val="1"/>
      <w:marLeft w:val="0"/>
      <w:marRight w:val="0"/>
      <w:marTop w:val="0"/>
      <w:marBottom w:val="0"/>
      <w:divBdr>
        <w:top w:val="none" w:sz="0" w:space="0" w:color="auto"/>
        <w:left w:val="none" w:sz="0" w:space="0" w:color="auto"/>
        <w:bottom w:val="none" w:sz="0" w:space="0" w:color="auto"/>
        <w:right w:val="none" w:sz="0" w:space="0" w:color="auto"/>
      </w:divBdr>
    </w:div>
    <w:div w:id="364257741">
      <w:bodyDiv w:val="1"/>
      <w:marLeft w:val="0"/>
      <w:marRight w:val="0"/>
      <w:marTop w:val="0"/>
      <w:marBottom w:val="0"/>
      <w:divBdr>
        <w:top w:val="none" w:sz="0" w:space="0" w:color="auto"/>
        <w:left w:val="none" w:sz="0" w:space="0" w:color="auto"/>
        <w:bottom w:val="none" w:sz="0" w:space="0" w:color="auto"/>
        <w:right w:val="none" w:sz="0" w:space="0" w:color="auto"/>
      </w:divBdr>
    </w:div>
    <w:div w:id="446194340">
      <w:bodyDiv w:val="1"/>
      <w:marLeft w:val="0"/>
      <w:marRight w:val="0"/>
      <w:marTop w:val="0"/>
      <w:marBottom w:val="0"/>
      <w:divBdr>
        <w:top w:val="none" w:sz="0" w:space="0" w:color="auto"/>
        <w:left w:val="none" w:sz="0" w:space="0" w:color="auto"/>
        <w:bottom w:val="none" w:sz="0" w:space="0" w:color="auto"/>
        <w:right w:val="none" w:sz="0" w:space="0" w:color="auto"/>
      </w:divBdr>
    </w:div>
    <w:div w:id="511802593">
      <w:bodyDiv w:val="1"/>
      <w:marLeft w:val="0"/>
      <w:marRight w:val="0"/>
      <w:marTop w:val="0"/>
      <w:marBottom w:val="0"/>
      <w:divBdr>
        <w:top w:val="none" w:sz="0" w:space="0" w:color="auto"/>
        <w:left w:val="none" w:sz="0" w:space="0" w:color="auto"/>
        <w:bottom w:val="none" w:sz="0" w:space="0" w:color="auto"/>
        <w:right w:val="none" w:sz="0" w:space="0" w:color="auto"/>
      </w:divBdr>
    </w:div>
    <w:div w:id="636111510">
      <w:bodyDiv w:val="1"/>
      <w:marLeft w:val="0"/>
      <w:marRight w:val="0"/>
      <w:marTop w:val="0"/>
      <w:marBottom w:val="0"/>
      <w:divBdr>
        <w:top w:val="none" w:sz="0" w:space="0" w:color="auto"/>
        <w:left w:val="none" w:sz="0" w:space="0" w:color="auto"/>
        <w:bottom w:val="none" w:sz="0" w:space="0" w:color="auto"/>
        <w:right w:val="none" w:sz="0" w:space="0" w:color="auto"/>
      </w:divBdr>
    </w:div>
    <w:div w:id="673336844">
      <w:bodyDiv w:val="1"/>
      <w:marLeft w:val="0"/>
      <w:marRight w:val="0"/>
      <w:marTop w:val="0"/>
      <w:marBottom w:val="0"/>
      <w:divBdr>
        <w:top w:val="none" w:sz="0" w:space="0" w:color="auto"/>
        <w:left w:val="none" w:sz="0" w:space="0" w:color="auto"/>
        <w:bottom w:val="none" w:sz="0" w:space="0" w:color="auto"/>
        <w:right w:val="none" w:sz="0" w:space="0" w:color="auto"/>
      </w:divBdr>
    </w:div>
    <w:div w:id="684862228">
      <w:bodyDiv w:val="1"/>
      <w:marLeft w:val="0"/>
      <w:marRight w:val="0"/>
      <w:marTop w:val="0"/>
      <w:marBottom w:val="0"/>
      <w:divBdr>
        <w:top w:val="none" w:sz="0" w:space="0" w:color="auto"/>
        <w:left w:val="none" w:sz="0" w:space="0" w:color="auto"/>
        <w:bottom w:val="none" w:sz="0" w:space="0" w:color="auto"/>
        <w:right w:val="none" w:sz="0" w:space="0" w:color="auto"/>
      </w:divBdr>
    </w:div>
    <w:div w:id="738938836">
      <w:bodyDiv w:val="1"/>
      <w:marLeft w:val="0"/>
      <w:marRight w:val="0"/>
      <w:marTop w:val="0"/>
      <w:marBottom w:val="0"/>
      <w:divBdr>
        <w:top w:val="none" w:sz="0" w:space="0" w:color="auto"/>
        <w:left w:val="none" w:sz="0" w:space="0" w:color="auto"/>
        <w:bottom w:val="none" w:sz="0" w:space="0" w:color="auto"/>
        <w:right w:val="none" w:sz="0" w:space="0" w:color="auto"/>
      </w:divBdr>
    </w:div>
    <w:div w:id="768235999">
      <w:bodyDiv w:val="1"/>
      <w:marLeft w:val="0"/>
      <w:marRight w:val="0"/>
      <w:marTop w:val="0"/>
      <w:marBottom w:val="0"/>
      <w:divBdr>
        <w:top w:val="none" w:sz="0" w:space="0" w:color="auto"/>
        <w:left w:val="none" w:sz="0" w:space="0" w:color="auto"/>
        <w:bottom w:val="none" w:sz="0" w:space="0" w:color="auto"/>
        <w:right w:val="none" w:sz="0" w:space="0" w:color="auto"/>
      </w:divBdr>
    </w:div>
    <w:div w:id="909777420">
      <w:bodyDiv w:val="1"/>
      <w:marLeft w:val="0"/>
      <w:marRight w:val="0"/>
      <w:marTop w:val="0"/>
      <w:marBottom w:val="0"/>
      <w:divBdr>
        <w:top w:val="none" w:sz="0" w:space="0" w:color="auto"/>
        <w:left w:val="none" w:sz="0" w:space="0" w:color="auto"/>
        <w:bottom w:val="none" w:sz="0" w:space="0" w:color="auto"/>
        <w:right w:val="none" w:sz="0" w:space="0" w:color="auto"/>
      </w:divBdr>
    </w:div>
    <w:div w:id="1012103912">
      <w:bodyDiv w:val="1"/>
      <w:marLeft w:val="0"/>
      <w:marRight w:val="0"/>
      <w:marTop w:val="0"/>
      <w:marBottom w:val="0"/>
      <w:divBdr>
        <w:top w:val="none" w:sz="0" w:space="0" w:color="auto"/>
        <w:left w:val="none" w:sz="0" w:space="0" w:color="auto"/>
        <w:bottom w:val="none" w:sz="0" w:space="0" w:color="auto"/>
        <w:right w:val="none" w:sz="0" w:space="0" w:color="auto"/>
      </w:divBdr>
    </w:div>
    <w:div w:id="1254700796">
      <w:bodyDiv w:val="1"/>
      <w:marLeft w:val="0"/>
      <w:marRight w:val="0"/>
      <w:marTop w:val="0"/>
      <w:marBottom w:val="0"/>
      <w:divBdr>
        <w:top w:val="none" w:sz="0" w:space="0" w:color="auto"/>
        <w:left w:val="none" w:sz="0" w:space="0" w:color="auto"/>
        <w:bottom w:val="none" w:sz="0" w:space="0" w:color="auto"/>
        <w:right w:val="none" w:sz="0" w:space="0" w:color="auto"/>
      </w:divBdr>
    </w:div>
    <w:div w:id="1284994257">
      <w:bodyDiv w:val="1"/>
      <w:marLeft w:val="0"/>
      <w:marRight w:val="0"/>
      <w:marTop w:val="0"/>
      <w:marBottom w:val="0"/>
      <w:divBdr>
        <w:top w:val="none" w:sz="0" w:space="0" w:color="auto"/>
        <w:left w:val="none" w:sz="0" w:space="0" w:color="auto"/>
        <w:bottom w:val="none" w:sz="0" w:space="0" w:color="auto"/>
        <w:right w:val="none" w:sz="0" w:space="0" w:color="auto"/>
      </w:divBdr>
    </w:div>
    <w:div w:id="1299804521">
      <w:bodyDiv w:val="1"/>
      <w:marLeft w:val="0"/>
      <w:marRight w:val="0"/>
      <w:marTop w:val="0"/>
      <w:marBottom w:val="0"/>
      <w:divBdr>
        <w:top w:val="none" w:sz="0" w:space="0" w:color="auto"/>
        <w:left w:val="none" w:sz="0" w:space="0" w:color="auto"/>
        <w:bottom w:val="none" w:sz="0" w:space="0" w:color="auto"/>
        <w:right w:val="none" w:sz="0" w:space="0" w:color="auto"/>
      </w:divBdr>
    </w:div>
    <w:div w:id="1418554521">
      <w:bodyDiv w:val="1"/>
      <w:marLeft w:val="0"/>
      <w:marRight w:val="0"/>
      <w:marTop w:val="0"/>
      <w:marBottom w:val="0"/>
      <w:divBdr>
        <w:top w:val="none" w:sz="0" w:space="0" w:color="auto"/>
        <w:left w:val="none" w:sz="0" w:space="0" w:color="auto"/>
        <w:bottom w:val="none" w:sz="0" w:space="0" w:color="auto"/>
        <w:right w:val="none" w:sz="0" w:space="0" w:color="auto"/>
      </w:divBdr>
    </w:div>
    <w:div w:id="1434520400">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699235264">
      <w:bodyDiv w:val="1"/>
      <w:marLeft w:val="0"/>
      <w:marRight w:val="0"/>
      <w:marTop w:val="0"/>
      <w:marBottom w:val="0"/>
      <w:divBdr>
        <w:top w:val="none" w:sz="0" w:space="0" w:color="auto"/>
        <w:left w:val="none" w:sz="0" w:space="0" w:color="auto"/>
        <w:bottom w:val="none" w:sz="0" w:space="0" w:color="auto"/>
        <w:right w:val="none" w:sz="0" w:space="0" w:color="auto"/>
      </w:divBdr>
    </w:div>
    <w:div w:id="1727678666">
      <w:bodyDiv w:val="1"/>
      <w:marLeft w:val="0"/>
      <w:marRight w:val="0"/>
      <w:marTop w:val="0"/>
      <w:marBottom w:val="0"/>
      <w:divBdr>
        <w:top w:val="none" w:sz="0" w:space="0" w:color="auto"/>
        <w:left w:val="none" w:sz="0" w:space="0" w:color="auto"/>
        <w:bottom w:val="none" w:sz="0" w:space="0" w:color="auto"/>
        <w:right w:val="none" w:sz="0" w:space="0" w:color="auto"/>
      </w:divBdr>
    </w:div>
    <w:div w:id="1816873412">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 w:id="1852253772">
      <w:bodyDiv w:val="1"/>
      <w:marLeft w:val="0"/>
      <w:marRight w:val="0"/>
      <w:marTop w:val="0"/>
      <w:marBottom w:val="0"/>
      <w:divBdr>
        <w:top w:val="none" w:sz="0" w:space="0" w:color="auto"/>
        <w:left w:val="none" w:sz="0" w:space="0" w:color="auto"/>
        <w:bottom w:val="none" w:sz="0" w:space="0" w:color="auto"/>
        <w:right w:val="none" w:sz="0" w:space="0" w:color="auto"/>
      </w:divBdr>
    </w:div>
    <w:div w:id="1879270649">
      <w:bodyDiv w:val="1"/>
      <w:marLeft w:val="0"/>
      <w:marRight w:val="0"/>
      <w:marTop w:val="0"/>
      <w:marBottom w:val="0"/>
      <w:divBdr>
        <w:top w:val="none" w:sz="0" w:space="0" w:color="auto"/>
        <w:left w:val="none" w:sz="0" w:space="0" w:color="auto"/>
        <w:bottom w:val="none" w:sz="0" w:space="0" w:color="auto"/>
        <w:right w:val="none" w:sz="0" w:space="0" w:color="auto"/>
      </w:divBdr>
    </w:div>
    <w:div w:id="1894004242">
      <w:bodyDiv w:val="1"/>
      <w:marLeft w:val="0"/>
      <w:marRight w:val="0"/>
      <w:marTop w:val="0"/>
      <w:marBottom w:val="0"/>
      <w:divBdr>
        <w:top w:val="none" w:sz="0" w:space="0" w:color="auto"/>
        <w:left w:val="none" w:sz="0" w:space="0" w:color="auto"/>
        <w:bottom w:val="none" w:sz="0" w:space="0" w:color="auto"/>
        <w:right w:val="none" w:sz="0" w:space="0" w:color="auto"/>
      </w:divBdr>
    </w:div>
    <w:div w:id="21047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0EA701F8-230E-4F4A-B900-C2B394D0F577}">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5A98292F-B1FE-4534-9423-1D6B91717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925D2-3B5F-4063-B866-2F8D3339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5615</Words>
  <Characters>30884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Esther Jaimes Valencia</cp:lastModifiedBy>
  <cp:revision>2</cp:revision>
  <cp:lastPrinted>2021-08-11T16:02:00Z</cp:lastPrinted>
  <dcterms:created xsi:type="dcterms:W3CDTF">2022-12-16T13:51:00Z</dcterms:created>
  <dcterms:modified xsi:type="dcterms:W3CDTF">2022-12-16T13:51:00Z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