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DB7" w:rsidRPr="00766FA2" w:rsidRDefault="00A02E90" w:rsidP="00863D39">
      <w:pPr>
        <w:pStyle w:val="Cuadrculamedia21"/>
      </w:pPr>
      <w:r>
        <w:rPr>
          <w:caps w:val="0"/>
        </w:rPr>
        <w:t>Magistrado</w:t>
      </w:r>
      <w:r w:rsidRPr="00766FA2">
        <w:rPr>
          <w:caps w:val="0"/>
        </w:rPr>
        <w:t xml:space="preserve"> Ponente: </w:t>
      </w:r>
      <w:r w:rsidR="000C5DB7" w:rsidRPr="00766FA2">
        <w:t>JAIME ENRIQUE RODRÍGUEZ NAVAS</w:t>
      </w:r>
    </w:p>
    <w:p w:rsidR="00F91B32" w:rsidRPr="00766FA2" w:rsidRDefault="00F91B32" w:rsidP="00863D39">
      <w:pPr>
        <w:contextualSpacing/>
        <w:rPr>
          <w:b/>
          <w:bCs/>
          <w:sz w:val="24"/>
          <w:szCs w:val="24"/>
        </w:rPr>
      </w:pPr>
    </w:p>
    <w:p w:rsidR="000C5DB7" w:rsidRPr="00A02E90" w:rsidRDefault="000C5DB7" w:rsidP="00863D39">
      <w:pPr>
        <w:contextualSpacing/>
        <w:rPr>
          <w:b/>
          <w:sz w:val="24"/>
          <w:szCs w:val="24"/>
        </w:rPr>
      </w:pPr>
      <w:r w:rsidRPr="00A02E90">
        <w:rPr>
          <w:b/>
          <w:sz w:val="24"/>
          <w:szCs w:val="24"/>
        </w:rPr>
        <w:t>Bogotá D.C.,</w:t>
      </w:r>
      <w:r w:rsidR="00522B03">
        <w:rPr>
          <w:b/>
          <w:sz w:val="24"/>
          <w:szCs w:val="24"/>
        </w:rPr>
        <w:t xml:space="preserve"> nueve</w:t>
      </w:r>
      <w:r w:rsidR="00E969B1" w:rsidRPr="00A02E90">
        <w:rPr>
          <w:b/>
          <w:sz w:val="24"/>
          <w:szCs w:val="24"/>
        </w:rPr>
        <w:t xml:space="preserve"> (</w:t>
      </w:r>
      <w:r w:rsidR="00522B03">
        <w:rPr>
          <w:b/>
          <w:sz w:val="24"/>
          <w:szCs w:val="24"/>
        </w:rPr>
        <w:t>09</w:t>
      </w:r>
      <w:r w:rsidR="004E30F5" w:rsidRPr="00A02E90">
        <w:rPr>
          <w:b/>
          <w:sz w:val="24"/>
          <w:szCs w:val="24"/>
        </w:rPr>
        <w:t>)</w:t>
      </w:r>
      <w:r w:rsidR="0047256F" w:rsidRPr="00A02E90">
        <w:rPr>
          <w:b/>
          <w:sz w:val="24"/>
          <w:szCs w:val="24"/>
        </w:rPr>
        <w:t xml:space="preserve"> </w:t>
      </w:r>
      <w:r w:rsidRPr="00A02E90">
        <w:rPr>
          <w:b/>
          <w:sz w:val="24"/>
          <w:szCs w:val="24"/>
        </w:rPr>
        <w:t>de</w:t>
      </w:r>
      <w:r w:rsidR="0047256F" w:rsidRPr="00A02E90">
        <w:rPr>
          <w:b/>
          <w:sz w:val="24"/>
          <w:szCs w:val="24"/>
        </w:rPr>
        <w:t xml:space="preserve"> </w:t>
      </w:r>
      <w:r w:rsidR="00F5767C">
        <w:rPr>
          <w:b/>
          <w:sz w:val="24"/>
          <w:szCs w:val="24"/>
        </w:rPr>
        <w:t>diciembre</w:t>
      </w:r>
      <w:r w:rsidR="00C90D32" w:rsidRPr="00A02E90">
        <w:rPr>
          <w:b/>
          <w:sz w:val="24"/>
          <w:szCs w:val="24"/>
        </w:rPr>
        <w:t xml:space="preserve"> </w:t>
      </w:r>
      <w:r w:rsidR="000572B4" w:rsidRPr="00A02E90">
        <w:rPr>
          <w:b/>
          <w:sz w:val="24"/>
          <w:szCs w:val="24"/>
        </w:rPr>
        <w:t xml:space="preserve">de </w:t>
      </w:r>
      <w:r w:rsidRPr="00A02E90">
        <w:rPr>
          <w:b/>
          <w:sz w:val="24"/>
          <w:szCs w:val="24"/>
        </w:rPr>
        <w:t xml:space="preserve">dos mil </w:t>
      </w:r>
      <w:r w:rsidR="00C87516" w:rsidRPr="00A02E90">
        <w:rPr>
          <w:b/>
          <w:sz w:val="24"/>
          <w:szCs w:val="24"/>
        </w:rPr>
        <w:t>veint</w:t>
      </w:r>
      <w:r w:rsidR="004A40D6" w:rsidRPr="00A02E90">
        <w:rPr>
          <w:b/>
          <w:sz w:val="24"/>
          <w:szCs w:val="24"/>
        </w:rPr>
        <w:t>i</w:t>
      </w:r>
      <w:r w:rsidR="00E969B1" w:rsidRPr="00A02E90">
        <w:rPr>
          <w:b/>
          <w:sz w:val="24"/>
          <w:szCs w:val="24"/>
        </w:rPr>
        <w:t>dós</w:t>
      </w:r>
      <w:r w:rsidRPr="00A02E90">
        <w:rPr>
          <w:b/>
          <w:sz w:val="24"/>
          <w:szCs w:val="24"/>
        </w:rPr>
        <w:t xml:space="preserve"> (</w:t>
      </w:r>
      <w:r w:rsidR="00C87516" w:rsidRPr="00A02E90">
        <w:rPr>
          <w:b/>
          <w:sz w:val="24"/>
          <w:szCs w:val="24"/>
        </w:rPr>
        <w:t>202</w:t>
      </w:r>
      <w:r w:rsidR="00E969B1" w:rsidRPr="00A02E90">
        <w:rPr>
          <w:b/>
          <w:sz w:val="24"/>
          <w:szCs w:val="24"/>
        </w:rPr>
        <w:t>2</w:t>
      </w:r>
      <w:r w:rsidRPr="00A02E90">
        <w:rPr>
          <w:b/>
          <w:sz w:val="24"/>
          <w:szCs w:val="24"/>
        </w:rPr>
        <w:t>).</w:t>
      </w:r>
    </w:p>
    <w:p w:rsidR="00F91B32" w:rsidRPr="00766FA2" w:rsidRDefault="00F91B32" w:rsidP="00863D39">
      <w:pPr>
        <w:contextualSpacing/>
        <w:rPr>
          <w:b/>
          <w:sz w:val="24"/>
          <w:szCs w:val="24"/>
        </w:rPr>
      </w:pPr>
    </w:p>
    <w:p w:rsidR="000C5DB7" w:rsidRPr="00C90D32" w:rsidRDefault="000C5DB7" w:rsidP="00863D39">
      <w:pPr>
        <w:tabs>
          <w:tab w:val="left" w:pos="1985"/>
        </w:tabs>
        <w:contextualSpacing/>
        <w:rPr>
          <w:bCs/>
          <w:sz w:val="24"/>
          <w:szCs w:val="24"/>
        </w:rPr>
      </w:pPr>
      <w:r w:rsidRPr="00766FA2">
        <w:rPr>
          <w:b/>
          <w:sz w:val="24"/>
          <w:szCs w:val="24"/>
        </w:rPr>
        <w:t>Radica</w:t>
      </w:r>
      <w:r w:rsidR="00A02E90">
        <w:rPr>
          <w:b/>
          <w:sz w:val="24"/>
          <w:szCs w:val="24"/>
        </w:rPr>
        <w:t>do número</w:t>
      </w:r>
      <w:r w:rsidRPr="00766FA2">
        <w:rPr>
          <w:b/>
          <w:sz w:val="24"/>
          <w:szCs w:val="24"/>
        </w:rPr>
        <w:t>:</w:t>
      </w:r>
      <w:r w:rsidRPr="00766FA2">
        <w:rPr>
          <w:b/>
          <w:sz w:val="24"/>
          <w:szCs w:val="24"/>
        </w:rPr>
        <w:tab/>
      </w:r>
      <w:r w:rsidR="00A02E90">
        <w:rPr>
          <w:b/>
          <w:sz w:val="24"/>
          <w:szCs w:val="24"/>
        </w:rPr>
        <w:tab/>
      </w:r>
      <w:r w:rsidR="00C90D32" w:rsidRPr="00C90D32">
        <w:rPr>
          <w:bCs/>
          <w:sz w:val="24"/>
          <w:szCs w:val="24"/>
        </w:rPr>
        <w:t>11001-03-15-000-202</w:t>
      </w:r>
      <w:r w:rsidR="00E969B1">
        <w:rPr>
          <w:bCs/>
          <w:sz w:val="24"/>
          <w:szCs w:val="24"/>
        </w:rPr>
        <w:t>2</w:t>
      </w:r>
      <w:r w:rsidR="00C90D32" w:rsidRPr="00C90D32">
        <w:rPr>
          <w:bCs/>
          <w:sz w:val="24"/>
          <w:szCs w:val="24"/>
        </w:rPr>
        <w:t>-0</w:t>
      </w:r>
      <w:r w:rsidR="00F5767C">
        <w:rPr>
          <w:bCs/>
          <w:sz w:val="24"/>
          <w:szCs w:val="24"/>
        </w:rPr>
        <w:t>5642</w:t>
      </w:r>
      <w:r w:rsidR="00C90D32" w:rsidRPr="00C90D32">
        <w:rPr>
          <w:bCs/>
          <w:sz w:val="24"/>
          <w:szCs w:val="24"/>
        </w:rPr>
        <w:t>-00</w:t>
      </w:r>
    </w:p>
    <w:p w:rsidR="000C5DB7" w:rsidRPr="00766FA2" w:rsidRDefault="000C5DB7" w:rsidP="00863D39">
      <w:pPr>
        <w:tabs>
          <w:tab w:val="left" w:pos="1985"/>
        </w:tabs>
        <w:ind w:left="1980" w:hanging="1980"/>
        <w:contextualSpacing/>
        <w:rPr>
          <w:sz w:val="24"/>
          <w:szCs w:val="24"/>
        </w:rPr>
      </w:pPr>
      <w:r w:rsidRPr="00766FA2">
        <w:rPr>
          <w:b/>
          <w:sz w:val="24"/>
          <w:szCs w:val="24"/>
        </w:rPr>
        <w:t>Accionante:</w:t>
      </w:r>
      <w:r w:rsidRPr="00766FA2">
        <w:rPr>
          <w:b/>
          <w:sz w:val="24"/>
          <w:szCs w:val="24"/>
        </w:rPr>
        <w:tab/>
      </w:r>
      <w:r w:rsidR="00A02E90">
        <w:rPr>
          <w:b/>
          <w:sz w:val="24"/>
          <w:szCs w:val="24"/>
        </w:rPr>
        <w:tab/>
      </w:r>
      <w:r w:rsidR="00A02E90">
        <w:rPr>
          <w:b/>
          <w:sz w:val="24"/>
          <w:szCs w:val="24"/>
        </w:rPr>
        <w:tab/>
      </w:r>
      <w:r w:rsidR="00A02E90">
        <w:rPr>
          <w:b/>
          <w:sz w:val="24"/>
          <w:szCs w:val="24"/>
        </w:rPr>
        <w:tab/>
      </w:r>
      <w:r w:rsidR="00F5767C">
        <w:rPr>
          <w:sz w:val="24"/>
          <w:szCs w:val="24"/>
        </w:rPr>
        <w:t>Raúl Cabrales Dávila</w:t>
      </w:r>
    </w:p>
    <w:p w:rsidR="000C5DB7" w:rsidRDefault="000C5DB7" w:rsidP="00A02E90">
      <w:pPr>
        <w:tabs>
          <w:tab w:val="left" w:pos="1985"/>
        </w:tabs>
        <w:ind w:left="2832" w:hanging="2832"/>
        <w:rPr>
          <w:bCs/>
          <w:sz w:val="24"/>
          <w:szCs w:val="24"/>
        </w:rPr>
      </w:pPr>
      <w:r w:rsidRPr="00766FA2">
        <w:rPr>
          <w:b/>
          <w:sz w:val="24"/>
          <w:szCs w:val="24"/>
        </w:rPr>
        <w:t>Accionado</w:t>
      </w:r>
      <w:r w:rsidR="009748DA">
        <w:rPr>
          <w:b/>
          <w:sz w:val="24"/>
          <w:szCs w:val="24"/>
        </w:rPr>
        <w:t>s</w:t>
      </w:r>
      <w:r w:rsidRPr="00766FA2">
        <w:rPr>
          <w:b/>
          <w:sz w:val="24"/>
          <w:szCs w:val="24"/>
        </w:rPr>
        <w:t>:</w:t>
      </w:r>
      <w:r w:rsidRPr="00766FA2">
        <w:rPr>
          <w:b/>
          <w:sz w:val="24"/>
          <w:szCs w:val="24"/>
        </w:rPr>
        <w:tab/>
      </w:r>
      <w:r w:rsidR="00A02E90">
        <w:rPr>
          <w:b/>
          <w:sz w:val="24"/>
          <w:szCs w:val="24"/>
        </w:rPr>
        <w:tab/>
      </w:r>
      <w:r w:rsidR="00E969B1" w:rsidRPr="00E112D4">
        <w:rPr>
          <w:sz w:val="24"/>
          <w:szCs w:val="24"/>
          <w:lang w:val="es-ES" w:eastAsia="en-US"/>
        </w:rPr>
        <w:t xml:space="preserve">Subsección </w:t>
      </w:r>
      <w:r w:rsidR="00F5767C">
        <w:rPr>
          <w:sz w:val="24"/>
          <w:szCs w:val="24"/>
          <w:lang w:val="es-ES" w:eastAsia="en-US"/>
        </w:rPr>
        <w:t>B</w:t>
      </w:r>
      <w:r w:rsidR="00E969B1" w:rsidRPr="00E112D4">
        <w:rPr>
          <w:sz w:val="24"/>
          <w:szCs w:val="24"/>
          <w:lang w:val="es-ES" w:eastAsia="en-US"/>
        </w:rPr>
        <w:t xml:space="preserve"> de la Sección Segunda del Consejo de Estado</w:t>
      </w:r>
      <w:r w:rsidR="00E969B1">
        <w:rPr>
          <w:sz w:val="24"/>
          <w:szCs w:val="24"/>
          <w:lang w:val="es-ES" w:eastAsia="en-US"/>
        </w:rPr>
        <w:t>.</w:t>
      </w:r>
    </w:p>
    <w:p w:rsidR="00A02E90" w:rsidRPr="00766FA2" w:rsidRDefault="00A02E90" w:rsidP="00A02E90">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rsidR="004150F5" w:rsidRDefault="004150F5" w:rsidP="00C55F2E">
      <w:pPr>
        <w:tabs>
          <w:tab w:val="left" w:pos="1985"/>
        </w:tabs>
        <w:ind w:left="1985" w:right="51" w:hanging="1985"/>
        <w:contextualSpacing/>
        <w:rPr>
          <w:b/>
          <w:sz w:val="24"/>
          <w:szCs w:val="24"/>
        </w:rPr>
      </w:pPr>
    </w:p>
    <w:p w:rsidR="00A02E90" w:rsidRPr="00522B03" w:rsidRDefault="00D478FB" w:rsidP="00D478FB">
      <w:pPr>
        <w:tabs>
          <w:tab w:val="left" w:pos="0"/>
        </w:tabs>
        <w:ind w:right="51"/>
        <w:contextualSpacing/>
        <w:rPr>
          <w:bCs/>
          <w:sz w:val="20"/>
          <w:szCs w:val="20"/>
        </w:rPr>
      </w:pPr>
      <w:r w:rsidRPr="00522B03">
        <w:rPr>
          <w:b/>
          <w:sz w:val="20"/>
          <w:szCs w:val="20"/>
        </w:rPr>
        <w:t>Tema</w:t>
      </w:r>
      <w:r w:rsidR="00C94284">
        <w:rPr>
          <w:b/>
          <w:sz w:val="20"/>
          <w:szCs w:val="20"/>
        </w:rPr>
        <w:t>:</w:t>
      </w:r>
      <w:r w:rsidR="00BB346A">
        <w:rPr>
          <w:b/>
          <w:sz w:val="20"/>
          <w:szCs w:val="20"/>
        </w:rPr>
        <w:t xml:space="preserve"> </w:t>
      </w:r>
      <w:r w:rsidR="00C94284">
        <w:rPr>
          <w:bCs/>
          <w:sz w:val="20"/>
          <w:szCs w:val="20"/>
        </w:rPr>
        <w:t>t</w:t>
      </w:r>
      <w:r w:rsidRPr="00522B03">
        <w:rPr>
          <w:bCs/>
          <w:sz w:val="20"/>
          <w:szCs w:val="20"/>
        </w:rPr>
        <w:t xml:space="preserve">utela contra providencia judicial. </w:t>
      </w:r>
    </w:p>
    <w:p w:rsidR="00A02E90" w:rsidRPr="00522B03" w:rsidRDefault="00D478FB" w:rsidP="00D478FB">
      <w:pPr>
        <w:tabs>
          <w:tab w:val="left" w:pos="0"/>
        </w:tabs>
        <w:ind w:right="51"/>
        <w:contextualSpacing/>
        <w:rPr>
          <w:bCs/>
          <w:sz w:val="20"/>
          <w:szCs w:val="20"/>
        </w:rPr>
      </w:pPr>
      <w:r w:rsidRPr="00522B03">
        <w:rPr>
          <w:b/>
          <w:sz w:val="20"/>
          <w:szCs w:val="20"/>
        </w:rPr>
        <w:t>Subtema 1</w:t>
      </w:r>
      <w:r w:rsidR="00C94284">
        <w:rPr>
          <w:b/>
          <w:sz w:val="20"/>
          <w:szCs w:val="20"/>
        </w:rPr>
        <w:t>:</w:t>
      </w:r>
      <w:r w:rsidR="00C94284">
        <w:rPr>
          <w:bCs/>
          <w:sz w:val="20"/>
          <w:szCs w:val="20"/>
        </w:rPr>
        <w:t xml:space="preserve"> r</w:t>
      </w:r>
      <w:r w:rsidRPr="00522B03">
        <w:rPr>
          <w:bCs/>
          <w:sz w:val="20"/>
          <w:szCs w:val="20"/>
        </w:rPr>
        <w:t xml:space="preserve">equisitos generales de la acción de tutela contra providencia judicial. </w:t>
      </w:r>
    </w:p>
    <w:p w:rsidR="00D478FB" w:rsidRPr="00A02E90" w:rsidRDefault="00D478FB" w:rsidP="00D478FB">
      <w:pPr>
        <w:tabs>
          <w:tab w:val="left" w:pos="0"/>
        </w:tabs>
        <w:ind w:right="51"/>
        <w:contextualSpacing/>
        <w:rPr>
          <w:bCs/>
          <w:sz w:val="20"/>
          <w:szCs w:val="20"/>
        </w:rPr>
      </w:pPr>
      <w:r w:rsidRPr="00522B03">
        <w:rPr>
          <w:b/>
          <w:sz w:val="20"/>
          <w:szCs w:val="20"/>
        </w:rPr>
        <w:t>Subtema 2</w:t>
      </w:r>
      <w:r w:rsidR="00C94284">
        <w:rPr>
          <w:b/>
          <w:sz w:val="20"/>
          <w:szCs w:val="20"/>
        </w:rPr>
        <w:t>:</w:t>
      </w:r>
      <w:r w:rsidRPr="00522B03">
        <w:rPr>
          <w:b/>
          <w:sz w:val="20"/>
          <w:szCs w:val="20"/>
        </w:rPr>
        <w:t xml:space="preserve"> </w:t>
      </w:r>
      <w:r w:rsidR="00C94284">
        <w:rPr>
          <w:bCs/>
          <w:sz w:val="20"/>
          <w:szCs w:val="20"/>
        </w:rPr>
        <w:t>r</w:t>
      </w:r>
      <w:r w:rsidRPr="00522B03">
        <w:rPr>
          <w:bCs/>
          <w:sz w:val="20"/>
          <w:szCs w:val="20"/>
        </w:rPr>
        <w:t>elevancia Constitucional.</w:t>
      </w:r>
      <w:r w:rsidR="00522B03" w:rsidRPr="00522B03">
        <w:rPr>
          <w:bCs/>
          <w:sz w:val="20"/>
          <w:szCs w:val="20"/>
        </w:rPr>
        <w:t xml:space="preserve"> Improcedencia.</w:t>
      </w:r>
    </w:p>
    <w:p w:rsidR="00D478FB" w:rsidRPr="00766FA2" w:rsidRDefault="00D478FB" w:rsidP="00C55F2E">
      <w:pPr>
        <w:tabs>
          <w:tab w:val="left" w:pos="1985"/>
        </w:tabs>
        <w:ind w:left="1985" w:right="51" w:hanging="1985"/>
        <w:contextualSpacing/>
        <w:rPr>
          <w:b/>
          <w:sz w:val="24"/>
          <w:szCs w:val="24"/>
        </w:rPr>
      </w:pPr>
    </w:p>
    <w:p w:rsidR="000C5DB7" w:rsidRPr="00766FA2" w:rsidRDefault="000C5DB7" w:rsidP="00863D39">
      <w:pPr>
        <w:pBdr>
          <w:bottom w:val="single" w:sz="12" w:space="0" w:color="auto"/>
        </w:pBdr>
        <w:ind w:left="2832" w:hanging="2832"/>
        <w:contextualSpacing/>
        <w:rPr>
          <w:b/>
          <w:sz w:val="24"/>
          <w:szCs w:val="24"/>
        </w:rPr>
      </w:pPr>
      <w:r w:rsidRPr="00766FA2">
        <w:rPr>
          <w:b/>
          <w:sz w:val="24"/>
          <w:szCs w:val="24"/>
        </w:rPr>
        <w:t xml:space="preserve">SENTENCIA DE </w:t>
      </w:r>
      <w:r w:rsidR="00E81297" w:rsidRPr="00766FA2">
        <w:rPr>
          <w:b/>
          <w:sz w:val="24"/>
          <w:szCs w:val="24"/>
        </w:rPr>
        <w:t>PRIMERA</w:t>
      </w:r>
      <w:r w:rsidRPr="00766FA2">
        <w:rPr>
          <w:b/>
          <w:sz w:val="24"/>
          <w:szCs w:val="24"/>
        </w:rPr>
        <w:t xml:space="preserve"> INSTANCIA</w:t>
      </w:r>
    </w:p>
    <w:p w:rsidR="00E81297" w:rsidRPr="00766FA2" w:rsidRDefault="00E81297" w:rsidP="00863D39">
      <w:pPr>
        <w:tabs>
          <w:tab w:val="left" w:pos="0"/>
        </w:tabs>
        <w:contextualSpacing/>
        <w:rPr>
          <w:sz w:val="24"/>
          <w:szCs w:val="24"/>
        </w:rPr>
      </w:pPr>
    </w:p>
    <w:p w:rsidR="00E81297" w:rsidRPr="00766FA2" w:rsidRDefault="00E81297" w:rsidP="00E969B1">
      <w:pPr>
        <w:pStyle w:val="Textoindependiente21"/>
        <w:ind w:left="0"/>
        <w:jc w:val="both"/>
        <w:rPr>
          <w:rFonts w:cs="Arial"/>
          <w:sz w:val="24"/>
          <w:szCs w:val="24"/>
        </w:rPr>
      </w:pPr>
      <w:r w:rsidRPr="00766FA2">
        <w:rPr>
          <w:rFonts w:cs="Arial"/>
          <w:sz w:val="24"/>
          <w:szCs w:val="24"/>
        </w:rPr>
        <w:t>La Sala decide en primera instancia la acción de tutela in</w:t>
      </w:r>
      <w:r w:rsidR="00B70FE5">
        <w:rPr>
          <w:rFonts w:cs="Arial"/>
          <w:sz w:val="24"/>
          <w:szCs w:val="24"/>
        </w:rPr>
        <w:t>coada</w:t>
      </w:r>
      <w:r w:rsidR="00F5767C">
        <w:rPr>
          <w:rFonts w:cs="Arial"/>
          <w:sz w:val="24"/>
          <w:szCs w:val="24"/>
        </w:rPr>
        <w:t xml:space="preserve"> por </w:t>
      </w:r>
      <w:r w:rsidR="00F02661">
        <w:rPr>
          <w:rFonts w:cs="Arial"/>
          <w:sz w:val="24"/>
          <w:szCs w:val="24"/>
        </w:rPr>
        <w:t>Raúl Cabrales Dávila</w:t>
      </w:r>
      <w:r w:rsidR="00062D6A">
        <w:rPr>
          <w:rFonts w:cs="Arial"/>
          <w:sz w:val="24"/>
          <w:szCs w:val="24"/>
        </w:rPr>
        <w:t xml:space="preserve"> </w:t>
      </w:r>
      <w:r w:rsidR="00F5767C">
        <w:rPr>
          <w:rFonts w:cs="Arial"/>
          <w:sz w:val="24"/>
          <w:szCs w:val="24"/>
        </w:rPr>
        <w:t>mediante apoderado</w:t>
      </w:r>
      <w:r w:rsidR="00F5767C">
        <w:rPr>
          <w:rStyle w:val="Refdenotaalpie"/>
          <w:bCs/>
          <w:color w:val="000000"/>
          <w:sz w:val="24"/>
          <w:szCs w:val="24"/>
        </w:rPr>
        <w:footnoteReference w:id="1"/>
      </w:r>
      <w:r w:rsidR="00F5767C">
        <w:rPr>
          <w:rFonts w:cs="Arial"/>
          <w:sz w:val="24"/>
          <w:szCs w:val="24"/>
        </w:rPr>
        <w:t xml:space="preserve">, </w:t>
      </w:r>
      <w:r w:rsidR="000A2069">
        <w:rPr>
          <w:rFonts w:cs="Arial"/>
          <w:sz w:val="24"/>
          <w:szCs w:val="24"/>
        </w:rPr>
        <w:t>en contra de</w:t>
      </w:r>
      <w:r w:rsidR="00E969B1">
        <w:rPr>
          <w:rFonts w:cs="Arial"/>
          <w:sz w:val="24"/>
          <w:szCs w:val="24"/>
        </w:rPr>
        <w:t xml:space="preserve"> la </w:t>
      </w:r>
      <w:r w:rsidR="00E969B1" w:rsidRPr="00E969B1">
        <w:rPr>
          <w:sz w:val="24"/>
          <w:szCs w:val="24"/>
          <w:lang w:val="es-ES"/>
        </w:rPr>
        <w:t xml:space="preserve">Subsección </w:t>
      </w:r>
      <w:r w:rsidR="00F5767C">
        <w:rPr>
          <w:sz w:val="24"/>
          <w:szCs w:val="24"/>
          <w:lang w:val="es-ES"/>
        </w:rPr>
        <w:t>B</w:t>
      </w:r>
      <w:r w:rsidR="00E969B1" w:rsidRPr="00E969B1">
        <w:rPr>
          <w:sz w:val="24"/>
          <w:szCs w:val="24"/>
          <w:lang w:val="es-ES"/>
        </w:rPr>
        <w:t xml:space="preserve"> de la Sección Segunda del Consejo de Estado</w:t>
      </w:r>
      <w:r w:rsidR="00216CBD">
        <w:rPr>
          <w:bCs/>
          <w:sz w:val="24"/>
          <w:szCs w:val="24"/>
        </w:rPr>
        <w:t>.</w:t>
      </w:r>
    </w:p>
    <w:p w:rsidR="00E81297" w:rsidRPr="00766FA2" w:rsidRDefault="00E81297" w:rsidP="00863D39">
      <w:pPr>
        <w:tabs>
          <w:tab w:val="left" w:pos="0"/>
        </w:tabs>
        <w:contextualSpacing/>
        <w:rPr>
          <w:sz w:val="24"/>
          <w:szCs w:val="24"/>
        </w:rPr>
      </w:pPr>
    </w:p>
    <w:p w:rsidR="000C5DB7" w:rsidRPr="00766FA2" w:rsidRDefault="000C5DB7" w:rsidP="00863D39">
      <w:pPr>
        <w:pStyle w:val="Ttulo1"/>
        <w:spacing w:before="0" w:after="0" w:line="240" w:lineRule="auto"/>
        <w:rPr>
          <w:rFonts w:cs="Arial"/>
          <w:szCs w:val="24"/>
        </w:rPr>
      </w:pPr>
      <w:r w:rsidRPr="00766FA2">
        <w:rPr>
          <w:rFonts w:cs="Arial"/>
          <w:szCs w:val="24"/>
        </w:rPr>
        <w:t>ANTECEDENTES</w:t>
      </w:r>
    </w:p>
    <w:p w:rsidR="003E02F0" w:rsidRPr="003E02F0" w:rsidRDefault="003E02F0" w:rsidP="00863D39">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rsidR="003E02F0" w:rsidRPr="003E02F0" w:rsidRDefault="003E02F0" w:rsidP="00863D39">
      <w:pPr>
        <w:overflowPunct w:val="0"/>
        <w:autoSpaceDE w:val="0"/>
        <w:autoSpaceDN w:val="0"/>
        <w:adjustRightInd w:val="0"/>
        <w:contextualSpacing/>
        <w:textAlignment w:val="baseline"/>
        <w:rPr>
          <w:color w:val="000000"/>
          <w:sz w:val="24"/>
          <w:szCs w:val="24"/>
        </w:rPr>
      </w:pPr>
    </w:p>
    <w:p w:rsidR="007512EE" w:rsidRPr="007512EE" w:rsidRDefault="00F02661" w:rsidP="007512EE">
      <w:pPr>
        <w:tabs>
          <w:tab w:val="left" w:pos="1985"/>
        </w:tabs>
        <w:rPr>
          <w:rFonts w:eastAsia="Times New Roman"/>
          <w:sz w:val="24"/>
          <w:szCs w:val="24"/>
        </w:rPr>
      </w:pPr>
      <w:r>
        <w:rPr>
          <w:bCs/>
          <w:color w:val="000000"/>
          <w:sz w:val="24"/>
          <w:szCs w:val="24"/>
        </w:rPr>
        <w:t>Raúl Cabrales Dávila</w:t>
      </w:r>
      <w:r w:rsidR="00A02E90">
        <w:rPr>
          <w:bCs/>
          <w:color w:val="000000"/>
          <w:sz w:val="24"/>
          <w:szCs w:val="24"/>
        </w:rPr>
        <w:t xml:space="preserve"> </w:t>
      </w:r>
      <w:r w:rsidR="009243EC">
        <w:rPr>
          <w:bCs/>
          <w:color w:val="000000"/>
          <w:sz w:val="24"/>
          <w:szCs w:val="24"/>
        </w:rPr>
        <w:t xml:space="preserve">presentó </w:t>
      </w:r>
      <w:r w:rsidR="007512EE">
        <w:rPr>
          <w:bCs/>
          <w:color w:val="000000"/>
          <w:sz w:val="24"/>
          <w:szCs w:val="24"/>
        </w:rPr>
        <w:t>acción de tutela</w:t>
      </w:r>
      <w:r w:rsidR="009243EC">
        <w:rPr>
          <w:sz w:val="24"/>
          <w:szCs w:val="24"/>
        </w:rPr>
        <w:t xml:space="preserve"> en la que deprecó el amparo</w:t>
      </w:r>
      <w:r w:rsidR="00322E59" w:rsidRPr="00766FA2">
        <w:rPr>
          <w:sz w:val="24"/>
          <w:szCs w:val="24"/>
        </w:rPr>
        <w:t xml:space="preserve"> de sus derechos fundamentales</w:t>
      </w:r>
      <w:r w:rsidR="007512EE" w:rsidRPr="007512EE">
        <w:rPr>
          <w:sz w:val="24"/>
          <w:szCs w:val="24"/>
        </w:rPr>
        <w:t xml:space="preserve"> </w:t>
      </w:r>
      <w:r w:rsidR="000F3BB1">
        <w:rPr>
          <w:sz w:val="24"/>
          <w:szCs w:val="24"/>
        </w:rPr>
        <w:t>al debido proceso y a</w:t>
      </w:r>
      <w:r w:rsidR="00A531F8">
        <w:rPr>
          <w:sz w:val="24"/>
          <w:szCs w:val="24"/>
        </w:rPr>
        <w:t xml:space="preserve"> la </w:t>
      </w:r>
      <w:r w:rsidR="000F3BB1">
        <w:rPr>
          <w:sz w:val="24"/>
          <w:szCs w:val="24"/>
        </w:rPr>
        <w:t>igualdad</w:t>
      </w:r>
      <w:r w:rsidR="007512EE">
        <w:rPr>
          <w:sz w:val="24"/>
          <w:szCs w:val="24"/>
        </w:rPr>
        <w:t>,</w:t>
      </w:r>
      <w:r w:rsidR="00322E59">
        <w:rPr>
          <w:sz w:val="24"/>
          <w:szCs w:val="24"/>
        </w:rPr>
        <w:t xml:space="preserve"> que consideró</w:t>
      </w:r>
      <w:r w:rsidR="00322E59" w:rsidRPr="00766FA2">
        <w:rPr>
          <w:sz w:val="24"/>
          <w:szCs w:val="24"/>
        </w:rPr>
        <w:t xml:space="preserve"> vulnerados</w:t>
      </w:r>
      <w:r w:rsidR="003E02F0" w:rsidRPr="003E02F0">
        <w:rPr>
          <w:color w:val="000000"/>
          <w:sz w:val="24"/>
          <w:szCs w:val="24"/>
        </w:rPr>
        <w:t xml:space="preserve"> </w:t>
      </w:r>
      <w:r w:rsidR="003E02F0" w:rsidRPr="00E07C43">
        <w:rPr>
          <w:color w:val="000000"/>
          <w:sz w:val="24"/>
          <w:szCs w:val="24"/>
        </w:rPr>
        <w:t xml:space="preserve">por </w:t>
      </w:r>
      <w:r w:rsidR="007512EE">
        <w:rPr>
          <w:sz w:val="24"/>
          <w:szCs w:val="24"/>
        </w:rPr>
        <w:t xml:space="preserve">el Consejo de Estado, Sección Segunda, Subsección </w:t>
      </w:r>
      <w:r w:rsidR="000F3BB1">
        <w:rPr>
          <w:sz w:val="24"/>
          <w:szCs w:val="24"/>
        </w:rPr>
        <w:t>B</w:t>
      </w:r>
      <w:r w:rsidR="009243EC">
        <w:rPr>
          <w:bCs/>
          <w:sz w:val="24"/>
          <w:szCs w:val="24"/>
        </w:rPr>
        <w:t xml:space="preserve">, </w:t>
      </w:r>
      <w:r w:rsidR="007512EE" w:rsidRPr="007512EE">
        <w:rPr>
          <w:rFonts w:eastAsia="Times New Roman"/>
          <w:sz w:val="24"/>
          <w:szCs w:val="24"/>
        </w:rPr>
        <w:t xml:space="preserve">con ocasión de la sentencia del </w:t>
      </w:r>
      <w:r w:rsidR="000F3BB1">
        <w:rPr>
          <w:rFonts w:eastAsia="Times New Roman"/>
          <w:sz w:val="24"/>
          <w:szCs w:val="24"/>
        </w:rPr>
        <w:t>2 de junio de 2022</w:t>
      </w:r>
      <w:r w:rsidR="007512EE" w:rsidRPr="007512EE">
        <w:rPr>
          <w:rFonts w:eastAsia="Times New Roman"/>
          <w:sz w:val="24"/>
          <w:szCs w:val="24"/>
        </w:rPr>
        <w:t xml:space="preserve"> en la que </w:t>
      </w:r>
      <w:r w:rsidR="000F3BB1">
        <w:rPr>
          <w:rFonts w:eastAsia="Times New Roman"/>
          <w:sz w:val="24"/>
          <w:szCs w:val="24"/>
        </w:rPr>
        <w:t xml:space="preserve">la mencionada autoridad, revocó la proferida el 5 de mayo de 2021 por el Tribunal Administrativo de Cundinamarca, Sección Segunda, Subsección B y en su lugar, negó </w:t>
      </w:r>
      <w:r w:rsidR="000F3BB1" w:rsidRPr="007512EE">
        <w:rPr>
          <w:rFonts w:eastAsia="Times New Roman"/>
          <w:sz w:val="24"/>
          <w:szCs w:val="24"/>
        </w:rPr>
        <w:t>las</w:t>
      </w:r>
      <w:r w:rsidR="007512EE" w:rsidRPr="007512EE">
        <w:rPr>
          <w:rFonts w:eastAsia="Times New Roman"/>
          <w:sz w:val="24"/>
          <w:szCs w:val="24"/>
        </w:rPr>
        <w:t xml:space="preserve"> pretensiones de la demanda que promovió dentro del proceso de nulidad y restablecimiento del derecho identificado con radicado número </w:t>
      </w:r>
      <w:bookmarkStart w:id="0" w:name="_Hlk120782109"/>
      <w:r w:rsidR="007512EE" w:rsidRPr="007512EE">
        <w:rPr>
          <w:rFonts w:eastAsia="Times New Roman"/>
          <w:sz w:val="24"/>
          <w:szCs w:val="24"/>
        </w:rPr>
        <w:t>25000-23-42-000-201</w:t>
      </w:r>
      <w:r w:rsidR="000F3BB1">
        <w:rPr>
          <w:rFonts w:eastAsia="Times New Roman"/>
          <w:sz w:val="24"/>
          <w:szCs w:val="24"/>
        </w:rPr>
        <w:t>8</w:t>
      </w:r>
      <w:r w:rsidR="007512EE" w:rsidRPr="007512EE">
        <w:rPr>
          <w:rFonts w:eastAsia="Times New Roman"/>
          <w:sz w:val="24"/>
          <w:szCs w:val="24"/>
        </w:rPr>
        <w:t>-0</w:t>
      </w:r>
      <w:r w:rsidR="000F3BB1">
        <w:rPr>
          <w:rFonts w:eastAsia="Times New Roman"/>
          <w:sz w:val="24"/>
          <w:szCs w:val="24"/>
        </w:rPr>
        <w:t>2605</w:t>
      </w:r>
      <w:r w:rsidR="007512EE" w:rsidRPr="007512EE">
        <w:rPr>
          <w:rFonts w:eastAsia="Times New Roman"/>
          <w:sz w:val="24"/>
          <w:szCs w:val="24"/>
        </w:rPr>
        <w:t>-00</w:t>
      </w:r>
      <w:bookmarkEnd w:id="0"/>
      <w:r w:rsidR="007512EE" w:rsidRPr="007512EE">
        <w:rPr>
          <w:rFonts w:eastAsia="Times New Roman"/>
          <w:sz w:val="24"/>
          <w:szCs w:val="24"/>
        </w:rPr>
        <w:t>/01 (</w:t>
      </w:r>
      <w:r w:rsidR="000F3BB1">
        <w:rPr>
          <w:rFonts w:eastAsia="Times New Roman"/>
          <w:sz w:val="24"/>
          <w:szCs w:val="24"/>
        </w:rPr>
        <w:t>0701-2022</w:t>
      </w:r>
      <w:r w:rsidR="007512EE" w:rsidRPr="007512EE">
        <w:rPr>
          <w:rFonts w:eastAsia="Times New Roman"/>
          <w:sz w:val="24"/>
          <w:szCs w:val="24"/>
        </w:rPr>
        <w:t>).</w:t>
      </w:r>
    </w:p>
    <w:p w:rsidR="003E02F0" w:rsidRPr="003E02F0" w:rsidRDefault="003E02F0" w:rsidP="007512EE">
      <w:pPr>
        <w:pStyle w:val="Textoindependiente21"/>
        <w:ind w:left="0"/>
        <w:jc w:val="both"/>
        <w:rPr>
          <w:rFonts w:eastAsia="Verdana"/>
          <w:color w:val="000000"/>
          <w:sz w:val="24"/>
          <w:szCs w:val="24"/>
        </w:rPr>
      </w:pPr>
    </w:p>
    <w:p w:rsidR="003E02F0" w:rsidRPr="003E02F0" w:rsidRDefault="003E02F0" w:rsidP="00863D39">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DF7D07">
        <w:rPr>
          <w:rFonts w:eastAsia="Verdana"/>
          <w:b/>
          <w:color w:val="000000"/>
          <w:sz w:val="24"/>
          <w:szCs w:val="24"/>
        </w:rPr>
        <w:t xml:space="preserve"> probados del proceso ordinario</w:t>
      </w:r>
    </w:p>
    <w:p w:rsidR="00A771DA" w:rsidRDefault="00A771DA" w:rsidP="00863D39">
      <w:pPr>
        <w:contextualSpacing/>
        <w:rPr>
          <w:rFonts w:eastAsia="Verdana"/>
          <w:b/>
          <w:sz w:val="24"/>
          <w:szCs w:val="24"/>
        </w:rPr>
      </w:pPr>
    </w:p>
    <w:p w:rsidR="00B433B9" w:rsidRDefault="00A771DA" w:rsidP="00863D39">
      <w:pPr>
        <w:contextualSpacing/>
        <w:rPr>
          <w:rFonts w:eastAsia="Verdana"/>
          <w:bCs/>
          <w:sz w:val="24"/>
          <w:szCs w:val="24"/>
        </w:rPr>
      </w:pPr>
      <w:r>
        <w:rPr>
          <w:rFonts w:eastAsia="Verdana"/>
          <w:bCs/>
          <w:sz w:val="24"/>
          <w:szCs w:val="24"/>
        </w:rPr>
        <w:t>De lo narrado por el</w:t>
      </w:r>
      <w:r w:rsidR="009C2DFB">
        <w:rPr>
          <w:rFonts w:eastAsia="Verdana"/>
          <w:bCs/>
          <w:sz w:val="24"/>
          <w:szCs w:val="24"/>
        </w:rPr>
        <w:t xml:space="preserve"> accionante</w:t>
      </w:r>
      <w:r>
        <w:rPr>
          <w:rFonts w:eastAsia="Verdana"/>
          <w:bCs/>
          <w:sz w:val="24"/>
          <w:szCs w:val="24"/>
        </w:rPr>
        <w:t xml:space="preserve"> en el escrito de tutela y las pruebas allegadas al expediente, </w:t>
      </w:r>
      <w:r w:rsidR="009C2DFB">
        <w:rPr>
          <w:rFonts w:eastAsia="Verdana"/>
          <w:bCs/>
          <w:sz w:val="24"/>
          <w:szCs w:val="24"/>
        </w:rPr>
        <w:t xml:space="preserve">la Sala resume </w:t>
      </w:r>
      <w:r>
        <w:rPr>
          <w:rFonts w:eastAsia="Verdana"/>
          <w:bCs/>
          <w:sz w:val="24"/>
          <w:szCs w:val="24"/>
        </w:rPr>
        <w:t>los siguientes</w:t>
      </w:r>
      <w:r w:rsidR="00776A7A">
        <w:rPr>
          <w:rFonts w:eastAsia="Verdana"/>
          <w:bCs/>
          <w:sz w:val="24"/>
          <w:szCs w:val="24"/>
        </w:rPr>
        <w:t>:</w:t>
      </w:r>
    </w:p>
    <w:p w:rsidR="00B433B9" w:rsidRDefault="00B433B9" w:rsidP="00863D39">
      <w:pPr>
        <w:contextualSpacing/>
        <w:rPr>
          <w:rFonts w:eastAsia="Verdana"/>
          <w:b/>
          <w:sz w:val="24"/>
          <w:szCs w:val="24"/>
        </w:rPr>
      </w:pPr>
    </w:p>
    <w:p w:rsidR="006015F3" w:rsidRDefault="006015F3" w:rsidP="00863D39">
      <w:pPr>
        <w:contextualSpacing/>
        <w:rPr>
          <w:rFonts w:eastAsia="Verdana"/>
          <w:sz w:val="24"/>
          <w:szCs w:val="24"/>
        </w:rPr>
      </w:pPr>
      <w:r w:rsidRPr="00A02E90">
        <w:rPr>
          <w:rFonts w:eastAsia="Verdana"/>
          <w:sz w:val="24"/>
          <w:szCs w:val="24"/>
        </w:rPr>
        <w:t>1.2.</w:t>
      </w:r>
      <w:r w:rsidR="00693975" w:rsidRPr="00A02E90">
        <w:rPr>
          <w:rFonts w:eastAsia="Verdana"/>
          <w:sz w:val="24"/>
          <w:szCs w:val="24"/>
        </w:rPr>
        <w:t>1</w:t>
      </w:r>
      <w:r w:rsidRPr="00A02E90">
        <w:rPr>
          <w:rFonts w:eastAsia="Verdana"/>
          <w:sz w:val="24"/>
          <w:szCs w:val="24"/>
        </w:rPr>
        <w:t>.</w:t>
      </w:r>
      <w:r>
        <w:rPr>
          <w:rFonts w:eastAsia="Verdana"/>
          <w:b/>
          <w:bCs/>
          <w:sz w:val="24"/>
          <w:szCs w:val="24"/>
        </w:rPr>
        <w:t xml:space="preserve"> </w:t>
      </w:r>
      <w:r w:rsidR="00F02661">
        <w:rPr>
          <w:rFonts w:eastAsia="Verdana"/>
          <w:sz w:val="24"/>
          <w:szCs w:val="24"/>
        </w:rPr>
        <w:t>El señor Raúl Cabrales Dávila s</w:t>
      </w:r>
      <w:r w:rsidR="001376E0">
        <w:rPr>
          <w:rFonts w:eastAsia="Verdana"/>
          <w:sz w:val="24"/>
          <w:szCs w:val="24"/>
        </w:rPr>
        <w:t xml:space="preserve">olicitó ante </w:t>
      </w:r>
      <w:r w:rsidR="00F02661">
        <w:rPr>
          <w:rFonts w:eastAsia="Verdana"/>
          <w:sz w:val="24"/>
          <w:szCs w:val="24"/>
        </w:rPr>
        <w:t>la Unidad Administrativa Especial de Gestión Pensional y Contribuciones Parafiscales de la Protección Social — UGPP</w:t>
      </w:r>
      <w:r w:rsidR="001376E0">
        <w:rPr>
          <w:rFonts w:eastAsia="Verdana"/>
          <w:sz w:val="24"/>
          <w:szCs w:val="24"/>
        </w:rPr>
        <w:t xml:space="preserve"> el reconocimiento de una pensión de </w:t>
      </w:r>
      <w:r w:rsidR="00F02661">
        <w:rPr>
          <w:rFonts w:eastAsia="Verdana"/>
          <w:sz w:val="24"/>
          <w:szCs w:val="24"/>
        </w:rPr>
        <w:t xml:space="preserve">gracia. </w:t>
      </w:r>
      <w:r w:rsidR="00E82CA4">
        <w:rPr>
          <w:rFonts w:eastAsia="Verdana"/>
          <w:sz w:val="24"/>
          <w:szCs w:val="24"/>
        </w:rPr>
        <w:t>La entidad m</w:t>
      </w:r>
      <w:r w:rsidR="00496906">
        <w:rPr>
          <w:rFonts w:eastAsia="Verdana"/>
          <w:sz w:val="24"/>
          <w:szCs w:val="24"/>
        </w:rPr>
        <w:t xml:space="preserve">ediante Resolución </w:t>
      </w:r>
      <w:r w:rsidR="00E82CA4">
        <w:rPr>
          <w:rFonts w:eastAsia="Verdana"/>
          <w:sz w:val="24"/>
          <w:szCs w:val="24"/>
        </w:rPr>
        <w:t>RDP 019417 del 29 de mayo de 2018</w:t>
      </w:r>
      <w:r w:rsidR="001376E0">
        <w:rPr>
          <w:rFonts w:eastAsia="Verdana"/>
          <w:sz w:val="24"/>
          <w:szCs w:val="24"/>
        </w:rPr>
        <w:t xml:space="preserve"> negó el reconocimiento</w:t>
      </w:r>
      <w:r w:rsidR="004821A4">
        <w:rPr>
          <w:rFonts w:eastAsia="Verdana"/>
          <w:sz w:val="24"/>
          <w:szCs w:val="24"/>
        </w:rPr>
        <w:t xml:space="preserve"> pensional. </w:t>
      </w:r>
    </w:p>
    <w:p w:rsidR="00E82CA4" w:rsidRDefault="00E82CA4" w:rsidP="00863D39">
      <w:pPr>
        <w:contextualSpacing/>
        <w:rPr>
          <w:rFonts w:eastAsia="Verdana"/>
          <w:sz w:val="24"/>
          <w:szCs w:val="24"/>
        </w:rPr>
      </w:pPr>
    </w:p>
    <w:p w:rsidR="00E82CA4" w:rsidRDefault="00865511" w:rsidP="00863D39">
      <w:pPr>
        <w:contextualSpacing/>
        <w:rPr>
          <w:rFonts w:eastAsia="Verdana"/>
          <w:sz w:val="24"/>
          <w:szCs w:val="24"/>
        </w:rPr>
      </w:pPr>
      <w:r>
        <w:rPr>
          <w:rFonts w:eastAsia="Verdana"/>
          <w:sz w:val="24"/>
          <w:szCs w:val="24"/>
        </w:rPr>
        <w:t xml:space="preserve">Inconforme con la respuesta interpuso recurso de apelación contra el referido acto administrativo, que fue resuelto </w:t>
      </w:r>
      <w:r w:rsidR="004821A4">
        <w:rPr>
          <w:rFonts w:eastAsia="Verdana"/>
          <w:sz w:val="24"/>
          <w:szCs w:val="24"/>
        </w:rPr>
        <w:t xml:space="preserve">de manera desfavorable </w:t>
      </w:r>
      <w:r>
        <w:rPr>
          <w:rFonts w:eastAsia="Verdana"/>
          <w:sz w:val="24"/>
          <w:szCs w:val="24"/>
        </w:rPr>
        <w:t xml:space="preserve">mediante Resolución RDP 032662 del 3 de agosto de 2018. </w:t>
      </w:r>
    </w:p>
    <w:p w:rsidR="00496906" w:rsidRDefault="00496906" w:rsidP="00863D39">
      <w:pPr>
        <w:contextualSpacing/>
        <w:rPr>
          <w:rFonts w:eastAsia="Verdana"/>
          <w:sz w:val="24"/>
          <w:szCs w:val="24"/>
        </w:rPr>
      </w:pPr>
    </w:p>
    <w:p w:rsidR="00EE1313" w:rsidRDefault="00EE1313" w:rsidP="00863D39">
      <w:pPr>
        <w:contextualSpacing/>
        <w:rPr>
          <w:rFonts w:eastAsia="Verdana"/>
          <w:sz w:val="24"/>
          <w:szCs w:val="24"/>
        </w:rPr>
      </w:pPr>
      <w:r w:rsidRPr="001376E0">
        <w:rPr>
          <w:rFonts w:eastAsia="Verdana"/>
          <w:sz w:val="24"/>
          <w:szCs w:val="24"/>
        </w:rPr>
        <w:lastRenderedPageBreak/>
        <w:t>1.2.2.</w:t>
      </w:r>
      <w:r>
        <w:rPr>
          <w:rFonts w:eastAsia="Verdana"/>
          <w:b/>
          <w:bCs/>
          <w:sz w:val="24"/>
          <w:szCs w:val="24"/>
        </w:rPr>
        <w:t xml:space="preserve"> </w:t>
      </w:r>
      <w:r w:rsidR="004821A4" w:rsidRPr="004821A4">
        <w:rPr>
          <w:rFonts w:eastAsia="Verdana"/>
          <w:bCs/>
          <w:sz w:val="24"/>
          <w:szCs w:val="24"/>
        </w:rPr>
        <w:t>Raúl Cabrales Dávila f</w:t>
      </w:r>
      <w:r w:rsidR="00062D6A">
        <w:rPr>
          <w:rFonts w:eastAsia="Verdana"/>
          <w:bCs/>
          <w:sz w:val="24"/>
          <w:szCs w:val="24"/>
        </w:rPr>
        <w:t xml:space="preserve">ormuló </w:t>
      </w:r>
      <w:r w:rsidR="0010200E">
        <w:rPr>
          <w:rFonts w:eastAsia="Verdana"/>
          <w:sz w:val="24"/>
          <w:szCs w:val="24"/>
        </w:rPr>
        <w:t>demanda</w:t>
      </w:r>
      <w:r w:rsidR="004821A4">
        <w:rPr>
          <w:rFonts w:eastAsia="Verdana"/>
          <w:sz w:val="24"/>
          <w:szCs w:val="24"/>
        </w:rPr>
        <w:t xml:space="preserve"> en ejercicio del medio de control</w:t>
      </w:r>
      <w:r w:rsidR="0010200E">
        <w:rPr>
          <w:rFonts w:eastAsia="Verdana"/>
          <w:sz w:val="24"/>
          <w:szCs w:val="24"/>
        </w:rPr>
        <w:t xml:space="preserve"> de nulidad y restablecimiento del derecho orientada a obtener la </w:t>
      </w:r>
      <w:r w:rsidR="001376E0">
        <w:rPr>
          <w:rFonts w:eastAsia="Verdana"/>
          <w:sz w:val="24"/>
          <w:szCs w:val="24"/>
        </w:rPr>
        <w:t xml:space="preserve">nulidad de los actos administrativos expedidos por </w:t>
      </w:r>
      <w:r w:rsidR="000D1D9C">
        <w:rPr>
          <w:rFonts w:eastAsia="Verdana"/>
          <w:sz w:val="24"/>
          <w:szCs w:val="24"/>
        </w:rPr>
        <w:t>la UGPP</w:t>
      </w:r>
      <w:r w:rsidR="001376E0">
        <w:rPr>
          <w:rFonts w:eastAsia="Verdana"/>
          <w:sz w:val="24"/>
          <w:szCs w:val="24"/>
        </w:rPr>
        <w:t xml:space="preserve"> y el reconocimiento de la p</w:t>
      </w:r>
      <w:r w:rsidR="004821A4">
        <w:rPr>
          <w:rFonts w:eastAsia="Verdana"/>
          <w:sz w:val="24"/>
          <w:szCs w:val="24"/>
        </w:rPr>
        <w:t>restación solicitada.</w:t>
      </w:r>
      <w:r w:rsidR="00E1330E">
        <w:rPr>
          <w:rFonts w:eastAsia="Verdana"/>
          <w:sz w:val="24"/>
          <w:szCs w:val="24"/>
        </w:rPr>
        <w:t xml:space="preserve"> </w:t>
      </w:r>
      <w:r>
        <w:rPr>
          <w:rFonts w:eastAsia="Verdana"/>
          <w:sz w:val="24"/>
          <w:szCs w:val="24"/>
        </w:rPr>
        <w:t xml:space="preserve">El proceso </w:t>
      </w:r>
      <w:r w:rsidR="004821A4">
        <w:rPr>
          <w:rFonts w:eastAsia="Verdana"/>
          <w:sz w:val="24"/>
          <w:szCs w:val="24"/>
        </w:rPr>
        <w:t xml:space="preserve">fue asignado, </w:t>
      </w:r>
      <w:r>
        <w:rPr>
          <w:rFonts w:eastAsia="Verdana"/>
          <w:sz w:val="24"/>
          <w:szCs w:val="24"/>
        </w:rPr>
        <w:t>en primera instancia</w:t>
      </w:r>
      <w:r w:rsidR="004821A4">
        <w:rPr>
          <w:rFonts w:eastAsia="Verdana"/>
          <w:sz w:val="24"/>
          <w:szCs w:val="24"/>
        </w:rPr>
        <w:t>, a</w:t>
      </w:r>
      <w:r>
        <w:rPr>
          <w:rFonts w:eastAsia="Verdana"/>
          <w:sz w:val="24"/>
          <w:szCs w:val="24"/>
        </w:rPr>
        <w:t xml:space="preserve"> </w:t>
      </w:r>
      <w:r w:rsidR="003603AD">
        <w:rPr>
          <w:rFonts w:eastAsia="Verdana"/>
          <w:sz w:val="24"/>
          <w:szCs w:val="24"/>
        </w:rPr>
        <w:t xml:space="preserve">la Subsección </w:t>
      </w:r>
      <w:r w:rsidR="000D1D9C">
        <w:rPr>
          <w:rFonts w:eastAsia="Verdana"/>
          <w:sz w:val="24"/>
          <w:szCs w:val="24"/>
        </w:rPr>
        <w:t>B</w:t>
      </w:r>
      <w:r w:rsidR="003603AD">
        <w:rPr>
          <w:rFonts w:eastAsia="Verdana"/>
          <w:sz w:val="24"/>
          <w:szCs w:val="24"/>
        </w:rPr>
        <w:t xml:space="preserve"> de la Sección Segunda d</w:t>
      </w:r>
      <w:r>
        <w:rPr>
          <w:rFonts w:eastAsia="Verdana"/>
          <w:sz w:val="24"/>
          <w:szCs w:val="24"/>
        </w:rPr>
        <w:t xml:space="preserve">el </w:t>
      </w:r>
      <w:r w:rsidR="006C604A">
        <w:rPr>
          <w:rFonts w:eastAsia="Verdana"/>
          <w:sz w:val="24"/>
          <w:szCs w:val="24"/>
        </w:rPr>
        <w:t>Tribunal Administrativo de Cundinamarca</w:t>
      </w:r>
      <w:r>
        <w:rPr>
          <w:rFonts w:eastAsia="Verdana"/>
          <w:sz w:val="24"/>
          <w:szCs w:val="24"/>
        </w:rPr>
        <w:t xml:space="preserve"> </w:t>
      </w:r>
      <w:r w:rsidR="004E30F5">
        <w:rPr>
          <w:rFonts w:eastAsia="Verdana"/>
          <w:sz w:val="24"/>
          <w:szCs w:val="24"/>
        </w:rPr>
        <w:t>que,</w:t>
      </w:r>
      <w:r>
        <w:rPr>
          <w:rFonts w:eastAsia="Verdana"/>
          <w:sz w:val="24"/>
          <w:szCs w:val="24"/>
        </w:rPr>
        <w:t xml:space="preserve"> mediante sentencia del </w:t>
      </w:r>
      <w:r w:rsidR="000D1D9C">
        <w:rPr>
          <w:rFonts w:eastAsia="Verdana"/>
          <w:sz w:val="24"/>
          <w:szCs w:val="24"/>
        </w:rPr>
        <w:t>5 de mayo</w:t>
      </w:r>
      <w:r w:rsidR="00B65652">
        <w:rPr>
          <w:rFonts w:eastAsia="Verdana"/>
          <w:sz w:val="24"/>
          <w:szCs w:val="24"/>
        </w:rPr>
        <w:t xml:space="preserve"> de 2021</w:t>
      </w:r>
      <w:r w:rsidR="006830CB">
        <w:rPr>
          <w:rFonts w:eastAsia="Verdana"/>
          <w:sz w:val="24"/>
          <w:szCs w:val="24"/>
        </w:rPr>
        <w:t>,</w:t>
      </w:r>
      <w:r w:rsidR="00A5769F">
        <w:rPr>
          <w:rFonts w:eastAsia="Verdana"/>
          <w:sz w:val="24"/>
          <w:szCs w:val="24"/>
        </w:rPr>
        <w:t xml:space="preserve"> </w:t>
      </w:r>
      <w:r w:rsidR="004821A4">
        <w:rPr>
          <w:rFonts w:eastAsia="Verdana"/>
          <w:sz w:val="24"/>
          <w:szCs w:val="24"/>
        </w:rPr>
        <w:t xml:space="preserve">accedió a las pretensiones. </w:t>
      </w:r>
      <w:r w:rsidR="00D52648">
        <w:rPr>
          <w:rFonts w:eastAsia="Verdana"/>
          <w:sz w:val="24"/>
          <w:szCs w:val="24"/>
        </w:rPr>
        <w:t>Como fundamento de s</w:t>
      </w:r>
      <w:r w:rsidR="0082452A">
        <w:rPr>
          <w:rFonts w:eastAsia="Verdana"/>
          <w:sz w:val="24"/>
          <w:szCs w:val="24"/>
        </w:rPr>
        <w:t>u</w:t>
      </w:r>
      <w:r w:rsidR="00D52648">
        <w:rPr>
          <w:rFonts w:eastAsia="Verdana"/>
          <w:sz w:val="24"/>
          <w:szCs w:val="24"/>
        </w:rPr>
        <w:t xml:space="preserve"> decisión </w:t>
      </w:r>
      <w:r w:rsidR="004821A4">
        <w:rPr>
          <w:rFonts w:eastAsia="Verdana"/>
          <w:sz w:val="24"/>
          <w:szCs w:val="24"/>
        </w:rPr>
        <w:t>expuso</w:t>
      </w:r>
      <w:r w:rsidR="00D52648" w:rsidRPr="00206DE1">
        <w:rPr>
          <w:rStyle w:val="Refdenotaalpie"/>
          <w:rFonts w:eastAsia="Verdana"/>
          <w:sz w:val="24"/>
          <w:szCs w:val="24"/>
        </w:rPr>
        <w:footnoteReference w:id="2"/>
      </w:r>
      <w:r w:rsidR="00D52648" w:rsidRPr="00206DE1">
        <w:rPr>
          <w:rFonts w:eastAsia="Verdana"/>
          <w:sz w:val="24"/>
          <w:szCs w:val="24"/>
        </w:rPr>
        <w:t>:</w:t>
      </w:r>
    </w:p>
    <w:p w:rsidR="004A117E" w:rsidRDefault="004A117E" w:rsidP="00863D39">
      <w:pPr>
        <w:contextualSpacing/>
        <w:rPr>
          <w:rFonts w:eastAsia="Verdana"/>
          <w:sz w:val="24"/>
          <w:szCs w:val="24"/>
        </w:rPr>
      </w:pPr>
    </w:p>
    <w:p w:rsidR="00616500" w:rsidRDefault="004A117E" w:rsidP="00863D39">
      <w:pPr>
        <w:contextualSpacing/>
        <w:rPr>
          <w:rFonts w:eastAsia="Verdana"/>
          <w:sz w:val="24"/>
          <w:szCs w:val="24"/>
        </w:rPr>
      </w:pPr>
      <w:r w:rsidRPr="00206DE1">
        <w:rPr>
          <w:rFonts w:eastAsia="Verdana"/>
          <w:sz w:val="24"/>
          <w:szCs w:val="24"/>
        </w:rPr>
        <w:t>1.2.2.1.</w:t>
      </w:r>
      <w:r w:rsidR="00616500" w:rsidRPr="00206DE1">
        <w:rPr>
          <w:rFonts w:eastAsia="Verdana"/>
          <w:b/>
          <w:bCs/>
          <w:sz w:val="24"/>
          <w:szCs w:val="24"/>
        </w:rPr>
        <w:t xml:space="preserve"> </w:t>
      </w:r>
      <w:r w:rsidR="00815063" w:rsidRPr="00206DE1">
        <w:rPr>
          <w:rFonts w:eastAsia="Verdana"/>
          <w:sz w:val="24"/>
          <w:szCs w:val="24"/>
        </w:rPr>
        <w:t xml:space="preserve">El </w:t>
      </w:r>
      <w:r w:rsidR="004821A4">
        <w:rPr>
          <w:rFonts w:eastAsia="Verdana"/>
          <w:sz w:val="24"/>
          <w:szCs w:val="24"/>
        </w:rPr>
        <w:t xml:space="preserve">demandante </w:t>
      </w:r>
      <w:r w:rsidR="00815063" w:rsidRPr="00206DE1">
        <w:rPr>
          <w:rFonts w:eastAsia="Verdana"/>
          <w:sz w:val="24"/>
          <w:szCs w:val="24"/>
        </w:rPr>
        <w:t>Cabrales Dávila laboró</w:t>
      </w:r>
      <w:r w:rsidR="00815063">
        <w:rPr>
          <w:rFonts w:eastAsia="Verdana"/>
          <w:sz w:val="24"/>
          <w:szCs w:val="24"/>
        </w:rPr>
        <w:t xml:space="preserve"> </w:t>
      </w:r>
      <w:r w:rsidR="004821A4">
        <w:rPr>
          <w:rFonts w:eastAsia="Verdana"/>
          <w:sz w:val="24"/>
          <w:szCs w:val="24"/>
        </w:rPr>
        <w:t xml:space="preserve">por </w:t>
      </w:r>
      <w:r w:rsidR="00815063">
        <w:rPr>
          <w:rFonts w:eastAsia="Verdana"/>
          <w:sz w:val="24"/>
          <w:szCs w:val="24"/>
        </w:rPr>
        <w:t>más de 20 años en calidad de docente en la modalidad secundaria, cumplió 50 años el 17 de marzo de 1997 y acreditó su vinculación antes del 31 de diciembre de 1980</w:t>
      </w:r>
      <w:r w:rsidR="00616500">
        <w:rPr>
          <w:rFonts w:eastAsia="Verdana"/>
          <w:sz w:val="24"/>
          <w:szCs w:val="24"/>
        </w:rPr>
        <w:t>.</w:t>
      </w:r>
    </w:p>
    <w:p w:rsidR="00616500" w:rsidRDefault="00616500" w:rsidP="00863D39">
      <w:pPr>
        <w:contextualSpacing/>
        <w:rPr>
          <w:rFonts w:eastAsia="Verdana"/>
          <w:sz w:val="24"/>
          <w:szCs w:val="24"/>
        </w:rPr>
      </w:pPr>
    </w:p>
    <w:p w:rsidR="00616500" w:rsidRDefault="00616500" w:rsidP="00863D39">
      <w:pPr>
        <w:contextualSpacing/>
        <w:rPr>
          <w:rFonts w:eastAsia="Verdana"/>
          <w:sz w:val="24"/>
          <w:szCs w:val="24"/>
        </w:rPr>
      </w:pPr>
      <w:r>
        <w:rPr>
          <w:rFonts w:eastAsia="Verdana"/>
          <w:sz w:val="24"/>
          <w:szCs w:val="24"/>
        </w:rPr>
        <w:t xml:space="preserve">1.2.2.2. </w:t>
      </w:r>
      <w:r w:rsidR="00815063">
        <w:rPr>
          <w:rFonts w:eastAsia="Verdana"/>
          <w:sz w:val="24"/>
          <w:szCs w:val="24"/>
        </w:rPr>
        <w:t xml:space="preserve">El </w:t>
      </w:r>
      <w:r w:rsidR="00206DE1">
        <w:rPr>
          <w:rFonts w:eastAsia="Verdana"/>
          <w:sz w:val="24"/>
          <w:szCs w:val="24"/>
        </w:rPr>
        <w:t xml:space="preserve">artículo 15, ordinal 2, literal a) de la Ley 91 de 1989 dispuso la vigencia temporal del derecho al reconocimiento de la pensión gracia para los docentes vinculados hasta el 31 de diciembre de 1980, siempre que reunieran la totalidad de los requisitos. </w:t>
      </w:r>
    </w:p>
    <w:p w:rsidR="00206DE1" w:rsidRDefault="00206DE1" w:rsidP="00863D39">
      <w:pPr>
        <w:contextualSpacing/>
        <w:rPr>
          <w:rFonts w:eastAsia="Verdana"/>
          <w:sz w:val="24"/>
          <w:szCs w:val="24"/>
        </w:rPr>
      </w:pPr>
    </w:p>
    <w:p w:rsidR="00206DE1" w:rsidRDefault="00206DE1" w:rsidP="00863D39">
      <w:pPr>
        <w:contextualSpacing/>
        <w:rPr>
          <w:rFonts w:eastAsia="Verdana"/>
          <w:sz w:val="24"/>
          <w:szCs w:val="24"/>
        </w:rPr>
      </w:pPr>
      <w:r>
        <w:rPr>
          <w:rFonts w:eastAsia="Verdana"/>
          <w:sz w:val="24"/>
          <w:szCs w:val="24"/>
        </w:rPr>
        <w:t>Por su parte, el Consejo de Estado</w:t>
      </w:r>
      <w:r>
        <w:rPr>
          <w:rStyle w:val="Refdenotaalpie"/>
          <w:rFonts w:eastAsia="Verdana"/>
          <w:sz w:val="24"/>
          <w:szCs w:val="24"/>
        </w:rPr>
        <w:footnoteReference w:id="3"/>
      </w:r>
      <w:r>
        <w:rPr>
          <w:rFonts w:eastAsia="Verdana"/>
          <w:sz w:val="24"/>
          <w:szCs w:val="24"/>
        </w:rPr>
        <w:t xml:space="preserve"> indicó que los docentes territoriales o nacionalizados que </w:t>
      </w:r>
      <w:r w:rsidR="00C841EB">
        <w:rPr>
          <w:rFonts w:eastAsia="Verdana"/>
          <w:sz w:val="24"/>
          <w:szCs w:val="24"/>
        </w:rPr>
        <w:t xml:space="preserve">estuvieron vinculados en tiempos discontinuos y antes del 31 de diciembre de 1980, debían completar el tiempo de servicio exigido bajo la vinculación de carácter territorial, sin que ello implicara excluir el requisito de acreditar </w:t>
      </w:r>
      <w:r w:rsidR="004821A4">
        <w:rPr>
          <w:rFonts w:eastAsia="Verdana"/>
          <w:sz w:val="24"/>
          <w:szCs w:val="24"/>
        </w:rPr>
        <w:t>haber ejerci</w:t>
      </w:r>
      <w:r w:rsidR="00124396">
        <w:rPr>
          <w:rFonts w:eastAsia="Verdana"/>
          <w:sz w:val="24"/>
          <w:szCs w:val="24"/>
        </w:rPr>
        <w:t>do</w:t>
      </w:r>
      <w:r w:rsidR="004821A4">
        <w:rPr>
          <w:rFonts w:eastAsia="Verdana"/>
          <w:sz w:val="24"/>
          <w:szCs w:val="24"/>
        </w:rPr>
        <w:t xml:space="preserve"> la labor por </w:t>
      </w:r>
      <w:r w:rsidR="00C841EB">
        <w:rPr>
          <w:rFonts w:eastAsia="Verdana"/>
          <w:sz w:val="24"/>
          <w:szCs w:val="24"/>
        </w:rPr>
        <w:t>20 años</w:t>
      </w:r>
      <w:r w:rsidR="004821A4">
        <w:rPr>
          <w:rFonts w:eastAsia="Verdana"/>
          <w:sz w:val="24"/>
          <w:szCs w:val="24"/>
        </w:rPr>
        <w:t>. Agregó que, para probar el cumplimiento de la docencia, la certificación debía indicar e</w:t>
      </w:r>
      <w:r w:rsidR="00A4739D">
        <w:rPr>
          <w:rFonts w:eastAsia="Verdana"/>
          <w:sz w:val="24"/>
          <w:szCs w:val="24"/>
        </w:rPr>
        <w:t>l tipo de nombramiento, esto es, la institución educativa a la que estuvo vinculado, su naturaleza y los ex</w:t>
      </w:r>
      <w:r w:rsidR="009D4E1A">
        <w:rPr>
          <w:rFonts w:eastAsia="Verdana"/>
          <w:sz w:val="24"/>
          <w:szCs w:val="24"/>
        </w:rPr>
        <w:t>trem</w:t>
      </w:r>
      <w:r w:rsidR="00A4739D">
        <w:rPr>
          <w:rFonts w:eastAsia="Verdana"/>
          <w:sz w:val="24"/>
          <w:szCs w:val="24"/>
        </w:rPr>
        <w:t>os temporales.</w:t>
      </w:r>
    </w:p>
    <w:p w:rsidR="006B4F11" w:rsidRPr="00616500" w:rsidRDefault="006B4F11" w:rsidP="00863D39">
      <w:pPr>
        <w:contextualSpacing/>
        <w:rPr>
          <w:rFonts w:eastAsia="Verdana"/>
          <w:sz w:val="24"/>
          <w:szCs w:val="24"/>
        </w:rPr>
      </w:pPr>
    </w:p>
    <w:p w:rsidR="006B4F11" w:rsidRDefault="006B4F11" w:rsidP="00863D39">
      <w:pPr>
        <w:contextualSpacing/>
        <w:rPr>
          <w:rFonts w:eastAsia="Verdana"/>
          <w:sz w:val="24"/>
          <w:szCs w:val="24"/>
        </w:rPr>
      </w:pPr>
      <w:r>
        <w:rPr>
          <w:rFonts w:eastAsia="Verdana"/>
          <w:sz w:val="24"/>
          <w:szCs w:val="24"/>
        </w:rPr>
        <w:t xml:space="preserve">1.2.2.3. </w:t>
      </w:r>
      <w:r w:rsidR="00C841EB">
        <w:rPr>
          <w:rFonts w:eastAsia="Verdana"/>
          <w:sz w:val="24"/>
          <w:szCs w:val="24"/>
        </w:rPr>
        <w:t>Respecto del caso concreto adujo que</w:t>
      </w:r>
      <w:r w:rsidR="00B776E7">
        <w:rPr>
          <w:rFonts w:eastAsia="Verdana"/>
          <w:sz w:val="24"/>
          <w:szCs w:val="24"/>
        </w:rPr>
        <w:t xml:space="preserve"> “</w:t>
      </w:r>
      <w:r w:rsidR="00C841EB">
        <w:rPr>
          <w:rFonts w:eastAsia="Verdana"/>
          <w:sz w:val="24"/>
          <w:szCs w:val="24"/>
        </w:rPr>
        <w:t xml:space="preserve">con fundamento en los elementos de juicio allegados al expediente y apreciados en conjunto de acuerdo con las reglas de la sana critica, sin </w:t>
      </w:r>
      <w:r w:rsidR="000E77E1">
        <w:rPr>
          <w:rFonts w:eastAsia="Verdana"/>
          <w:sz w:val="24"/>
          <w:szCs w:val="24"/>
        </w:rPr>
        <w:t>más</w:t>
      </w:r>
      <w:r w:rsidR="00C841EB">
        <w:rPr>
          <w:rFonts w:eastAsia="Verdana"/>
          <w:sz w:val="24"/>
          <w:szCs w:val="24"/>
        </w:rPr>
        <w:t xml:space="preserve"> disquisi</w:t>
      </w:r>
      <w:r w:rsidR="000E77E1">
        <w:rPr>
          <w:rFonts w:eastAsia="Verdana"/>
          <w:sz w:val="24"/>
          <w:szCs w:val="24"/>
        </w:rPr>
        <w:t>ciones sobre el particular, se declarará la nulidad de los actos administrativos acusados y se ordenará el reconocimiento de la pensión gracia deprecada con el 75% del promedio de todos los factores salariales devengados por el actor en el año inmediatamente anterior a la consolidación de su estatus pensional (17 de marzo de 1997), esto es, 17 de marzo de 1996 al 16 de marzo de 1997, los cuales se encuentran debidamente acreditados en la certificación visible a folio 35 del expediente</w:t>
      </w:r>
      <w:r w:rsidR="009D4E1A">
        <w:rPr>
          <w:rFonts w:eastAsia="Verdana"/>
          <w:sz w:val="24"/>
          <w:szCs w:val="24"/>
        </w:rPr>
        <w:t>,</w:t>
      </w:r>
      <w:r w:rsidR="000E77E1">
        <w:rPr>
          <w:rFonts w:eastAsia="Verdana"/>
          <w:sz w:val="24"/>
          <w:szCs w:val="24"/>
        </w:rPr>
        <w:t xml:space="preserve"> que corresponde al sueldo prima de vacaciones y prima de navidad, efectiva a partir del 17 de marzo de 1997 (fecha de adquisición del derecho pensional, comoquiera que en esa fecha el demandante cumplió los veinte (20) años de servicio prestado y los cincuenta (50) años de edad).</w:t>
      </w:r>
      <w:r w:rsidR="002E61F8">
        <w:rPr>
          <w:rFonts w:eastAsia="Verdana"/>
          <w:sz w:val="24"/>
          <w:szCs w:val="24"/>
        </w:rPr>
        <w:t>”</w:t>
      </w:r>
      <w:r w:rsidR="002E61F8">
        <w:rPr>
          <w:rStyle w:val="Refdenotaalpie"/>
          <w:rFonts w:eastAsia="Verdana"/>
          <w:sz w:val="24"/>
          <w:szCs w:val="24"/>
        </w:rPr>
        <w:footnoteReference w:id="4"/>
      </w:r>
      <w:r w:rsidR="002E61F8">
        <w:rPr>
          <w:rFonts w:eastAsia="Verdana"/>
          <w:sz w:val="24"/>
          <w:szCs w:val="24"/>
        </w:rPr>
        <w:t>.</w:t>
      </w:r>
    </w:p>
    <w:p w:rsidR="006B4F11" w:rsidRPr="006B4F11" w:rsidRDefault="006B4F11" w:rsidP="00863D39">
      <w:pPr>
        <w:contextualSpacing/>
        <w:rPr>
          <w:rFonts w:eastAsia="Verdana"/>
          <w:sz w:val="24"/>
          <w:szCs w:val="24"/>
        </w:rPr>
      </w:pPr>
    </w:p>
    <w:p w:rsidR="00C27EA8" w:rsidRDefault="00EE1313" w:rsidP="00863D39">
      <w:pPr>
        <w:contextualSpacing/>
        <w:rPr>
          <w:rFonts w:eastAsia="Verdana"/>
          <w:sz w:val="24"/>
          <w:szCs w:val="24"/>
        </w:rPr>
      </w:pPr>
      <w:r w:rsidRPr="00B2524B">
        <w:rPr>
          <w:rFonts w:eastAsia="Verdana"/>
          <w:bCs/>
          <w:sz w:val="24"/>
          <w:szCs w:val="24"/>
        </w:rPr>
        <w:t xml:space="preserve">1.2.3. </w:t>
      </w:r>
      <w:r>
        <w:rPr>
          <w:rFonts w:eastAsia="Verdana"/>
          <w:sz w:val="24"/>
          <w:szCs w:val="24"/>
        </w:rPr>
        <w:t xml:space="preserve">Inconforme </w:t>
      </w:r>
      <w:r w:rsidRPr="008E0378">
        <w:rPr>
          <w:rFonts w:eastAsia="Verdana"/>
          <w:sz w:val="24"/>
          <w:szCs w:val="24"/>
        </w:rPr>
        <w:t>con la decisión</w:t>
      </w:r>
      <w:r>
        <w:rPr>
          <w:rFonts w:eastAsia="Verdana"/>
          <w:sz w:val="24"/>
          <w:szCs w:val="24"/>
        </w:rPr>
        <w:t xml:space="preserve"> de primera instancia, </w:t>
      </w:r>
      <w:r w:rsidR="00C64D04">
        <w:rPr>
          <w:rFonts w:eastAsia="Verdana"/>
          <w:sz w:val="24"/>
          <w:szCs w:val="24"/>
        </w:rPr>
        <w:t>la Unidad Administrativa Especial de Gestión Pensional y Contribuciones Parafiscales de la Protección Social — UGPP</w:t>
      </w:r>
      <w:r w:rsidR="004821A4">
        <w:rPr>
          <w:rFonts w:eastAsia="Verdana"/>
          <w:sz w:val="24"/>
          <w:szCs w:val="24"/>
        </w:rPr>
        <w:t xml:space="preserve"> </w:t>
      </w:r>
      <w:r>
        <w:rPr>
          <w:rFonts w:eastAsia="Verdana"/>
          <w:sz w:val="24"/>
          <w:szCs w:val="24"/>
        </w:rPr>
        <w:t>interpuso recurso de apelación</w:t>
      </w:r>
      <w:r w:rsidR="008E0378">
        <w:rPr>
          <w:rFonts w:eastAsia="Verdana"/>
          <w:sz w:val="24"/>
          <w:szCs w:val="24"/>
        </w:rPr>
        <w:t xml:space="preserve">, </w:t>
      </w:r>
      <w:r w:rsidR="004821A4">
        <w:rPr>
          <w:rFonts w:eastAsia="Verdana"/>
          <w:sz w:val="24"/>
          <w:szCs w:val="24"/>
        </w:rPr>
        <w:t>en el que solicit</w:t>
      </w:r>
      <w:r w:rsidR="00124396">
        <w:rPr>
          <w:rFonts w:eastAsia="Verdana"/>
          <w:sz w:val="24"/>
          <w:szCs w:val="24"/>
        </w:rPr>
        <w:t>ó</w:t>
      </w:r>
      <w:r w:rsidR="004821A4">
        <w:rPr>
          <w:rFonts w:eastAsia="Verdana"/>
          <w:sz w:val="24"/>
          <w:szCs w:val="24"/>
        </w:rPr>
        <w:t xml:space="preserve"> </w:t>
      </w:r>
      <w:r w:rsidR="00A80782">
        <w:rPr>
          <w:rFonts w:eastAsia="Verdana"/>
          <w:sz w:val="24"/>
          <w:szCs w:val="24"/>
        </w:rPr>
        <w:t>revocar</w:t>
      </w:r>
      <w:r w:rsidR="004821A4">
        <w:rPr>
          <w:rFonts w:eastAsia="Verdana"/>
          <w:sz w:val="24"/>
          <w:szCs w:val="24"/>
        </w:rPr>
        <w:t xml:space="preserve"> </w:t>
      </w:r>
      <w:r w:rsidR="00362997">
        <w:rPr>
          <w:rFonts w:eastAsia="Verdana"/>
          <w:sz w:val="24"/>
          <w:szCs w:val="24"/>
        </w:rPr>
        <w:t xml:space="preserve">la sentencia </w:t>
      </w:r>
      <w:r w:rsidR="00C27EA8">
        <w:rPr>
          <w:rFonts w:eastAsia="Verdana"/>
          <w:sz w:val="24"/>
          <w:szCs w:val="24"/>
        </w:rPr>
        <w:t>porque afirmó que</w:t>
      </w:r>
      <w:r w:rsidR="00A80782">
        <w:rPr>
          <w:rFonts w:eastAsia="Verdana"/>
          <w:sz w:val="24"/>
          <w:szCs w:val="24"/>
        </w:rPr>
        <w:t>,</w:t>
      </w:r>
      <w:r w:rsidR="00C27EA8">
        <w:rPr>
          <w:rFonts w:eastAsia="Verdana"/>
          <w:sz w:val="24"/>
          <w:szCs w:val="24"/>
        </w:rPr>
        <w:t xml:space="preserve"> el demandante no cumpl</w:t>
      </w:r>
      <w:r w:rsidR="00A80782">
        <w:rPr>
          <w:rFonts w:eastAsia="Verdana"/>
          <w:sz w:val="24"/>
          <w:szCs w:val="24"/>
        </w:rPr>
        <w:t>ía</w:t>
      </w:r>
      <w:r w:rsidR="00C27EA8">
        <w:rPr>
          <w:rFonts w:eastAsia="Verdana"/>
          <w:sz w:val="24"/>
          <w:szCs w:val="24"/>
        </w:rPr>
        <w:t xml:space="preserve"> con los requisitos para el reconocimiento pensional</w:t>
      </w:r>
      <w:r w:rsidR="00022AB8">
        <w:rPr>
          <w:rFonts w:eastAsia="Verdana"/>
          <w:sz w:val="24"/>
          <w:szCs w:val="24"/>
        </w:rPr>
        <w:t>, en la medida que</w:t>
      </w:r>
      <w:r w:rsidR="00017CF0">
        <w:rPr>
          <w:rFonts w:eastAsia="Verdana"/>
          <w:sz w:val="24"/>
          <w:szCs w:val="24"/>
        </w:rPr>
        <w:t>,</w:t>
      </w:r>
      <w:r w:rsidR="00022AB8">
        <w:rPr>
          <w:rFonts w:eastAsia="Verdana"/>
          <w:sz w:val="24"/>
          <w:szCs w:val="24"/>
        </w:rPr>
        <w:t xml:space="preserve"> estuvo vinculado c</w:t>
      </w:r>
      <w:r w:rsidR="00C27EA8">
        <w:rPr>
          <w:rFonts w:eastAsia="Verdana"/>
          <w:sz w:val="24"/>
          <w:szCs w:val="24"/>
        </w:rPr>
        <w:t>omo docente nacional c</w:t>
      </w:r>
      <w:r w:rsidR="00022AB8">
        <w:rPr>
          <w:rFonts w:eastAsia="Verdana"/>
          <w:sz w:val="24"/>
          <w:szCs w:val="24"/>
        </w:rPr>
        <w:t>on nombramiento del Ministerio de Educación</w:t>
      </w:r>
      <w:r w:rsidR="00C27EA8">
        <w:rPr>
          <w:rFonts w:eastAsia="Verdana"/>
          <w:sz w:val="24"/>
          <w:szCs w:val="24"/>
        </w:rPr>
        <w:t xml:space="preserve">. </w:t>
      </w:r>
    </w:p>
    <w:p w:rsidR="00EE1313" w:rsidRDefault="00EE1313" w:rsidP="00863D39">
      <w:pPr>
        <w:contextualSpacing/>
        <w:rPr>
          <w:rFonts w:eastAsia="Verdana"/>
          <w:sz w:val="24"/>
          <w:szCs w:val="24"/>
        </w:rPr>
      </w:pPr>
      <w:r>
        <w:rPr>
          <w:rFonts w:eastAsia="Verdana"/>
          <w:sz w:val="24"/>
          <w:szCs w:val="24"/>
        </w:rPr>
        <w:lastRenderedPageBreak/>
        <w:t xml:space="preserve">El recurso fue desatado por </w:t>
      </w:r>
      <w:r w:rsidR="00A73E2A">
        <w:rPr>
          <w:rFonts w:eastAsia="Verdana"/>
          <w:sz w:val="24"/>
          <w:szCs w:val="24"/>
        </w:rPr>
        <w:t xml:space="preserve">la Subsección </w:t>
      </w:r>
      <w:r w:rsidR="00362997">
        <w:rPr>
          <w:rFonts w:eastAsia="Verdana"/>
          <w:sz w:val="24"/>
          <w:szCs w:val="24"/>
        </w:rPr>
        <w:t>B</w:t>
      </w:r>
      <w:r w:rsidR="00A73E2A">
        <w:rPr>
          <w:rFonts w:eastAsia="Verdana"/>
          <w:sz w:val="24"/>
          <w:szCs w:val="24"/>
        </w:rPr>
        <w:t xml:space="preserve"> de la Sección Segunda del Consejo de Estado que</w:t>
      </w:r>
      <w:r w:rsidR="0082452A" w:rsidRPr="0044566B">
        <w:rPr>
          <w:rFonts w:eastAsia="Verdana"/>
          <w:sz w:val="24"/>
          <w:szCs w:val="24"/>
        </w:rPr>
        <w:t xml:space="preserve">, </w:t>
      </w:r>
      <w:r w:rsidR="00D22C3A">
        <w:rPr>
          <w:rFonts w:eastAsia="Verdana"/>
          <w:sz w:val="24"/>
          <w:szCs w:val="24"/>
        </w:rPr>
        <w:t xml:space="preserve">en </w:t>
      </w:r>
      <w:r w:rsidRPr="0044566B">
        <w:rPr>
          <w:rFonts w:eastAsia="Verdana"/>
          <w:sz w:val="24"/>
          <w:szCs w:val="24"/>
        </w:rPr>
        <w:t xml:space="preserve">sentencia del </w:t>
      </w:r>
      <w:r w:rsidR="00362997">
        <w:rPr>
          <w:rFonts w:eastAsia="Verdana"/>
          <w:sz w:val="24"/>
          <w:szCs w:val="24"/>
        </w:rPr>
        <w:t>2 de junio de 2022</w:t>
      </w:r>
      <w:r w:rsidRPr="0044566B">
        <w:rPr>
          <w:rFonts w:eastAsia="Verdana"/>
          <w:sz w:val="24"/>
          <w:szCs w:val="24"/>
        </w:rPr>
        <w:t xml:space="preserve"> </w:t>
      </w:r>
      <w:r w:rsidR="00362997">
        <w:rPr>
          <w:rFonts w:eastAsia="Verdana"/>
          <w:sz w:val="24"/>
          <w:szCs w:val="24"/>
        </w:rPr>
        <w:t>revocó</w:t>
      </w:r>
      <w:r w:rsidR="00E36D7A" w:rsidRPr="0044566B">
        <w:rPr>
          <w:rFonts w:eastAsia="Verdana"/>
          <w:sz w:val="24"/>
          <w:szCs w:val="24"/>
        </w:rPr>
        <w:t xml:space="preserve"> l</w:t>
      </w:r>
      <w:r w:rsidRPr="0044566B">
        <w:rPr>
          <w:rFonts w:eastAsia="Verdana"/>
          <w:sz w:val="24"/>
          <w:szCs w:val="24"/>
        </w:rPr>
        <w:t xml:space="preserve">a </w:t>
      </w:r>
      <w:r w:rsidR="00362997">
        <w:rPr>
          <w:rFonts w:eastAsia="Verdana"/>
          <w:sz w:val="24"/>
          <w:szCs w:val="24"/>
        </w:rPr>
        <w:t>proferida por el Tribunal Administrativo de Cundinamarca, Sección Segunda, Subsección B</w:t>
      </w:r>
      <w:r w:rsidR="003A47CE">
        <w:rPr>
          <w:rFonts w:eastAsia="Verdana"/>
          <w:sz w:val="24"/>
          <w:szCs w:val="24"/>
        </w:rPr>
        <w:t xml:space="preserve">, </w:t>
      </w:r>
      <w:r w:rsidR="00A73E2A">
        <w:rPr>
          <w:rFonts w:eastAsia="Verdana"/>
          <w:sz w:val="24"/>
          <w:szCs w:val="24"/>
        </w:rPr>
        <w:t xml:space="preserve">con </w:t>
      </w:r>
      <w:r w:rsidR="00F329E6">
        <w:rPr>
          <w:rFonts w:eastAsia="Verdana"/>
          <w:sz w:val="24"/>
          <w:szCs w:val="24"/>
        </w:rPr>
        <w:t xml:space="preserve">base </w:t>
      </w:r>
      <w:r w:rsidR="00A73E2A">
        <w:rPr>
          <w:rFonts w:eastAsia="Verdana"/>
          <w:sz w:val="24"/>
          <w:szCs w:val="24"/>
        </w:rPr>
        <w:t>en los siguientes argumentos</w:t>
      </w:r>
      <w:r w:rsidR="00A17065">
        <w:rPr>
          <w:rStyle w:val="Refdenotaalpie"/>
          <w:rFonts w:eastAsia="Verdana"/>
          <w:sz w:val="24"/>
          <w:szCs w:val="24"/>
        </w:rPr>
        <w:footnoteReference w:id="5"/>
      </w:r>
      <w:r w:rsidR="00B26F19">
        <w:rPr>
          <w:rFonts w:eastAsia="Verdana"/>
          <w:sz w:val="24"/>
          <w:szCs w:val="24"/>
        </w:rPr>
        <w:t>:</w:t>
      </w:r>
      <w:r w:rsidR="00B27184">
        <w:rPr>
          <w:rFonts w:eastAsia="Verdana"/>
          <w:sz w:val="24"/>
          <w:szCs w:val="24"/>
        </w:rPr>
        <w:t xml:space="preserve"> </w:t>
      </w:r>
    </w:p>
    <w:p w:rsidR="00B26F19" w:rsidRDefault="00B26F19" w:rsidP="00863D39">
      <w:pPr>
        <w:contextualSpacing/>
        <w:rPr>
          <w:rFonts w:eastAsia="Verdana"/>
          <w:sz w:val="24"/>
          <w:szCs w:val="24"/>
        </w:rPr>
      </w:pPr>
    </w:p>
    <w:p w:rsidR="00EA1171" w:rsidRDefault="00B26F19" w:rsidP="00996DA1">
      <w:pPr>
        <w:overflowPunct w:val="0"/>
        <w:autoSpaceDE w:val="0"/>
        <w:autoSpaceDN w:val="0"/>
        <w:adjustRightInd w:val="0"/>
        <w:contextualSpacing/>
        <w:rPr>
          <w:rFonts w:eastAsia="Verdana"/>
          <w:sz w:val="24"/>
          <w:szCs w:val="24"/>
        </w:rPr>
      </w:pPr>
      <w:r>
        <w:rPr>
          <w:rFonts w:eastAsia="Verdana"/>
          <w:sz w:val="24"/>
          <w:szCs w:val="24"/>
        </w:rPr>
        <w:t xml:space="preserve">1.2.3.1. </w:t>
      </w:r>
      <w:r w:rsidR="00C442D5">
        <w:rPr>
          <w:rFonts w:eastAsia="Verdana"/>
          <w:sz w:val="24"/>
          <w:szCs w:val="24"/>
        </w:rPr>
        <w:t xml:space="preserve">Según lo dispuesto en la Ley 114 de 1913 y la sentencia del 29 de agosto de 1997 dictada por el Consejo de Estado </w:t>
      </w:r>
      <w:r w:rsidR="00996DA1">
        <w:rPr>
          <w:rFonts w:eastAsia="Verdana"/>
          <w:sz w:val="24"/>
          <w:szCs w:val="24"/>
        </w:rPr>
        <w:t xml:space="preserve">la pensión de gracia se causa únicamente para los docentes que cumplan 20 años de servicio en colegios del orden departamental, distrital, municipal o nacionalizados, sin que sea posible acumular tiempos de servicio de orden nacional. </w:t>
      </w:r>
    </w:p>
    <w:p w:rsidR="00996DA1" w:rsidRDefault="00996DA1" w:rsidP="00996DA1">
      <w:pPr>
        <w:overflowPunct w:val="0"/>
        <w:autoSpaceDE w:val="0"/>
        <w:autoSpaceDN w:val="0"/>
        <w:adjustRightInd w:val="0"/>
        <w:contextualSpacing/>
        <w:rPr>
          <w:rFonts w:eastAsia="Verdana"/>
          <w:sz w:val="24"/>
          <w:szCs w:val="24"/>
        </w:rPr>
      </w:pPr>
    </w:p>
    <w:p w:rsidR="00996DA1" w:rsidRDefault="00996DA1" w:rsidP="00996DA1">
      <w:pPr>
        <w:overflowPunct w:val="0"/>
        <w:autoSpaceDE w:val="0"/>
        <w:autoSpaceDN w:val="0"/>
        <w:adjustRightInd w:val="0"/>
        <w:contextualSpacing/>
        <w:rPr>
          <w:rFonts w:eastAsia="Verdana"/>
          <w:sz w:val="24"/>
          <w:szCs w:val="24"/>
        </w:rPr>
      </w:pPr>
      <w:r>
        <w:rPr>
          <w:rFonts w:eastAsia="Verdana"/>
          <w:sz w:val="24"/>
          <w:szCs w:val="24"/>
        </w:rPr>
        <w:t>Por su parte el artículo 6° de la Ley 116 de 1928</w:t>
      </w:r>
      <w:r w:rsidR="00780B7D">
        <w:rPr>
          <w:rFonts w:eastAsia="Verdana"/>
          <w:sz w:val="24"/>
          <w:szCs w:val="24"/>
        </w:rPr>
        <w:t xml:space="preserve"> estableció que para efectos de reconocimiento de la pensión de gracia es viable la sumatoria de los años de servicio en cualquier época</w:t>
      </w:r>
      <w:r w:rsidR="00522B03">
        <w:rPr>
          <w:rFonts w:eastAsia="Verdana"/>
          <w:sz w:val="24"/>
          <w:szCs w:val="24"/>
        </w:rPr>
        <w:t>,</w:t>
      </w:r>
      <w:r w:rsidR="00780B7D">
        <w:rPr>
          <w:rFonts w:eastAsia="Verdana"/>
          <w:sz w:val="24"/>
          <w:szCs w:val="24"/>
        </w:rPr>
        <w:t xml:space="preserve"> por lo que, no se requiere la continuidad del servicio, sino la totalización de los 20 años en las condiciones de docencia territorial o nacionalizada. </w:t>
      </w:r>
    </w:p>
    <w:p w:rsidR="00996DA1" w:rsidRDefault="00996DA1" w:rsidP="00996DA1">
      <w:pPr>
        <w:overflowPunct w:val="0"/>
        <w:autoSpaceDE w:val="0"/>
        <w:autoSpaceDN w:val="0"/>
        <w:adjustRightInd w:val="0"/>
        <w:contextualSpacing/>
        <w:rPr>
          <w:rFonts w:eastAsia="Verdana"/>
          <w:sz w:val="24"/>
          <w:szCs w:val="24"/>
        </w:rPr>
      </w:pPr>
    </w:p>
    <w:p w:rsidR="00996DA1" w:rsidRDefault="006863ED" w:rsidP="00996DA1">
      <w:pPr>
        <w:overflowPunct w:val="0"/>
        <w:autoSpaceDE w:val="0"/>
        <w:autoSpaceDN w:val="0"/>
        <w:adjustRightInd w:val="0"/>
        <w:contextualSpacing/>
        <w:rPr>
          <w:rFonts w:eastAsia="Verdana"/>
          <w:sz w:val="24"/>
          <w:szCs w:val="24"/>
        </w:rPr>
      </w:pPr>
      <w:r>
        <w:rPr>
          <w:rFonts w:eastAsia="Verdana"/>
          <w:sz w:val="24"/>
          <w:szCs w:val="24"/>
        </w:rPr>
        <w:t>La Ley 91 de</w:t>
      </w:r>
      <w:r w:rsidR="00522B03">
        <w:rPr>
          <w:rFonts w:eastAsia="Verdana"/>
          <w:sz w:val="24"/>
          <w:szCs w:val="24"/>
        </w:rPr>
        <w:t xml:space="preserve"> </w:t>
      </w:r>
      <w:r>
        <w:rPr>
          <w:rFonts w:eastAsia="Verdana"/>
          <w:sz w:val="24"/>
          <w:szCs w:val="24"/>
        </w:rPr>
        <w:t xml:space="preserve">1989 en su artículo 15 dispuso que el derecho a la pensión de gracia </w:t>
      </w:r>
      <w:r w:rsidR="00056A9A">
        <w:rPr>
          <w:rFonts w:eastAsia="Verdana"/>
          <w:sz w:val="24"/>
          <w:szCs w:val="24"/>
        </w:rPr>
        <w:t>es inherente a los docentes nacionalizados y territoriales vinculado</w:t>
      </w:r>
      <w:r w:rsidR="00D22C3A">
        <w:rPr>
          <w:rFonts w:eastAsia="Verdana"/>
          <w:sz w:val="24"/>
          <w:szCs w:val="24"/>
        </w:rPr>
        <w:t>s</w:t>
      </w:r>
      <w:r w:rsidR="00056A9A">
        <w:rPr>
          <w:rFonts w:eastAsia="Verdana"/>
          <w:sz w:val="24"/>
          <w:szCs w:val="24"/>
        </w:rPr>
        <w:t xml:space="preserve"> hasta el 31 de diciembre de 1980. Respecto del tiempo de servicio y el tipo de vinculación, el Consejo de Estado en su jurisprudencia ha indicado que estos se prueban con el tipo de nombramiento</w:t>
      </w:r>
      <w:r w:rsidR="005074B9">
        <w:rPr>
          <w:rFonts w:eastAsia="Verdana"/>
          <w:sz w:val="24"/>
          <w:szCs w:val="24"/>
        </w:rPr>
        <w:t xml:space="preserve">, la autoridad que lo hace, la institución educativa </w:t>
      </w:r>
      <w:r w:rsidR="00E540CC">
        <w:rPr>
          <w:rFonts w:eastAsia="Verdana"/>
          <w:sz w:val="24"/>
          <w:szCs w:val="24"/>
        </w:rPr>
        <w:t xml:space="preserve">a la que estuvo vinculado y su naturaleza, esto con </w:t>
      </w:r>
      <w:r w:rsidR="00017CF0">
        <w:rPr>
          <w:rFonts w:eastAsia="Verdana"/>
          <w:sz w:val="24"/>
          <w:szCs w:val="24"/>
        </w:rPr>
        <w:t xml:space="preserve">el </w:t>
      </w:r>
      <w:r w:rsidR="00E540CC">
        <w:rPr>
          <w:rFonts w:eastAsia="Verdana"/>
          <w:sz w:val="24"/>
          <w:szCs w:val="24"/>
        </w:rPr>
        <w:t xml:space="preserve">fin de establecer los requisitos de que trata la Ley 114 de 1913. </w:t>
      </w:r>
    </w:p>
    <w:p w:rsidR="002E1534" w:rsidRDefault="002E1534" w:rsidP="00996DA1">
      <w:pPr>
        <w:overflowPunct w:val="0"/>
        <w:autoSpaceDE w:val="0"/>
        <w:autoSpaceDN w:val="0"/>
        <w:adjustRightInd w:val="0"/>
        <w:contextualSpacing/>
        <w:rPr>
          <w:rFonts w:eastAsia="Verdana"/>
          <w:sz w:val="24"/>
          <w:szCs w:val="24"/>
        </w:rPr>
      </w:pPr>
    </w:p>
    <w:p w:rsidR="00193AD8" w:rsidRDefault="005C5E96" w:rsidP="00996DA1">
      <w:pPr>
        <w:overflowPunct w:val="0"/>
        <w:autoSpaceDE w:val="0"/>
        <w:autoSpaceDN w:val="0"/>
        <w:adjustRightInd w:val="0"/>
        <w:contextualSpacing/>
        <w:rPr>
          <w:rFonts w:eastAsia="Verdana"/>
          <w:sz w:val="24"/>
          <w:szCs w:val="24"/>
        </w:rPr>
      </w:pPr>
      <w:r>
        <w:rPr>
          <w:rFonts w:eastAsia="Verdana"/>
          <w:sz w:val="24"/>
          <w:szCs w:val="24"/>
        </w:rPr>
        <w:t xml:space="preserve">1.2.3.2. </w:t>
      </w:r>
      <w:r w:rsidR="00193AD8">
        <w:rPr>
          <w:rFonts w:eastAsia="Verdana"/>
          <w:sz w:val="24"/>
          <w:szCs w:val="24"/>
        </w:rPr>
        <w:t>De los formatos de historia laboral allegados al expediente, consideró que el demandante laboró como docente por alrededor de 41 años, 4 meses y 9 días</w:t>
      </w:r>
      <w:r w:rsidR="00017CF0">
        <w:rPr>
          <w:rFonts w:eastAsia="Verdana"/>
          <w:sz w:val="24"/>
          <w:szCs w:val="24"/>
        </w:rPr>
        <w:t>,</w:t>
      </w:r>
      <w:r w:rsidR="00193AD8">
        <w:rPr>
          <w:rFonts w:eastAsia="Verdana"/>
          <w:sz w:val="24"/>
          <w:szCs w:val="24"/>
        </w:rPr>
        <w:t xml:space="preserve"> así:</w:t>
      </w:r>
    </w:p>
    <w:p w:rsidR="006332F4" w:rsidRDefault="00C94284" w:rsidP="00996DA1">
      <w:pPr>
        <w:overflowPunct w:val="0"/>
        <w:autoSpaceDE w:val="0"/>
        <w:autoSpaceDN w:val="0"/>
        <w:adjustRightInd w:val="0"/>
        <w:contextualSpacing/>
        <w:rPr>
          <w:rFonts w:eastAsia="Verdana"/>
          <w:sz w:val="24"/>
          <w:szCs w:val="24"/>
        </w:rPr>
      </w:pPr>
      <w:r>
        <w:rPr>
          <w:noProof/>
          <w:lang w:eastAsia="es-CO"/>
        </w:rPr>
        <w:drawing>
          <wp:anchor distT="0" distB="0" distL="114300" distR="114300" simplePos="0" relativeHeight="251657216" behindDoc="1" locked="0" layoutInCell="1" allowOverlap="1">
            <wp:simplePos x="0" y="0"/>
            <wp:positionH relativeFrom="column">
              <wp:posOffset>367665</wp:posOffset>
            </wp:positionH>
            <wp:positionV relativeFrom="paragraph">
              <wp:posOffset>162560</wp:posOffset>
            </wp:positionV>
            <wp:extent cx="5010150" cy="3482340"/>
            <wp:effectExtent l="0" t="0" r="0" b="3810"/>
            <wp:wrapThrough wrapText="bothSides">
              <wp:wrapPolygon edited="0">
                <wp:start x="0" y="0"/>
                <wp:lineTo x="0" y="21505"/>
                <wp:lineTo x="21518" y="21505"/>
                <wp:lineTo x="21518" y="0"/>
                <wp:lineTo x="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30098" t="23685" r="34375" b="22514"/>
                    <a:stretch>
                      <a:fillRect/>
                    </a:stretch>
                  </pic:blipFill>
                  <pic:spPr bwMode="auto">
                    <a:xfrm>
                      <a:off x="0" y="0"/>
                      <a:ext cx="5010150" cy="348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3AD8" w:rsidRDefault="006332F4" w:rsidP="00996DA1">
      <w:pPr>
        <w:overflowPunct w:val="0"/>
        <w:autoSpaceDE w:val="0"/>
        <w:autoSpaceDN w:val="0"/>
        <w:adjustRightInd w:val="0"/>
        <w:contextualSpacing/>
        <w:rPr>
          <w:rFonts w:eastAsia="Verdana"/>
          <w:sz w:val="24"/>
          <w:szCs w:val="24"/>
        </w:rPr>
      </w:pPr>
      <w:r>
        <w:rPr>
          <w:rFonts w:eastAsia="Verdana"/>
          <w:sz w:val="24"/>
          <w:szCs w:val="24"/>
        </w:rPr>
        <w:t xml:space="preserve">    “         </w:t>
      </w: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193AD8" w:rsidRDefault="00193AD8" w:rsidP="00996DA1">
      <w:pPr>
        <w:overflowPunct w:val="0"/>
        <w:autoSpaceDE w:val="0"/>
        <w:autoSpaceDN w:val="0"/>
        <w:adjustRightInd w:val="0"/>
        <w:contextualSpacing/>
        <w:rPr>
          <w:rFonts w:eastAsia="Verdana"/>
          <w:sz w:val="24"/>
          <w:szCs w:val="24"/>
        </w:rPr>
      </w:pPr>
    </w:p>
    <w:p w:rsidR="00D22C3A" w:rsidRDefault="00D22C3A" w:rsidP="00996DA1">
      <w:pPr>
        <w:overflowPunct w:val="0"/>
        <w:autoSpaceDE w:val="0"/>
        <w:autoSpaceDN w:val="0"/>
        <w:adjustRightInd w:val="0"/>
        <w:contextualSpacing/>
        <w:rPr>
          <w:rFonts w:eastAsia="Verdana"/>
          <w:sz w:val="24"/>
          <w:szCs w:val="24"/>
        </w:rPr>
      </w:pPr>
    </w:p>
    <w:p w:rsidR="00D22C3A" w:rsidRDefault="00D22C3A" w:rsidP="00996DA1">
      <w:pPr>
        <w:overflowPunct w:val="0"/>
        <w:autoSpaceDE w:val="0"/>
        <w:autoSpaceDN w:val="0"/>
        <w:adjustRightInd w:val="0"/>
        <w:contextualSpacing/>
        <w:rPr>
          <w:rFonts w:eastAsia="Verdana"/>
          <w:sz w:val="24"/>
          <w:szCs w:val="24"/>
        </w:rPr>
      </w:pPr>
    </w:p>
    <w:p w:rsidR="00D22C3A" w:rsidRDefault="00D22C3A" w:rsidP="00996DA1">
      <w:pPr>
        <w:overflowPunct w:val="0"/>
        <w:autoSpaceDE w:val="0"/>
        <w:autoSpaceDN w:val="0"/>
        <w:adjustRightInd w:val="0"/>
        <w:contextualSpacing/>
        <w:rPr>
          <w:rFonts w:eastAsia="Verdana"/>
          <w:sz w:val="24"/>
          <w:szCs w:val="24"/>
        </w:rPr>
      </w:pPr>
    </w:p>
    <w:p w:rsidR="006332F4" w:rsidRDefault="00C94284" w:rsidP="00996DA1">
      <w:pPr>
        <w:overflowPunct w:val="0"/>
        <w:autoSpaceDE w:val="0"/>
        <w:autoSpaceDN w:val="0"/>
        <w:adjustRightInd w:val="0"/>
        <w:contextualSpacing/>
        <w:rPr>
          <w:rFonts w:eastAsia="Verdana"/>
          <w:sz w:val="24"/>
          <w:szCs w:val="24"/>
        </w:rPr>
      </w:pPr>
      <w:r>
        <w:rPr>
          <w:noProof/>
          <w:lang w:eastAsia="es-CO"/>
        </w:rPr>
        <w:drawing>
          <wp:anchor distT="0" distB="0" distL="114300" distR="114300" simplePos="0" relativeHeight="251658240" behindDoc="1" locked="0" layoutInCell="1" allowOverlap="1">
            <wp:simplePos x="0" y="0"/>
            <wp:positionH relativeFrom="column">
              <wp:posOffset>348615</wp:posOffset>
            </wp:positionH>
            <wp:positionV relativeFrom="paragraph">
              <wp:posOffset>0</wp:posOffset>
            </wp:positionV>
            <wp:extent cx="5095875" cy="5816600"/>
            <wp:effectExtent l="0" t="0" r="9525"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30263" t="15790" r="34291" b="5847"/>
                    <a:stretch>
                      <a:fillRect/>
                    </a:stretch>
                  </pic:blipFill>
                  <pic:spPr bwMode="auto">
                    <a:xfrm>
                      <a:off x="0" y="0"/>
                      <a:ext cx="5095875" cy="581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p>
    <w:p w:rsidR="006332F4" w:rsidRDefault="006332F4" w:rsidP="00996DA1">
      <w:pPr>
        <w:overflowPunct w:val="0"/>
        <w:autoSpaceDE w:val="0"/>
        <w:autoSpaceDN w:val="0"/>
        <w:adjustRightInd w:val="0"/>
        <w:contextualSpacing/>
        <w:rPr>
          <w:rFonts w:eastAsia="Verdana"/>
          <w:sz w:val="24"/>
          <w:szCs w:val="24"/>
        </w:rPr>
      </w:pPr>
      <w:r>
        <w:rPr>
          <w:rFonts w:eastAsia="Verdana"/>
          <w:sz w:val="24"/>
          <w:szCs w:val="24"/>
        </w:rPr>
        <w:tab/>
      </w:r>
      <w:r>
        <w:rPr>
          <w:rFonts w:eastAsia="Verdana"/>
          <w:sz w:val="24"/>
          <w:szCs w:val="24"/>
        </w:rPr>
        <w:tab/>
        <w:t xml:space="preserve">                                                                                                             “</w:t>
      </w:r>
      <w:r>
        <w:rPr>
          <w:rStyle w:val="Refdenotaalpie"/>
          <w:rFonts w:eastAsia="Verdana"/>
          <w:sz w:val="24"/>
          <w:szCs w:val="24"/>
        </w:rPr>
        <w:footnoteReference w:id="6"/>
      </w:r>
      <w:r>
        <w:rPr>
          <w:rFonts w:eastAsia="Verdana"/>
          <w:sz w:val="24"/>
          <w:szCs w:val="24"/>
        </w:rPr>
        <w:t>.</w:t>
      </w:r>
    </w:p>
    <w:p w:rsidR="00D22C3A" w:rsidRDefault="00D22C3A" w:rsidP="00996DA1">
      <w:pPr>
        <w:overflowPunct w:val="0"/>
        <w:autoSpaceDE w:val="0"/>
        <w:autoSpaceDN w:val="0"/>
        <w:adjustRightInd w:val="0"/>
        <w:contextualSpacing/>
        <w:rPr>
          <w:rFonts w:eastAsia="Verdana"/>
          <w:sz w:val="24"/>
          <w:szCs w:val="24"/>
        </w:rPr>
      </w:pPr>
    </w:p>
    <w:p w:rsidR="00996DA1" w:rsidRDefault="00D22C3A" w:rsidP="00996DA1">
      <w:pPr>
        <w:overflowPunct w:val="0"/>
        <w:autoSpaceDE w:val="0"/>
        <w:autoSpaceDN w:val="0"/>
        <w:adjustRightInd w:val="0"/>
        <w:contextualSpacing/>
        <w:rPr>
          <w:rFonts w:eastAsia="Verdana"/>
          <w:sz w:val="24"/>
          <w:szCs w:val="24"/>
        </w:rPr>
      </w:pPr>
      <w:r>
        <w:rPr>
          <w:rFonts w:eastAsia="Verdana"/>
          <w:sz w:val="24"/>
          <w:szCs w:val="24"/>
        </w:rPr>
        <w:t>Concluyó que</w:t>
      </w:r>
      <w:r w:rsidR="005C5E96">
        <w:rPr>
          <w:rFonts w:eastAsia="Verdana"/>
          <w:sz w:val="24"/>
          <w:szCs w:val="24"/>
        </w:rPr>
        <w:t xml:space="preserve">: i)  el señor Cabrales Dávila nació el 17 de marzo de 1947; </w:t>
      </w:r>
      <w:proofErr w:type="spellStart"/>
      <w:r w:rsidR="005C5E96">
        <w:rPr>
          <w:rFonts w:eastAsia="Verdana"/>
          <w:sz w:val="24"/>
          <w:szCs w:val="24"/>
        </w:rPr>
        <w:t>ii</w:t>
      </w:r>
      <w:proofErr w:type="spellEnd"/>
      <w:r w:rsidR="005C5E96">
        <w:rPr>
          <w:rFonts w:eastAsia="Verdana"/>
          <w:sz w:val="24"/>
          <w:szCs w:val="24"/>
        </w:rPr>
        <w:t>) el Ministerio de Educación Nacional mediante Resolución 2719 del 22 de mayo de 1975 nombró al demandante como maestro de básica secundaria; labor que desempeñ</w:t>
      </w:r>
      <w:r w:rsidR="009D4E1A">
        <w:rPr>
          <w:rFonts w:eastAsia="Verdana"/>
          <w:sz w:val="24"/>
          <w:szCs w:val="24"/>
        </w:rPr>
        <w:t>ó</w:t>
      </w:r>
      <w:r w:rsidR="005C5E96">
        <w:rPr>
          <w:rFonts w:eastAsia="Verdana"/>
          <w:sz w:val="24"/>
          <w:szCs w:val="24"/>
        </w:rPr>
        <w:t xml:space="preserve"> en los municipios de Mongua, </w:t>
      </w:r>
      <w:proofErr w:type="spellStart"/>
      <w:r w:rsidR="005C5E96">
        <w:rPr>
          <w:rFonts w:eastAsia="Verdana"/>
          <w:sz w:val="24"/>
          <w:szCs w:val="24"/>
        </w:rPr>
        <w:t>Gachancipa</w:t>
      </w:r>
      <w:proofErr w:type="spellEnd"/>
      <w:r w:rsidR="005C5E96">
        <w:rPr>
          <w:rFonts w:eastAsia="Verdana"/>
          <w:sz w:val="24"/>
          <w:szCs w:val="24"/>
        </w:rPr>
        <w:t xml:space="preserve"> y Soacha desde el 7 de abril de 1975 al 30 de abril de 1980</w:t>
      </w:r>
      <w:r w:rsidR="008239BC">
        <w:rPr>
          <w:rFonts w:eastAsia="Verdana"/>
          <w:sz w:val="24"/>
          <w:szCs w:val="24"/>
        </w:rPr>
        <w:t xml:space="preserve"> y</w:t>
      </w:r>
      <w:r w:rsidR="00017CF0">
        <w:rPr>
          <w:rFonts w:eastAsia="Verdana"/>
          <w:sz w:val="24"/>
          <w:szCs w:val="24"/>
        </w:rPr>
        <w:t>,</w:t>
      </w:r>
      <w:r w:rsidR="008239BC">
        <w:rPr>
          <w:rFonts w:eastAsia="Verdana"/>
          <w:sz w:val="24"/>
          <w:szCs w:val="24"/>
        </w:rPr>
        <w:t xml:space="preserve"> </w:t>
      </w:r>
      <w:r w:rsidR="004F13F2">
        <w:rPr>
          <w:rFonts w:eastAsia="Verdana"/>
          <w:sz w:val="24"/>
          <w:szCs w:val="24"/>
        </w:rPr>
        <w:t xml:space="preserve">por </w:t>
      </w:r>
      <w:r w:rsidR="005C5E96">
        <w:rPr>
          <w:rFonts w:eastAsia="Verdana"/>
          <w:sz w:val="24"/>
          <w:szCs w:val="24"/>
        </w:rPr>
        <w:t xml:space="preserve">Decreto 7643 del 30 de abril de 1980 </w:t>
      </w:r>
      <w:r w:rsidR="004F13F2">
        <w:rPr>
          <w:rFonts w:eastAsia="Verdana"/>
          <w:sz w:val="24"/>
          <w:szCs w:val="24"/>
        </w:rPr>
        <w:t xml:space="preserve">se le aceptó la </w:t>
      </w:r>
      <w:r w:rsidR="005C5E96">
        <w:rPr>
          <w:rFonts w:eastAsia="Verdana"/>
          <w:sz w:val="24"/>
          <w:szCs w:val="24"/>
        </w:rPr>
        <w:t xml:space="preserve">renuncia, acumulando un tiempo de servicio de alrededor de 5 años y 23 días; </w:t>
      </w:r>
      <w:proofErr w:type="spellStart"/>
      <w:r w:rsidR="005C5E96">
        <w:rPr>
          <w:rFonts w:eastAsia="Verdana"/>
          <w:sz w:val="24"/>
          <w:szCs w:val="24"/>
        </w:rPr>
        <w:t>i</w:t>
      </w:r>
      <w:r w:rsidR="008239BC">
        <w:rPr>
          <w:rFonts w:eastAsia="Verdana"/>
          <w:sz w:val="24"/>
          <w:szCs w:val="24"/>
        </w:rPr>
        <w:t>ii</w:t>
      </w:r>
      <w:proofErr w:type="spellEnd"/>
      <w:r w:rsidR="005C5E96">
        <w:rPr>
          <w:rFonts w:eastAsia="Verdana"/>
          <w:sz w:val="24"/>
          <w:szCs w:val="24"/>
        </w:rPr>
        <w:t xml:space="preserve">) el Ministerio de Educación Nacional mediante Resolución 24 del 16 de abril de 1980, lo nombró como docente del Instituto Nacional de Educación Media Diversificada (INEM) José Eustasio Rivera de Leticia </w:t>
      </w:r>
      <w:r w:rsidR="008239BC">
        <w:rPr>
          <w:rFonts w:eastAsia="Verdana"/>
          <w:sz w:val="24"/>
          <w:szCs w:val="24"/>
        </w:rPr>
        <w:t xml:space="preserve">desde el </w:t>
      </w:r>
      <w:r w:rsidR="009D4E1A">
        <w:rPr>
          <w:rFonts w:eastAsia="Verdana"/>
          <w:sz w:val="24"/>
          <w:szCs w:val="24"/>
        </w:rPr>
        <w:t xml:space="preserve">16 de abril de 1980 </w:t>
      </w:r>
      <w:r w:rsidR="008239BC">
        <w:rPr>
          <w:rFonts w:eastAsia="Verdana"/>
          <w:sz w:val="24"/>
          <w:szCs w:val="24"/>
        </w:rPr>
        <w:t>hasta el 26 de enero de 1993, fecha en la que fue aceptada su renuncia a través del Decreto 16 del 27 de enero de 1993, acumulando un tiempo de servicio de 12 años, 9 meses y 1 día;</w:t>
      </w:r>
      <w:r w:rsidR="00A31BB3">
        <w:rPr>
          <w:rFonts w:eastAsia="Verdana"/>
          <w:sz w:val="24"/>
          <w:szCs w:val="24"/>
        </w:rPr>
        <w:t xml:space="preserve"> y  </w:t>
      </w:r>
      <w:proofErr w:type="spellStart"/>
      <w:r w:rsidR="00A31BB3">
        <w:rPr>
          <w:rFonts w:eastAsia="Verdana"/>
          <w:sz w:val="24"/>
          <w:szCs w:val="24"/>
        </w:rPr>
        <w:t>iv</w:t>
      </w:r>
      <w:proofErr w:type="spellEnd"/>
      <w:r w:rsidR="00A31BB3">
        <w:rPr>
          <w:rFonts w:eastAsia="Verdana"/>
          <w:sz w:val="24"/>
          <w:szCs w:val="24"/>
        </w:rPr>
        <w:t>) mediante Decreto 995 del 19 de abril de 1986 el Gobernador, el Secretario de Educación de Cundinamarca y el delegado del Ministerio de Educación Nacional ante ese departamento, nombraron al demandante como profesor de básica secundar</w:t>
      </w:r>
      <w:r w:rsidR="009D4E1A">
        <w:rPr>
          <w:rFonts w:eastAsia="Verdana"/>
          <w:sz w:val="24"/>
          <w:szCs w:val="24"/>
        </w:rPr>
        <w:t>i</w:t>
      </w:r>
      <w:r w:rsidR="00A31BB3">
        <w:rPr>
          <w:rFonts w:eastAsia="Verdana"/>
          <w:sz w:val="24"/>
          <w:szCs w:val="24"/>
        </w:rPr>
        <w:t xml:space="preserve">a de </w:t>
      </w:r>
      <w:r w:rsidR="00A31BB3">
        <w:rPr>
          <w:rFonts w:eastAsia="Verdana"/>
          <w:sz w:val="24"/>
          <w:szCs w:val="24"/>
        </w:rPr>
        <w:lastRenderedPageBreak/>
        <w:t>física y matemáticas del Colegio Departamental Abdón López del Municipio de Gachetá, fue trasladado a otra institución y posteriormente a la Escuela Rural de Gama, acumulando 23 años, 6 meses y 12 días por periodo comprendido entre el 19 de junio de 1986 al 31 de diciembre de 2009, tiempo viable para acceder al beneficio de pensión de gracia.</w:t>
      </w:r>
    </w:p>
    <w:p w:rsidR="005713B8" w:rsidRDefault="005713B8" w:rsidP="00996DA1">
      <w:pPr>
        <w:overflowPunct w:val="0"/>
        <w:autoSpaceDE w:val="0"/>
        <w:autoSpaceDN w:val="0"/>
        <w:adjustRightInd w:val="0"/>
        <w:contextualSpacing/>
        <w:rPr>
          <w:rFonts w:eastAsia="Verdana"/>
          <w:sz w:val="24"/>
          <w:szCs w:val="24"/>
        </w:rPr>
      </w:pPr>
    </w:p>
    <w:p w:rsidR="00D43033" w:rsidRDefault="00D43033" w:rsidP="00996DA1">
      <w:pPr>
        <w:overflowPunct w:val="0"/>
        <w:autoSpaceDE w:val="0"/>
        <w:autoSpaceDN w:val="0"/>
        <w:adjustRightInd w:val="0"/>
        <w:contextualSpacing/>
        <w:rPr>
          <w:rFonts w:eastAsia="Verdana"/>
          <w:sz w:val="24"/>
          <w:szCs w:val="24"/>
        </w:rPr>
      </w:pPr>
      <w:r>
        <w:rPr>
          <w:rFonts w:eastAsia="Verdana"/>
          <w:sz w:val="24"/>
          <w:szCs w:val="24"/>
        </w:rPr>
        <w:t>1.2.3.3. La Sección Segunda ha indicado en diferentes pronunciamientos que, los beneficiarios de la pensión gracia son los docentes cuya vinculación sea territorial y/o nacionalizada descartando las de orden nacional, sea que provengan directamente del Gobierno Nacional o se acredite en el plenario que la profesión se ejerció en una institución educativa nacional, como los Institutos Nacionales de Educación Media Diversificada (INEM)</w:t>
      </w:r>
      <w:r>
        <w:rPr>
          <w:rStyle w:val="Refdenotaalpie"/>
          <w:rFonts w:eastAsia="Verdana"/>
          <w:sz w:val="24"/>
          <w:szCs w:val="24"/>
        </w:rPr>
        <w:footnoteReference w:id="7"/>
      </w:r>
      <w:r>
        <w:rPr>
          <w:rFonts w:eastAsia="Verdana"/>
          <w:sz w:val="24"/>
          <w:szCs w:val="24"/>
        </w:rPr>
        <w:t>.</w:t>
      </w:r>
    </w:p>
    <w:p w:rsidR="00D43033" w:rsidRDefault="00D43033" w:rsidP="00996DA1">
      <w:pPr>
        <w:overflowPunct w:val="0"/>
        <w:autoSpaceDE w:val="0"/>
        <w:autoSpaceDN w:val="0"/>
        <w:adjustRightInd w:val="0"/>
        <w:contextualSpacing/>
        <w:rPr>
          <w:rFonts w:eastAsia="Verdana"/>
          <w:sz w:val="24"/>
          <w:szCs w:val="24"/>
        </w:rPr>
      </w:pPr>
    </w:p>
    <w:p w:rsidR="000210C9" w:rsidRDefault="000E674F" w:rsidP="00996DA1">
      <w:pPr>
        <w:overflowPunct w:val="0"/>
        <w:autoSpaceDE w:val="0"/>
        <w:autoSpaceDN w:val="0"/>
        <w:adjustRightInd w:val="0"/>
        <w:contextualSpacing/>
        <w:rPr>
          <w:rFonts w:eastAsia="Verdana"/>
          <w:sz w:val="24"/>
          <w:szCs w:val="24"/>
        </w:rPr>
      </w:pPr>
      <w:r w:rsidRPr="006332F4">
        <w:rPr>
          <w:rFonts w:eastAsia="Verdana"/>
          <w:sz w:val="24"/>
          <w:szCs w:val="24"/>
        </w:rPr>
        <w:t>E</w:t>
      </w:r>
      <w:r w:rsidR="00D43033" w:rsidRPr="006332F4">
        <w:rPr>
          <w:rFonts w:eastAsia="Verdana"/>
          <w:sz w:val="24"/>
          <w:szCs w:val="24"/>
        </w:rPr>
        <w:t xml:space="preserve">l tiempo laborado por el demandante como docente oficial a partir de los nombramientos del Ministerio de Educación Nacional, esto es, por el lapso </w:t>
      </w:r>
      <w:r w:rsidR="00963177" w:rsidRPr="006332F4">
        <w:rPr>
          <w:rFonts w:eastAsia="Verdana"/>
          <w:sz w:val="24"/>
          <w:szCs w:val="24"/>
        </w:rPr>
        <w:t>del 7 de abril de 1975 al 30 de abril de 1980 y del 16 de abril de 1980 hasta el 26 de enero de 1993, no</w:t>
      </w:r>
      <w:r w:rsidR="004F13F2">
        <w:rPr>
          <w:rFonts w:eastAsia="Verdana"/>
          <w:sz w:val="24"/>
          <w:szCs w:val="24"/>
        </w:rPr>
        <w:t xml:space="preserve"> se tienen en cuenta </w:t>
      </w:r>
      <w:r w:rsidR="00963177" w:rsidRPr="006332F4">
        <w:rPr>
          <w:rFonts w:eastAsia="Verdana"/>
          <w:sz w:val="24"/>
          <w:szCs w:val="24"/>
        </w:rPr>
        <w:t>para el reconocimiento de la pensión solicitada, toda vez que, tienen carácter nacional y algunos fueron prestados en un Instituto Nacional de Educación Media Diversificada (INEM), siendo viables únicamente los nombramientos efectuados por la autoridad territorial, es decir, los prestados del 19 de abril de 1986 al 31 de diciembre de 2009.</w:t>
      </w:r>
      <w:r w:rsidR="00963177">
        <w:rPr>
          <w:rFonts w:eastAsia="Verdana"/>
          <w:sz w:val="24"/>
          <w:szCs w:val="24"/>
        </w:rPr>
        <w:t xml:space="preserve"> </w:t>
      </w:r>
    </w:p>
    <w:p w:rsidR="000210C9" w:rsidRDefault="000210C9" w:rsidP="00996DA1">
      <w:pPr>
        <w:overflowPunct w:val="0"/>
        <w:autoSpaceDE w:val="0"/>
        <w:autoSpaceDN w:val="0"/>
        <w:adjustRightInd w:val="0"/>
        <w:contextualSpacing/>
        <w:rPr>
          <w:rFonts w:eastAsia="Verdana"/>
          <w:sz w:val="24"/>
          <w:szCs w:val="24"/>
        </w:rPr>
      </w:pPr>
    </w:p>
    <w:p w:rsidR="000C24E8" w:rsidRDefault="000E674F" w:rsidP="00996DA1">
      <w:pPr>
        <w:overflowPunct w:val="0"/>
        <w:autoSpaceDE w:val="0"/>
        <w:autoSpaceDN w:val="0"/>
        <w:adjustRightInd w:val="0"/>
        <w:contextualSpacing/>
        <w:rPr>
          <w:rFonts w:eastAsia="Verdana"/>
          <w:sz w:val="24"/>
          <w:szCs w:val="24"/>
        </w:rPr>
      </w:pPr>
      <w:r>
        <w:rPr>
          <w:rFonts w:eastAsia="Verdana"/>
          <w:sz w:val="24"/>
          <w:szCs w:val="24"/>
        </w:rPr>
        <w:t>En ese orden, si bien es cierto que</w:t>
      </w:r>
      <w:r w:rsidR="00017CF0">
        <w:rPr>
          <w:rFonts w:eastAsia="Verdana"/>
          <w:sz w:val="24"/>
          <w:szCs w:val="24"/>
        </w:rPr>
        <w:t>,</w:t>
      </w:r>
      <w:r>
        <w:rPr>
          <w:rFonts w:eastAsia="Verdana"/>
          <w:sz w:val="24"/>
          <w:szCs w:val="24"/>
        </w:rPr>
        <w:t xml:space="preserve"> el demandante durante un tiempo prestó sus servicios como maestro de carácter territorial, esto </w:t>
      </w:r>
      <w:r w:rsidR="00017CF0">
        <w:rPr>
          <w:rFonts w:eastAsia="Verdana"/>
          <w:sz w:val="24"/>
          <w:szCs w:val="24"/>
        </w:rPr>
        <w:t>es, del</w:t>
      </w:r>
      <w:r>
        <w:rPr>
          <w:rFonts w:eastAsia="Verdana"/>
          <w:sz w:val="24"/>
          <w:szCs w:val="24"/>
        </w:rPr>
        <w:t xml:space="preserve"> 19 </w:t>
      </w:r>
      <w:r w:rsidR="000C24E8">
        <w:rPr>
          <w:rFonts w:eastAsia="Verdana"/>
          <w:sz w:val="24"/>
          <w:szCs w:val="24"/>
        </w:rPr>
        <w:t>de abril de 1986</w:t>
      </w:r>
      <w:r w:rsidR="009D4E1A">
        <w:rPr>
          <w:rFonts w:eastAsia="Verdana"/>
          <w:sz w:val="24"/>
          <w:szCs w:val="24"/>
        </w:rPr>
        <w:t xml:space="preserve"> al 31 de diciembre de 2009</w:t>
      </w:r>
      <w:r w:rsidR="000C24E8">
        <w:rPr>
          <w:rFonts w:eastAsia="Verdana"/>
          <w:sz w:val="24"/>
          <w:szCs w:val="24"/>
        </w:rPr>
        <w:t>, también es cierto que</w:t>
      </w:r>
      <w:r w:rsidR="00017CF0">
        <w:rPr>
          <w:rFonts w:eastAsia="Verdana"/>
          <w:sz w:val="24"/>
          <w:szCs w:val="24"/>
        </w:rPr>
        <w:t>,</w:t>
      </w:r>
      <w:r w:rsidR="000C24E8">
        <w:rPr>
          <w:rFonts w:eastAsia="Verdana"/>
          <w:sz w:val="24"/>
          <w:szCs w:val="24"/>
        </w:rPr>
        <w:t xml:space="preserve"> el derecho a dicha prestación lo mantienen los docentes en </w:t>
      </w:r>
      <w:r w:rsidR="00017CF0">
        <w:rPr>
          <w:rFonts w:eastAsia="Verdana"/>
          <w:sz w:val="24"/>
          <w:szCs w:val="24"/>
        </w:rPr>
        <w:t>tal c</w:t>
      </w:r>
      <w:r w:rsidR="000C24E8">
        <w:rPr>
          <w:rFonts w:eastAsia="Verdana"/>
          <w:sz w:val="24"/>
          <w:szCs w:val="24"/>
        </w:rPr>
        <w:t xml:space="preserve">ondición y los nacionalizados que se hubieren vinculado hasta el 31 de diciembre de 1980, descartándose para aquellos que siendo nacionales hubieren sido nombrados dentro del mencionado límite temporal. </w:t>
      </w:r>
    </w:p>
    <w:p w:rsidR="000C24E8" w:rsidRDefault="000C24E8" w:rsidP="00996DA1">
      <w:pPr>
        <w:overflowPunct w:val="0"/>
        <w:autoSpaceDE w:val="0"/>
        <w:autoSpaceDN w:val="0"/>
        <w:adjustRightInd w:val="0"/>
        <w:contextualSpacing/>
        <w:rPr>
          <w:rFonts w:eastAsia="Verdana"/>
          <w:sz w:val="24"/>
          <w:szCs w:val="24"/>
        </w:rPr>
      </w:pPr>
    </w:p>
    <w:p w:rsidR="000C24E8" w:rsidRDefault="000C24E8" w:rsidP="00996DA1">
      <w:pPr>
        <w:overflowPunct w:val="0"/>
        <w:autoSpaceDE w:val="0"/>
        <w:autoSpaceDN w:val="0"/>
        <w:adjustRightInd w:val="0"/>
        <w:contextualSpacing/>
        <w:rPr>
          <w:rFonts w:eastAsia="Verdana"/>
          <w:sz w:val="24"/>
          <w:szCs w:val="24"/>
        </w:rPr>
      </w:pPr>
      <w:r>
        <w:rPr>
          <w:rFonts w:eastAsia="Verdana"/>
          <w:sz w:val="24"/>
          <w:szCs w:val="24"/>
        </w:rPr>
        <w:t xml:space="preserve">Para el caso concreto el demandante no estuvo vinculado como docente nacionalizado o territorial con anterioridad al límite temporal indicado </w:t>
      </w:r>
      <w:r w:rsidR="00A80782">
        <w:rPr>
          <w:rFonts w:eastAsia="Verdana"/>
          <w:sz w:val="24"/>
          <w:szCs w:val="24"/>
        </w:rPr>
        <w:t xml:space="preserve">— </w:t>
      </w:r>
      <w:r w:rsidR="00102A8E">
        <w:rPr>
          <w:rFonts w:eastAsia="Verdana"/>
          <w:sz w:val="24"/>
          <w:szCs w:val="24"/>
        </w:rPr>
        <w:t>31 de diciembre de 1980</w:t>
      </w:r>
      <w:r w:rsidR="00A80782">
        <w:rPr>
          <w:rFonts w:eastAsia="Verdana"/>
          <w:sz w:val="24"/>
          <w:szCs w:val="24"/>
        </w:rPr>
        <w:t xml:space="preserve"> —</w:t>
      </w:r>
      <w:r w:rsidR="00102A8E">
        <w:rPr>
          <w:rFonts w:eastAsia="Verdana"/>
          <w:sz w:val="24"/>
          <w:szCs w:val="24"/>
        </w:rPr>
        <w:t xml:space="preserve"> </w:t>
      </w:r>
      <w:r>
        <w:rPr>
          <w:rFonts w:eastAsia="Verdana"/>
          <w:sz w:val="24"/>
          <w:szCs w:val="24"/>
        </w:rPr>
        <w:t>por lo que, no</w:t>
      </w:r>
      <w:r w:rsidR="00791099">
        <w:rPr>
          <w:rFonts w:eastAsia="Verdana"/>
          <w:sz w:val="24"/>
          <w:szCs w:val="24"/>
        </w:rPr>
        <w:t xml:space="preserve"> </w:t>
      </w:r>
      <w:r>
        <w:rPr>
          <w:rFonts w:eastAsia="Verdana"/>
          <w:sz w:val="24"/>
          <w:szCs w:val="24"/>
        </w:rPr>
        <w:t>cumple con uno de los requisitos que le da el derecho a la pensión de gracia, lo que hace innecesario el análisis de los demás, pues estos no son excluyentes y son de obligatorio cumplimiento. Por otro lado, fue acreditado que la profesión docente la ejerció el demandante en una institución educativa nacional, tales como los Institutos Nacionales de Educación Media Diversificada (INEM)</w:t>
      </w:r>
      <w:r w:rsidR="009D4E1A">
        <w:rPr>
          <w:rFonts w:eastAsia="Verdana"/>
          <w:sz w:val="24"/>
          <w:szCs w:val="24"/>
        </w:rPr>
        <w:t>, por lo que,</w:t>
      </w:r>
      <w:r>
        <w:rPr>
          <w:rFonts w:eastAsia="Verdana"/>
          <w:sz w:val="24"/>
          <w:szCs w:val="24"/>
        </w:rPr>
        <w:t xml:space="preserve"> estos tiempos de servicio no pueden computarse para el reconocimiento pensional. </w:t>
      </w:r>
    </w:p>
    <w:p w:rsidR="000C24E8" w:rsidRDefault="000C24E8" w:rsidP="00996DA1">
      <w:pPr>
        <w:overflowPunct w:val="0"/>
        <w:autoSpaceDE w:val="0"/>
        <w:autoSpaceDN w:val="0"/>
        <w:adjustRightInd w:val="0"/>
        <w:contextualSpacing/>
        <w:rPr>
          <w:rFonts w:eastAsia="Verdana"/>
          <w:sz w:val="24"/>
          <w:szCs w:val="24"/>
        </w:rPr>
      </w:pPr>
    </w:p>
    <w:p w:rsidR="00996DA1" w:rsidRPr="00B26F19" w:rsidRDefault="00A2445F" w:rsidP="00C94284">
      <w:pPr>
        <w:overflowPunct w:val="0"/>
        <w:autoSpaceDE w:val="0"/>
        <w:autoSpaceDN w:val="0"/>
        <w:adjustRightInd w:val="0"/>
        <w:spacing w:after="240"/>
        <w:rPr>
          <w:bCs/>
          <w:sz w:val="22"/>
          <w:szCs w:val="22"/>
        </w:rPr>
      </w:pPr>
      <w:r>
        <w:rPr>
          <w:rFonts w:eastAsia="Verdana"/>
          <w:sz w:val="24"/>
          <w:szCs w:val="24"/>
        </w:rPr>
        <w:t>Las entidades territoriales para asumir la administración del sector de la educación, incorporaron a su planta de personal a algunos docentes, directivos docentes y administrativos, sin embargo esto no implica que la calidad de la vinculación de estos mut</w:t>
      </w:r>
      <w:r w:rsidR="004F13F2">
        <w:rPr>
          <w:rFonts w:eastAsia="Verdana"/>
          <w:sz w:val="24"/>
          <w:szCs w:val="24"/>
        </w:rPr>
        <w:t>e</w:t>
      </w:r>
      <w:r>
        <w:rPr>
          <w:rFonts w:eastAsia="Verdana"/>
          <w:sz w:val="24"/>
          <w:szCs w:val="24"/>
        </w:rPr>
        <w:t xml:space="preserve"> de nacional a territorial, dado que el artículo 1 de la Ley 91 de 1989 estableció que los docentes vinculados por nombramiento del Gobierno Nacional son personal nacional y en todo caso</w:t>
      </w:r>
      <w:r w:rsidR="00E17E4F">
        <w:rPr>
          <w:rFonts w:eastAsia="Verdana"/>
          <w:sz w:val="24"/>
          <w:szCs w:val="24"/>
        </w:rPr>
        <w:t>,</w:t>
      </w:r>
      <w:r>
        <w:rPr>
          <w:rFonts w:eastAsia="Verdana"/>
          <w:sz w:val="24"/>
          <w:szCs w:val="24"/>
        </w:rPr>
        <w:t xml:space="preserve"> la nominación es una sola y es diferente a la incorporación. </w:t>
      </w:r>
    </w:p>
    <w:p w:rsidR="004F13F2" w:rsidRPr="00CF138B" w:rsidRDefault="003E02F0" w:rsidP="00CF138B">
      <w:pPr>
        <w:keepNext/>
        <w:widowControl w:val="0"/>
        <w:numPr>
          <w:ilvl w:val="1"/>
          <w:numId w:val="5"/>
        </w:numPr>
        <w:overflowPunct w:val="0"/>
        <w:autoSpaceDE w:val="0"/>
        <w:autoSpaceDN w:val="0"/>
        <w:adjustRightInd w:val="0"/>
        <w:spacing w:before="240" w:after="240"/>
        <w:ind w:left="1077" w:hanging="1077"/>
        <w:rPr>
          <w:rFonts w:eastAsia="Times New Roman"/>
          <w:b/>
          <w:sz w:val="24"/>
          <w:szCs w:val="24"/>
          <w:lang w:eastAsia="es-ES"/>
        </w:rPr>
      </w:pPr>
      <w:r w:rsidRPr="00FE1D35">
        <w:rPr>
          <w:rFonts w:eastAsia="Times New Roman"/>
          <w:b/>
          <w:sz w:val="24"/>
          <w:szCs w:val="24"/>
          <w:lang w:eastAsia="es-ES"/>
        </w:rPr>
        <w:lastRenderedPageBreak/>
        <w:t>Pretensiones</w:t>
      </w:r>
      <w:r w:rsidR="0058016E" w:rsidRPr="00FE1D35">
        <w:rPr>
          <w:rFonts w:eastAsia="Times New Roman"/>
          <w:b/>
          <w:sz w:val="24"/>
          <w:szCs w:val="24"/>
          <w:lang w:eastAsia="es-ES"/>
        </w:rPr>
        <w:t xml:space="preserve"> y argumentos</w:t>
      </w:r>
      <w:r w:rsidRPr="00FE1D35">
        <w:rPr>
          <w:rFonts w:eastAsia="Times New Roman"/>
          <w:b/>
          <w:sz w:val="24"/>
          <w:szCs w:val="24"/>
          <w:lang w:eastAsia="es-ES"/>
        </w:rPr>
        <w:t xml:space="preserve"> de tutela</w:t>
      </w:r>
    </w:p>
    <w:p w:rsidR="009F77E0" w:rsidRPr="009775B0" w:rsidRDefault="0058016E" w:rsidP="00CF138B">
      <w:pPr>
        <w:keepNext/>
        <w:widowControl w:val="0"/>
        <w:contextualSpacing/>
        <w:rPr>
          <w:bCs/>
          <w:color w:val="000000"/>
          <w:sz w:val="24"/>
          <w:szCs w:val="24"/>
        </w:rPr>
      </w:pPr>
      <w:r>
        <w:rPr>
          <w:color w:val="000000"/>
          <w:sz w:val="24"/>
          <w:szCs w:val="24"/>
        </w:rPr>
        <w:t xml:space="preserve">1.3.1. </w:t>
      </w:r>
      <w:r w:rsidR="00FE1D35">
        <w:rPr>
          <w:color w:val="000000"/>
          <w:sz w:val="24"/>
          <w:szCs w:val="24"/>
        </w:rPr>
        <w:t>El señor Raúl Cabrales Dávila</w:t>
      </w:r>
      <w:r w:rsidR="00D55837">
        <w:rPr>
          <w:color w:val="000000"/>
          <w:sz w:val="24"/>
          <w:szCs w:val="24"/>
        </w:rPr>
        <w:t xml:space="preserve"> solicitó</w:t>
      </w:r>
      <w:r w:rsidR="009F77E0">
        <w:rPr>
          <w:rStyle w:val="Refdenotaalpie"/>
          <w:rFonts w:eastAsia="Verdana"/>
          <w:color w:val="000000"/>
          <w:sz w:val="24"/>
          <w:szCs w:val="24"/>
        </w:rPr>
        <w:footnoteReference w:id="8"/>
      </w:r>
      <w:r w:rsidR="00D55837">
        <w:rPr>
          <w:color w:val="000000"/>
          <w:sz w:val="24"/>
          <w:szCs w:val="24"/>
        </w:rPr>
        <w:t xml:space="preserve"> al juez constitucional</w:t>
      </w:r>
      <w:r w:rsidR="003E02F0" w:rsidRPr="003E02F0">
        <w:rPr>
          <w:rFonts w:eastAsia="Verdana"/>
          <w:color w:val="000000"/>
          <w:sz w:val="24"/>
          <w:szCs w:val="24"/>
        </w:rPr>
        <w:t>:</w:t>
      </w:r>
      <w:r w:rsidR="009F77E0">
        <w:rPr>
          <w:rFonts w:eastAsia="Verdana"/>
          <w:color w:val="000000"/>
          <w:sz w:val="24"/>
          <w:szCs w:val="24"/>
        </w:rPr>
        <w:t xml:space="preserve"> </w:t>
      </w:r>
      <w:r w:rsidR="00A273ED">
        <w:rPr>
          <w:rFonts w:eastAsia="Verdana"/>
          <w:color w:val="000000"/>
          <w:sz w:val="24"/>
          <w:szCs w:val="24"/>
        </w:rPr>
        <w:t>i)</w:t>
      </w:r>
      <w:r w:rsidR="008E6FC9">
        <w:rPr>
          <w:rFonts w:eastAsia="Verdana"/>
          <w:color w:val="000000"/>
          <w:sz w:val="24"/>
          <w:szCs w:val="24"/>
        </w:rPr>
        <w:t xml:space="preserve"> amparar los derechos fundamentales </w:t>
      </w:r>
      <w:r w:rsidR="00D55837">
        <w:rPr>
          <w:rFonts w:eastAsia="Verdana"/>
          <w:color w:val="000000"/>
          <w:sz w:val="24"/>
          <w:szCs w:val="24"/>
        </w:rPr>
        <w:t xml:space="preserve">al debido proceso y a la igualdad; </w:t>
      </w:r>
      <w:proofErr w:type="spellStart"/>
      <w:r w:rsidR="008E6FC9">
        <w:rPr>
          <w:rFonts w:eastAsia="Verdana"/>
          <w:color w:val="000000"/>
          <w:sz w:val="24"/>
          <w:szCs w:val="24"/>
        </w:rPr>
        <w:t>ii</w:t>
      </w:r>
      <w:proofErr w:type="spellEnd"/>
      <w:r w:rsidR="008E6FC9">
        <w:rPr>
          <w:rFonts w:eastAsia="Verdana"/>
          <w:color w:val="000000"/>
          <w:sz w:val="24"/>
          <w:szCs w:val="24"/>
        </w:rPr>
        <w:t>)</w:t>
      </w:r>
      <w:r w:rsidR="00A273ED">
        <w:rPr>
          <w:rFonts w:eastAsia="Verdana"/>
          <w:color w:val="000000"/>
          <w:sz w:val="24"/>
          <w:szCs w:val="24"/>
        </w:rPr>
        <w:t xml:space="preserve"> dejar sin efectos la sentencia del </w:t>
      </w:r>
      <w:r w:rsidR="00DE5F2A">
        <w:rPr>
          <w:rFonts w:eastAsia="Verdana"/>
          <w:color w:val="000000"/>
          <w:sz w:val="24"/>
          <w:szCs w:val="24"/>
        </w:rPr>
        <w:t>2 de junio</w:t>
      </w:r>
      <w:r w:rsidR="005342D3">
        <w:rPr>
          <w:rFonts w:eastAsia="Verdana"/>
          <w:color w:val="000000"/>
          <w:sz w:val="24"/>
          <w:szCs w:val="24"/>
        </w:rPr>
        <w:t xml:space="preserve"> de 2022</w:t>
      </w:r>
      <w:r w:rsidR="00A273ED">
        <w:rPr>
          <w:rFonts w:eastAsia="Verdana"/>
          <w:color w:val="000000"/>
          <w:sz w:val="24"/>
          <w:szCs w:val="24"/>
        </w:rPr>
        <w:t xml:space="preserve"> proferida por la Subsección </w:t>
      </w:r>
      <w:r w:rsidR="00DE5F2A">
        <w:rPr>
          <w:rFonts w:eastAsia="Verdana"/>
          <w:color w:val="000000"/>
          <w:sz w:val="24"/>
          <w:szCs w:val="24"/>
        </w:rPr>
        <w:t>B</w:t>
      </w:r>
      <w:r w:rsidR="00A273ED">
        <w:rPr>
          <w:rFonts w:eastAsia="Verdana"/>
          <w:color w:val="000000"/>
          <w:sz w:val="24"/>
          <w:szCs w:val="24"/>
        </w:rPr>
        <w:t xml:space="preserve"> de la Sección Segunda del Consejo de Estado; </w:t>
      </w:r>
      <w:r w:rsidR="005342D3">
        <w:rPr>
          <w:rFonts w:eastAsia="Verdana"/>
          <w:color w:val="000000"/>
          <w:sz w:val="24"/>
          <w:szCs w:val="24"/>
        </w:rPr>
        <w:t xml:space="preserve">y </w:t>
      </w:r>
      <w:proofErr w:type="spellStart"/>
      <w:r w:rsidR="00A273ED">
        <w:rPr>
          <w:rFonts w:eastAsia="Verdana"/>
          <w:color w:val="000000"/>
          <w:sz w:val="24"/>
          <w:szCs w:val="24"/>
        </w:rPr>
        <w:t>i</w:t>
      </w:r>
      <w:r w:rsidR="009D4E1A">
        <w:rPr>
          <w:rFonts w:eastAsia="Verdana"/>
          <w:color w:val="000000"/>
          <w:sz w:val="24"/>
          <w:szCs w:val="24"/>
        </w:rPr>
        <w:t>i</w:t>
      </w:r>
      <w:r w:rsidR="00A273ED">
        <w:rPr>
          <w:rFonts w:eastAsia="Verdana"/>
          <w:color w:val="000000"/>
          <w:sz w:val="24"/>
          <w:szCs w:val="24"/>
        </w:rPr>
        <w:t>i</w:t>
      </w:r>
      <w:proofErr w:type="spellEnd"/>
      <w:r w:rsidR="00A273ED">
        <w:rPr>
          <w:rFonts w:eastAsia="Verdana"/>
          <w:color w:val="000000"/>
          <w:sz w:val="24"/>
          <w:szCs w:val="24"/>
        </w:rPr>
        <w:t xml:space="preserve">) ordenar </w:t>
      </w:r>
      <w:r w:rsidR="005342D3">
        <w:rPr>
          <w:rFonts w:eastAsia="Verdana"/>
          <w:color w:val="000000"/>
          <w:sz w:val="24"/>
          <w:szCs w:val="24"/>
        </w:rPr>
        <w:t xml:space="preserve">a la </w:t>
      </w:r>
      <w:r w:rsidR="00DE5F2A">
        <w:rPr>
          <w:rFonts w:eastAsia="Verdana"/>
          <w:color w:val="000000"/>
          <w:sz w:val="24"/>
          <w:szCs w:val="24"/>
        </w:rPr>
        <w:t>Unidad Administrativa Especial de Gestión Pensional y Contribuciones Parafiscales de la Protección Social — UGPP</w:t>
      </w:r>
      <w:r w:rsidR="00062D6A">
        <w:rPr>
          <w:rFonts w:eastAsia="Verdana"/>
          <w:color w:val="000000"/>
          <w:sz w:val="24"/>
          <w:szCs w:val="24"/>
        </w:rPr>
        <w:t xml:space="preserve"> </w:t>
      </w:r>
      <w:r w:rsidR="00DE5F2A">
        <w:rPr>
          <w:rFonts w:eastAsia="Verdana"/>
          <w:color w:val="000000"/>
          <w:sz w:val="24"/>
          <w:szCs w:val="24"/>
        </w:rPr>
        <w:t>realizar las gestiones pertinentes para reconocer y pagar su pensión de gracia</w:t>
      </w:r>
      <w:r w:rsidR="005342D3">
        <w:rPr>
          <w:rFonts w:eastAsia="Verdana"/>
          <w:color w:val="000000"/>
          <w:sz w:val="24"/>
          <w:szCs w:val="24"/>
        </w:rPr>
        <w:t>.</w:t>
      </w:r>
    </w:p>
    <w:p w:rsidR="000A511D" w:rsidRPr="003E02F0" w:rsidRDefault="000A511D" w:rsidP="00863D39">
      <w:pPr>
        <w:contextualSpacing/>
        <w:rPr>
          <w:rFonts w:eastAsia="Verdana"/>
          <w:color w:val="000000"/>
          <w:sz w:val="24"/>
          <w:szCs w:val="24"/>
        </w:rPr>
      </w:pPr>
    </w:p>
    <w:p w:rsidR="001B2086" w:rsidRDefault="0058016E" w:rsidP="00863D39">
      <w:pPr>
        <w:overflowPunct w:val="0"/>
        <w:autoSpaceDE w:val="0"/>
        <w:autoSpaceDN w:val="0"/>
        <w:adjustRightInd w:val="0"/>
        <w:contextualSpacing/>
        <w:rPr>
          <w:rFonts w:eastAsia="Arial Unicode MS"/>
          <w:sz w:val="24"/>
          <w:szCs w:val="24"/>
          <w:lang w:val="es-ES_tradnl" w:eastAsia="es-ES"/>
        </w:rPr>
      </w:pPr>
      <w:r>
        <w:rPr>
          <w:color w:val="000000"/>
          <w:sz w:val="24"/>
          <w:szCs w:val="24"/>
        </w:rPr>
        <w:t xml:space="preserve">1.3.2. </w:t>
      </w:r>
      <w:r w:rsidR="00DC1FBB">
        <w:rPr>
          <w:bCs/>
          <w:color w:val="000000"/>
          <w:sz w:val="24"/>
          <w:szCs w:val="24"/>
        </w:rPr>
        <w:t>El accionante</w:t>
      </w:r>
      <w:r w:rsidR="00507555">
        <w:rPr>
          <w:bCs/>
          <w:color w:val="000000"/>
          <w:sz w:val="24"/>
          <w:szCs w:val="24"/>
        </w:rPr>
        <w:t xml:space="preserve"> </w:t>
      </w:r>
      <w:r w:rsidR="00D55837">
        <w:rPr>
          <w:bCs/>
          <w:color w:val="000000"/>
          <w:sz w:val="24"/>
          <w:szCs w:val="24"/>
        </w:rPr>
        <w:t xml:space="preserve">afirmó que la autoridad accionada incurrió en los siguientes defectos: </w:t>
      </w:r>
    </w:p>
    <w:p w:rsidR="00B25EDC" w:rsidRDefault="00B25EDC" w:rsidP="00863D39">
      <w:pPr>
        <w:overflowPunct w:val="0"/>
        <w:autoSpaceDE w:val="0"/>
        <w:autoSpaceDN w:val="0"/>
        <w:adjustRightInd w:val="0"/>
        <w:contextualSpacing/>
        <w:rPr>
          <w:rFonts w:eastAsia="Arial Unicode MS"/>
          <w:sz w:val="24"/>
          <w:szCs w:val="24"/>
          <w:lang w:val="es-ES_tradnl" w:eastAsia="es-ES"/>
        </w:rPr>
      </w:pPr>
    </w:p>
    <w:p w:rsidR="001B1752" w:rsidRDefault="00B25EDC" w:rsidP="00B25EDC">
      <w:pPr>
        <w:contextualSpacing/>
        <w:rPr>
          <w:rFonts w:eastAsia="Verdana"/>
          <w:bCs/>
          <w:sz w:val="24"/>
          <w:szCs w:val="24"/>
        </w:rPr>
      </w:pPr>
      <w:r w:rsidRPr="002F0414">
        <w:rPr>
          <w:rFonts w:eastAsia="Verdana"/>
          <w:bCs/>
          <w:sz w:val="24"/>
          <w:szCs w:val="24"/>
        </w:rPr>
        <w:t>1.</w:t>
      </w:r>
      <w:r w:rsidR="003D7D79">
        <w:rPr>
          <w:rFonts w:eastAsia="Verdana"/>
          <w:bCs/>
          <w:sz w:val="24"/>
          <w:szCs w:val="24"/>
        </w:rPr>
        <w:t>3</w:t>
      </w:r>
      <w:r w:rsidRPr="002F0414">
        <w:rPr>
          <w:rFonts w:eastAsia="Verdana"/>
          <w:bCs/>
          <w:sz w:val="24"/>
          <w:szCs w:val="24"/>
        </w:rPr>
        <w:t>.</w:t>
      </w:r>
      <w:r w:rsidR="00971056">
        <w:rPr>
          <w:rFonts w:eastAsia="Verdana"/>
          <w:bCs/>
          <w:sz w:val="24"/>
          <w:szCs w:val="24"/>
        </w:rPr>
        <w:t>2.</w:t>
      </w:r>
      <w:r w:rsidRPr="002F0414">
        <w:rPr>
          <w:rFonts w:eastAsia="Verdana"/>
          <w:bCs/>
          <w:sz w:val="24"/>
          <w:szCs w:val="24"/>
        </w:rPr>
        <w:t>1.</w:t>
      </w:r>
      <w:r w:rsidR="00D052D2">
        <w:rPr>
          <w:rFonts w:eastAsia="Verdana"/>
          <w:bCs/>
          <w:sz w:val="24"/>
          <w:szCs w:val="24"/>
        </w:rPr>
        <w:t xml:space="preserve"> </w:t>
      </w:r>
      <w:r w:rsidR="00C94284" w:rsidRPr="00D052D2">
        <w:rPr>
          <w:rFonts w:eastAsia="Verdana"/>
          <w:b/>
          <w:sz w:val="24"/>
          <w:szCs w:val="24"/>
        </w:rPr>
        <w:t>Fáctico</w:t>
      </w:r>
      <w:r w:rsidR="002F0414">
        <w:rPr>
          <w:rFonts w:eastAsia="Verdana"/>
          <w:b/>
          <w:sz w:val="24"/>
          <w:szCs w:val="24"/>
        </w:rPr>
        <w:t xml:space="preserve"> </w:t>
      </w:r>
      <w:r w:rsidR="002F0414">
        <w:rPr>
          <w:rFonts w:eastAsia="Verdana"/>
          <w:bCs/>
          <w:sz w:val="24"/>
          <w:szCs w:val="24"/>
        </w:rPr>
        <w:t xml:space="preserve">porque </w:t>
      </w:r>
      <w:r w:rsidR="00C9161B">
        <w:rPr>
          <w:rFonts w:eastAsia="Verdana"/>
          <w:bCs/>
          <w:sz w:val="24"/>
          <w:szCs w:val="24"/>
        </w:rPr>
        <w:t xml:space="preserve">valoró indebidamente los actos administrativos de nombramiento que demostraban que </w:t>
      </w:r>
      <w:r w:rsidR="00D55837">
        <w:rPr>
          <w:rFonts w:eastAsia="Verdana"/>
          <w:bCs/>
          <w:sz w:val="24"/>
          <w:szCs w:val="24"/>
        </w:rPr>
        <w:t xml:space="preserve">su vinculación fue como docente nacionalizado. </w:t>
      </w:r>
    </w:p>
    <w:p w:rsidR="001B1752" w:rsidRDefault="001B1752" w:rsidP="00B25EDC">
      <w:pPr>
        <w:contextualSpacing/>
        <w:rPr>
          <w:rFonts w:eastAsia="Verdana"/>
          <w:bCs/>
          <w:sz w:val="24"/>
          <w:szCs w:val="24"/>
        </w:rPr>
      </w:pPr>
    </w:p>
    <w:p w:rsidR="008D5112" w:rsidRDefault="00D55837" w:rsidP="00B25EDC">
      <w:pPr>
        <w:contextualSpacing/>
        <w:rPr>
          <w:rFonts w:eastAsia="Verdana"/>
          <w:bCs/>
          <w:sz w:val="24"/>
          <w:szCs w:val="24"/>
        </w:rPr>
      </w:pPr>
      <w:r>
        <w:rPr>
          <w:rFonts w:eastAsia="Verdana"/>
          <w:bCs/>
          <w:sz w:val="24"/>
          <w:szCs w:val="24"/>
        </w:rPr>
        <w:t>E</w:t>
      </w:r>
      <w:r w:rsidR="00C9161B">
        <w:rPr>
          <w:rFonts w:eastAsia="Verdana"/>
          <w:bCs/>
          <w:sz w:val="24"/>
          <w:szCs w:val="24"/>
        </w:rPr>
        <w:t xml:space="preserve">xplicó que la </w:t>
      </w:r>
      <w:r>
        <w:rPr>
          <w:rFonts w:eastAsia="Verdana"/>
          <w:bCs/>
          <w:sz w:val="24"/>
          <w:szCs w:val="24"/>
        </w:rPr>
        <w:t>conclusión a la que lle</w:t>
      </w:r>
      <w:r w:rsidR="00D67A77">
        <w:rPr>
          <w:rFonts w:eastAsia="Verdana"/>
          <w:bCs/>
          <w:sz w:val="24"/>
          <w:szCs w:val="24"/>
        </w:rPr>
        <w:t>g</w:t>
      </w:r>
      <w:r>
        <w:rPr>
          <w:rFonts w:eastAsia="Verdana"/>
          <w:bCs/>
          <w:sz w:val="24"/>
          <w:szCs w:val="24"/>
        </w:rPr>
        <w:t xml:space="preserve">ó la autoridad accionada </w:t>
      </w:r>
      <w:r w:rsidR="00D67A77">
        <w:rPr>
          <w:rFonts w:eastAsia="Verdana"/>
          <w:bCs/>
          <w:sz w:val="24"/>
          <w:szCs w:val="24"/>
        </w:rPr>
        <w:t>luego de</w:t>
      </w:r>
      <w:r w:rsidR="00A80782">
        <w:rPr>
          <w:rFonts w:eastAsia="Verdana"/>
          <w:bCs/>
          <w:sz w:val="24"/>
          <w:szCs w:val="24"/>
        </w:rPr>
        <w:t xml:space="preserve"> analizar</w:t>
      </w:r>
      <w:r w:rsidR="00D67A77">
        <w:rPr>
          <w:rFonts w:eastAsia="Verdana"/>
          <w:bCs/>
          <w:sz w:val="24"/>
          <w:szCs w:val="24"/>
        </w:rPr>
        <w:t xml:space="preserve"> </w:t>
      </w:r>
      <w:r>
        <w:rPr>
          <w:rFonts w:eastAsia="Verdana"/>
          <w:bCs/>
          <w:sz w:val="24"/>
          <w:szCs w:val="24"/>
        </w:rPr>
        <w:t xml:space="preserve">el contenido de los </w:t>
      </w:r>
      <w:r w:rsidR="00C9161B">
        <w:rPr>
          <w:rFonts w:eastAsia="Verdana"/>
          <w:bCs/>
          <w:sz w:val="24"/>
          <w:szCs w:val="24"/>
        </w:rPr>
        <w:t>Decreto</w:t>
      </w:r>
      <w:r>
        <w:rPr>
          <w:rFonts w:eastAsia="Verdana"/>
          <w:bCs/>
          <w:sz w:val="24"/>
          <w:szCs w:val="24"/>
        </w:rPr>
        <w:t>s</w:t>
      </w:r>
      <w:r w:rsidR="00C9161B">
        <w:rPr>
          <w:rFonts w:eastAsia="Verdana"/>
          <w:bCs/>
          <w:sz w:val="24"/>
          <w:szCs w:val="24"/>
        </w:rPr>
        <w:t xml:space="preserve"> 024 del 16 de abril de 1980, 050 del 3 de junio de 1980, 051 del 22 de julio de 1981 y 069 del 11 de noviembre de 1992</w:t>
      </w:r>
      <w:r w:rsidR="00D67A77">
        <w:rPr>
          <w:rFonts w:eastAsia="Verdana"/>
          <w:bCs/>
          <w:sz w:val="24"/>
          <w:szCs w:val="24"/>
        </w:rPr>
        <w:t xml:space="preserve">, fue errada, puesto que no era posible </w:t>
      </w:r>
      <w:r w:rsidR="00C9161B">
        <w:rPr>
          <w:rFonts w:eastAsia="Verdana"/>
          <w:bCs/>
          <w:sz w:val="24"/>
          <w:szCs w:val="24"/>
        </w:rPr>
        <w:t>inferir que los docentes territoriales y nacionalizados se convierten en educadores nacionales</w:t>
      </w:r>
      <w:r w:rsidR="00D67A77">
        <w:rPr>
          <w:rFonts w:eastAsia="Verdana"/>
          <w:bCs/>
          <w:sz w:val="24"/>
          <w:szCs w:val="24"/>
        </w:rPr>
        <w:t xml:space="preserve"> cuando:</w:t>
      </w:r>
      <w:r w:rsidR="009D4E1A">
        <w:rPr>
          <w:rFonts w:eastAsia="Verdana"/>
          <w:bCs/>
          <w:sz w:val="24"/>
          <w:szCs w:val="24"/>
        </w:rPr>
        <w:t xml:space="preserve"> </w:t>
      </w:r>
      <w:r w:rsidR="00C9161B">
        <w:rPr>
          <w:rFonts w:eastAsia="Verdana"/>
          <w:bCs/>
          <w:sz w:val="24"/>
          <w:szCs w:val="24"/>
        </w:rPr>
        <w:t xml:space="preserve">“(i) </w:t>
      </w:r>
      <w:r w:rsidR="00D67A77">
        <w:rPr>
          <w:rFonts w:eastAsia="Verdana"/>
          <w:bCs/>
          <w:sz w:val="24"/>
          <w:szCs w:val="24"/>
        </w:rPr>
        <w:t xml:space="preserve">en </w:t>
      </w:r>
      <w:r w:rsidR="00C9161B">
        <w:rPr>
          <w:rFonts w:eastAsia="Verdana"/>
          <w:bCs/>
          <w:sz w:val="24"/>
          <w:szCs w:val="24"/>
        </w:rPr>
        <w:t xml:space="preserve">el acto de su vinculación interviene, además el representante legal de la entidad territorial, el delegado permanente del Ministerio de Educación Nacional como miembro de la junta administradora </w:t>
      </w:r>
      <w:r w:rsidR="003D7D79">
        <w:rPr>
          <w:rFonts w:eastAsia="Verdana"/>
          <w:bCs/>
          <w:sz w:val="24"/>
          <w:szCs w:val="24"/>
        </w:rPr>
        <w:t xml:space="preserve">del respectivo fondo educativo regional y asimismo, este último, certifica la vacancia del cargo junto con la disponibilidad presupuestal; y </w:t>
      </w:r>
      <w:proofErr w:type="spellStart"/>
      <w:r w:rsidR="003D7D79">
        <w:rPr>
          <w:rFonts w:eastAsia="Verdana"/>
          <w:bCs/>
          <w:sz w:val="24"/>
          <w:szCs w:val="24"/>
        </w:rPr>
        <w:t>ii</w:t>
      </w:r>
      <w:proofErr w:type="spellEnd"/>
      <w:r w:rsidR="003D7D79">
        <w:rPr>
          <w:rFonts w:eastAsia="Verdana"/>
          <w:bCs/>
          <w:sz w:val="24"/>
          <w:szCs w:val="24"/>
        </w:rPr>
        <w:t>) los recursos destinados para su sostenimiento tienen su origen o fuente en la Nación. (…)”</w:t>
      </w:r>
      <w:r w:rsidR="00FC758A">
        <w:rPr>
          <w:rStyle w:val="Refdenotaalpie"/>
          <w:rFonts w:eastAsia="Verdana"/>
          <w:bCs/>
          <w:sz w:val="24"/>
          <w:szCs w:val="24"/>
        </w:rPr>
        <w:footnoteReference w:id="9"/>
      </w:r>
      <w:r w:rsidR="003D7D79">
        <w:rPr>
          <w:rFonts w:eastAsia="Verdana"/>
          <w:bCs/>
          <w:sz w:val="24"/>
          <w:szCs w:val="24"/>
        </w:rPr>
        <w:t xml:space="preserve">. </w:t>
      </w:r>
    </w:p>
    <w:p w:rsidR="001B1752" w:rsidRDefault="001B1752" w:rsidP="00B25EDC">
      <w:pPr>
        <w:contextualSpacing/>
        <w:rPr>
          <w:rFonts w:eastAsia="Verdana"/>
          <w:bCs/>
          <w:sz w:val="24"/>
          <w:szCs w:val="24"/>
        </w:rPr>
      </w:pPr>
    </w:p>
    <w:p w:rsidR="008D5112" w:rsidRDefault="001B1752" w:rsidP="00B25EDC">
      <w:pPr>
        <w:contextualSpacing/>
        <w:rPr>
          <w:rFonts w:eastAsia="Verdana"/>
          <w:bCs/>
          <w:sz w:val="24"/>
          <w:szCs w:val="24"/>
        </w:rPr>
      </w:pPr>
      <w:r>
        <w:rPr>
          <w:rFonts w:eastAsia="Verdana"/>
          <w:bCs/>
          <w:sz w:val="24"/>
          <w:szCs w:val="24"/>
        </w:rPr>
        <w:t xml:space="preserve">Agregó que la Subsección B de la Sección Segunda del Consejo de Estado en sentencia del 21 de junio de 2018 y la Corte Constitucional en SU-014 del 22 de enero de 2020 establecieron que el hecho de que </w:t>
      </w:r>
      <w:r w:rsidR="00D052D2">
        <w:rPr>
          <w:rFonts w:eastAsia="Verdana"/>
          <w:bCs/>
          <w:sz w:val="24"/>
          <w:szCs w:val="24"/>
        </w:rPr>
        <w:t>los actos de</w:t>
      </w:r>
      <w:r>
        <w:rPr>
          <w:rFonts w:eastAsia="Verdana"/>
          <w:bCs/>
          <w:sz w:val="24"/>
          <w:szCs w:val="24"/>
        </w:rPr>
        <w:t xml:space="preserve"> nombramiento estén suscritos por autoridades nacionales no establecen la categoría nacional del educador. </w:t>
      </w:r>
    </w:p>
    <w:p w:rsidR="002F0414" w:rsidRDefault="002F0414" w:rsidP="00B25EDC">
      <w:pPr>
        <w:contextualSpacing/>
        <w:rPr>
          <w:rFonts w:eastAsia="Verdana"/>
          <w:bCs/>
          <w:sz w:val="24"/>
          <w:szCs w:val="24"/>
        </w:rPr>
      </w:pPr>
    </w:p>
    <w:p w:rsidR="00DE230E" w:rsidRDefault="00353DF1" w:rsidP="0029733B">
      <w:pPr>
        <w:contextualSpacing/>
        <w:rPr>
          <w:rFonts w:eastAsia="Verdana"/>
          <w:bCs/>
          <w:sz w:val="24"/>
          <w:szCs w:val="24"/>
        </w:rPr>
      </w:pPr>
      <w:r>
        <w:rPr>
          <w:rFonts w:eastAsia="Verdana"/>
          <w:bCs/>
          <w:sz w:val="24"/>
          <w:szCs w:val="24"/>
        </w:rPr>
        <w:t>1.</w:t>
      </w:r>
      <w:r w:rsidR="003D7D79">
        <w:rPr>
          <w:rFonts w:eastAsia="Verdana"/>
          <w:bCs/>
          <w:sz w:val="24"/>
          <w:szCs w:val="24"/>
        </w:rPr>
        <w:t>3</w:t>
      </w:r>
      <w:r>
        <w:rPr>
          <w:rFonts w:eastAsia="Verdana"/>
          <w:bCs/>
          <w:sz w:val="24"/>
          <w:szCs w:val="24"/>
        </w:rPr>
        <w:t>.2.</w:t>
      </w:r>
      <w:r w:rsidR="00971056">
        <w:rPr>
          <w:rFonts w:eastAsia="Verdana"/>
          <w:bCs/>
          <w:sz w:val="24"/>
          <w:szCs w:val="24"/>
        </w:rPr>
        <w:t>2.</w:t>
      </w:r>
      <w:r>
        <w:rPr>
          <w:rFonts w:eastAsia="Verdana"/>
          <w:bCs/>
          <w:sz w:val="24"/>
          <w:szCs w:val="24"/>
        </w:rPr>
        <w:t xml:space="preserve"> </w:t>
      </w:r>
      <w:r w:rsidR="00C94284">
        <w:rPr>
          <w:rFonts w:eastAsia="Verdana"/>
          <w:b/>
          <w:sz w:val="24"/>
          <w:szCs w:val="24"/>
        </w:rPr>
        <w:t>S</w:t>
      </w:r>
      <w:r w:rsidR="001B1752">
        <w:rPr>
          <w:rFonts w:eastAsia="Verdana"/>
          <w:b/>
          <w:sz w:val="24"/>
          <w:szCs w:val="24"/>
        </w:rPr>
        <w:t>ustantivo</w:t>
      </w:r>
      <w:r>
        <w:rPr>
          <w:rFonts w:eastAsia="Verdana"/>
          <w:b/>
          <w:sz w:val="24"/>
          <w:szCs w:val="24"/>
        </w:rPr>
        <w:t xml:space="preserve"> </w:t>
      </w:r>
      <w:r w:rsidR="0029733B">
        <w:rPr>
          <w:rFonts w:eastAsia="Verdana"/>
          <w:bCs/>
          <w:sz w:val="24"/>
          <w:szCs w:val="24"/>
        </w:rPr>
        <w:t>porque desconoció “lo expresado por la Corte Constitucional en r</w:t>
      </w:r>
      <w:r w:rsidR="00D67A77">
        <w:rPr>
          <w:rFonts w:eastAsia="Verdana"/>
          <w:bCs/>
          <w:sz w:val="24"/>
          <w:szCs w:val="24"/>
        </w:rPr>
        <w:t>e</w:t>
      </w:r>
      <w:r w:rsidR="0029733B">
        <w:rPr>
          <w:rFonts w:eastAsia="Verdana"/>
          <w:bCs/>
          <w:sz w:val="24"/>
          <w:szCs w:val="24"/>
        </w:rPr>
        <w:t>lación al estudio de constitucionalidad el artículo 15 del numeral segundo, letra b, de la Ley 91 de 1989”</w:t>
      </w:r>
      <w:r w:rsidR="00FC758A">
        <w:rPr>
          <w:rStyle w:val="Refdenotaalpie"/>
          <w:rFonts w:eastAsia="Verdana"/>
          <w:bCs/>
          <w:sz w:val="24"/>
          <w:szCs w:val="24"/>
        </w:rPr>
        <w:footnoteReference w:id="10"/>
      </w:r>
      <w:r w:rsidR="0029733B">
        <w:rPr>
          <w:rFonts w:eastAsia="Verdana"/>
          <w:bCs/>
          <w:sz w:val="24"/>
          <w:szCs w:val="24"/>
        </w:rPr>
        <w:t xml:space="preserve"> y lo interpretó de manera errónea al </w:t>
      </w:r>
      <w:r w:rsidR="006C49CD">
        <w:rPr>
          <w:rFonts w:eastAsia="Verdana"/>
          <w:bCs/>
          <w:sz w:val="24"/>
          <w:szCs w:val="24"/>
        </w:rPr>
        <w:t xml:space="preserve">estudiar requisitos adicionales para acceder a la pensión de gracia y no tuvo en cuenta que, según lo dispuesto </w:t>
      </w:r>
      <w:r w:rsidR="009D4E1A">
        <w:rPr>
          <w:rFonts w:eastAsia="Verdana"/>
          <w:bCs/>
          <w:sz w:val="24"/>
          <w:szCs w:val="24"/>
        </w:rPr>
        <w:t>en los</w:t>
      </w:r>
      <w:r w:rsidR="006C49CD">
        <w:rPr>
          <w:rFonts w:eastAsia="Verdana"/>
          <w:bCs/>
          <w:sz w:val="24"/>
          <w:szCs w:val="24"/>
        </w:rPr>
        <w:t xml:space="preserve"> artículos 29 del Decreto 3157 de 1968 y 60 de la Ley 24 de 1988, los Fondos Educativos Regionales estaban conformados por recursos provenientes del </w:t>
      </w:r>
      <w:r w:rsidR="00F849D9">
        <w:rPr>
          <w:rFonts w:eastAsia="Verdana"/>
          <w:bCs/>
          <w:sz w:val="24"/>
          <w:szCs w:val="24"/>
        </w:rPr>
        <w:t>Situado Fiscal y de las entidades territoriales</w:t>
      </w:r>
      <w:r w:rsidR="008E4FDC">
        <w:rPr>
          <w:rFonts w:eastAsia="Verdana"/>
          <w:bCs/>
          <w:sz w:val="24"/>
          <w:szCs w:val="24"/>
        </w:rPr>
        <w:t>.</w:t>
      </w:r>
    </w:p>
    <w:p w:rsidR="008E4FDC" w:rsidRDefault="008E4FDC" w:rsidP="0029733B">
      <w:pPr>
        <w:contextualSpacing/>
        <w:rPr>
          <w:rFonts w:eastAsia="Verdana"/>
          <w:bCs/>
          <w:sz w:val="24"/>
          <w:szCs w:val="24"/>
        </w:rPr>
      </w:pPr>
    </w:p>
    <w:p w:rsidR="008E4FDC" w:rsidRDefault="008E4FDC" w:rsidP="0029733B">
      <w:pPr>
        <w:contextualSpacing/>
        <w:rPr>
          <w:rFonts w:eastAsia="Verdana"/>
          <w:bCs/>
          <w:sz w:val="24"/>
          <w:szCs w:val="24"/>
        </w:rPr>
      </w:pPr>
      <w:r>
        <w:rPr>
          <w:rFonts w:eastAsia="Verdana"/>
          <w:bCs/>
          <w:sz w:val="24"/>
          <w:szCs w:val="24"/>
        </w:rPr>
        <w:t xml:space="preserve">Al respecto </w:t>
      </w:r>
      <w:r w:rsidR="00D67A77">
        <w:rPr>
          <w:rFonts w:eastAsia="Verdana"/>
          <w:bCs/>
          <w:sz w:val="24"/>
          <w:szCs w:val="24"/>
        </w:rPr>
        <w:t xml:space="preserve">destacó que </w:t>
      </w:r>
      <w:r>
        <w:rPr>
          <w:rFonts w:eastAsia="Verdana"/>
          <w:bCs/>
          <w:sz w:val="24"/>
          <w:szCs w:val="24"/>
        </w:rPr>
        <w:t xml:space="preserve">el artículo 356 de la Constitución dispuso que el dinero del </w:t>
      </w:r>
      <w:r w:rsidR="00D67A77">
        <w:rPr>
          <w:rFonts w:eastAsia="Verdana"/>
          <w:bCs/>
          <w:sz w:val="24"/>
          <w:szCs w:val="24"/>
        </w:rPr>
        <w:t>s</w:t>
      </w:r>
      <w:r>
        <w:rPr>
          <w:rFonts w:eastAsia="Verdana"/>
          <w:bCs/>
          <w:sz w:val="24"/>
          <w:szCs w:val="24"/>
        </w:rPr>
        <w:t xml:space="preserve">ituado </w:t>
      </w:r>
      <w:r w:rsidR="00D67A77">
        <w:rPr>
          <w:rFonts w:eastAsia="Verdana"/>
          <w:bCs/>
          <w:sz w:val="24"/>
          <w:szCs w:val="24"/>
        </w:rPr>
        <w:t>f</w:t>
      </w:r>
      <w:r>
        <w:rPr>
          <w:rFonts w:eastAsia="Verdana"/>
          <w:bCs/>
          <w:sz w:val="24"/>
          <w:szCs w:val="24"/>
        </w:rPr>
        <w:t xml:space="preserve">iscal pertenece a los entes territoriales en calidad de rentas exógenas, por lo que, los docentes nacionalizados no pueden ser considerados nacionales solo por el hecho que el acto administrativo de nombramiento fue suscrito por </w:t>
      </w:r>
      <w:r w:rsidR="00D67A77">
        <w:rPr>
          <w:rFonts w:eastAsia="Verdana"/>
          <w:bCs/>
          <w:sz w:val="24"/>
          <w:szCs w:val="24"/>
        </w:rPr>
        <w:t>los</w:t>
      </w:r>
      <w:r>
        <w:rPr>
          <w:rFonts w:eastAsia="Verdana"/>
          <w:bCs/>
          <w:sz w:val="24"/>
          <w:szCs w:val="24"/>
        </w:rPr>
        <w:t xml:space="preserve"> representante</w:t>
      </w:r>
      <w:r w:rsidR="00D67A77">
        <w:rPr>
          <w:rFonts w:eastAsia="Verdana"/>
          <w:bCs/>
          <w:sz w:val="24"/>
          <w:szCs w:val="24"/>
        </w:rPr>
        <w:t>s</w:t>
      </w:r>
      <w:r>
        <w:rPr>
          <w:rFonts w:eastAsia="Verdana"/>
          <w:bCs/>
          <w:sz w:val="24"/>
          <w:szCs w:val="24"/>
        </w:rPr>
        <w:t xml:space="preserve"> del Fondo Educativo Regional y del Ministerio de Educación Nacional. </w:t>
      </w:r>
    </w:p>
    <w:p w:rsidR="008E4FDC" w:rsidRDefault="008E4FDC" w:rsidP="0029733B">
      <w:pPr>
        <w:contextualSpacing/>
        <w:rPr>
          <w:rFonts w:eastAsia="Verdana"/>
          <w:bCs/>
          <w:sz w:val="24"/>
          <w:szCs w:val="24"/>
        </w:rPr>
      </w:pPr>
      <w:r>
        <w:rPr>
          <w:rFonts w:eastAsia="Verdana"/>
          <w:bCs/>
          <w:sz w:val="24"/>
          <w:szCs w:val="24"/>
        </w:rPr>
        <w:lastRenderedPageBreak/>
        <w:t>1.3.</w:t>
      </w:r>
      <w:r w:rsidR="00971056">
        <w:rPr>
          <w:rFonts w:eastAsia="Verdana"/>
          <w:bCs/>
          <w:sz w:val="24"/>
          <w:szCs w:val="24"/>
        </w:rPr>
        <w:t>2.</w:t>
      </w:r>
      <w:r>
        <w:rPr>
          <w:rFonts w:eastAsia="Verdana"/>
          <w:bCs/>
          <w:sz w:val="24"/>
          <w:szCs w:val="24"/>
        </w:rPr>
        <w:t xml:space="preserve">3. </w:t>
      </w:r>
      <w:r w:rsidR="00C94284">
        <w:rPr>
          <w:rFonts w:eastAsia="Verdana"/>
          <w:b/>
          <w:sz w:val="24"/>
          <w:szCs w:val="24"/>
        </w:rPr>
        <w:t>D</w:t>
      </w:r>
      <w:r>
        <w:rPr>
          <w:rFonts w:eastAsia="Verdana"/>
          <w:b/>
          <w:sz w:val="24"/>
          <w:szCs w:val="24"/>
        </w:rPr>
        <w:t>esconocimiento del precedente judicial y constitucional</w:t>
      </w:r>
      <w:r w:rsidR="00D67A77">
        <w:rPr>
          <w:rFonts w:eastAsia="Verdana"/>
          <w:b/>
          <w:sz w:val="24"/>
          <w:szCs w:val="24"/>
        </w:rPr>
        <w:t xml:space="preserve">, </w:t>
      </w:r>
      <w:r w:rsidR="00D67A77">
        <w:rPr>
          <w:rFonts w:eastAsia="Verdana"/>
          <w:sz w:val="24"/>
          <w:szCs w:val="24"/>
        </w:rPr>
        <w:t>concretamente</w:t>
      </w:r>
      <w:r w:rsidR="00E275E2">
        <w:rPr>
          <w:rFonts w:eastAsia="Verdana"/>
          <w:bCs/>
          <w:sz w:val="24"/>
          <w:szCs w:val="24"/>
        </w:rPr>
        <w:t xml:space="preserve">: i) el fallo del 26 de agosto de 1989 proferido por la Sala Plena del Consejo de Estado </w:t>
      </w:r>
      <w:r w:rsidR="00D67A77">
        <w:rPr>
          <w:rFonts w:eastAsia="Verdana"/>
          <w:bCs/>
          <w:sz w:val="24"/>
          <w:szCs w:val="24"/>
        </w:rPr>
        <w:t xml:space="preserve">que precisó que </w:t>
      </w:r>
      <w:r w:rsidR="00E275E2">
        <w:rPr>
          <w:rFonts w:eastAsia="Verdana"/>
          <w:bCs/>
          <w:sz w:val="24"/>
          <w:szCs w:val="24"/>
        </w:rPr>
        <w:t xml:space="preserve">el artículo 15 de la Ley 91 de 1989 garantizó con carácter transitorio los derechos adquiridos en relación con la pensión de gracia y no estableció nuevos requisitos para acceder a la misma, </w:t>
      </w:r>
      <w:proofErr w:type="spellStart"/>
      <w:r w:rsidR="00E275E2">
        <w:rPr>
          <w:rFonts w:eastAsia="Verdana"/>
          <w:bCs/>
          <w:sz w:val="24"/>
          <w:szCs w:val="24"/>
        </w:rPr>
        <w:t>ii</w:t>
      </w:r>
      <w:proofErr w:type="spellEnd"/>
      <w:r w:rsidR="00E275E2">
        <w:rPr>
          <w:rFonts w:eastAsia="Verdana"/>
          <w:bCs/>
          <w:sz w:val="24"/>
          <w:szCs w:val="24"/>
        </w:rPr>
        <w:t>) la sentencia de unificación del 21 de junio de 2018 dictada por la Sala Plena de la Sección Segunda del Consejo de Estado</w:t>
      </w:r>
      <w:r w:rsidR="00D67A77">
        <w:rPr>
          <w:rFonts w:eastAsia="Verdana"/>
          <w:bCs/>
          <w:sz w:val="24"/>
          <w:szCs w:val="24"/>
        </w:rPr>
        <w:t xml:space="preserve"> que concluyó que </w:t>
      </w:r>
      <w:r w:rsidR="00E275E2">
        <w:rPr>
          <w:rFonts w:eastAsia="Verdana"/>
          <w:bCs/>
          <w:sz w:val="24"/>
          <w:szCs w:val="24"/>
        </w:rPr>
        <w:t xml:space="preserve">los docentes </w:t>
      </w:r>
      <w:r w:rsidR="00FC758A">
        <w:rPr>
          <w:rFonts w:eastAsia="Verdana"/>
          <w:bCs/>
          <w:sz w:val="24"/>
          <w:szCs w:val="24"/>
        </w:rPr>
        <w:t xml:space="preserve">no </w:t>
      </w:r>
      <w:r w:rsidR="00E275E2">
        <w:rPr>
          <w:rFonts w:eastAsia="Verdana"/>
          <w:bCs/>
          <w:sz w:val="24"/>
          <w:szCs w:val="24"/>
        </w:rPr>
        <w:t xml:space="preserve">son educadores </w:t>
      </w:r>
      <w:r w:rsidR="00FC758A">
        <w:rPr>
          <w:rFonts w:eastAsia="Verdana"/>
          <w:bCs/>
          <w:sz w:val="24"/>
          <w:szCs w:val="24"/>
        </w:rPr>
        <w:t xml:space="preserve">de categoría nacional </w:t>
      </w:r>
      <w:r w:rsidR="00E275E2">
        <w:rPr>
          <w:rFonts w:eastAsia="Verdana"/>
          <w:bCs/>
          <w:sz w:val="24"/>
          <w:szCs w:val="24"/>
        </w:rPr>
        <w:t xml:space="preserve">cuando en el acto de su vinculación interviene un delegado del Ministerio de Educación Nacional; y </w:t>
      </w:r>
      <w:proofErr w:type="spellStart"/>
      <w:r w:rsidR="00E275E2">
        <w:rPr>
          <w:rFonts w:eastAsia="Verdana"/>
          <w:bCs/>
          <w:sz w:val="24"/>
          <w:szCs w:val="24"/>
        </w:rPr>
        <w:t>iii</w:t>
      </w:r>
      <w:proofErr w:type="spellEnd"/>
      <w:r w:rsidR="00E275E2">
        <w:rPr>
          <w:rFonts w:eastAsia="Verdana"/>
          <w:bCs/>
          <w:sz w:val="24"/>
          <w:szCs w:val="24"/>
        </w:rPr>
        <w:t xml:space="preserve">) la sentencia de unificación SU -014 del 22 de enero de 2020 proferida por la Sala Plena de la Corte Constitucional. </w:t>
      </w:r>
    </w:p>
    <w:p w:rsidR="0085780B" w:rsidRDefault="0085780B" w:rsidP="0029733B">
      <w:pPr>
        <w:contextualSpacing/>
        <w:rPr>
          <w:rFonts w:eastAsia="Verdana"/>
          <w:bCs/>
          <w:sz w:val="24"/>
          <w:szCs w:val="24"/>
        </w:rPr>
      </w:pPr>
    </w:p>
    <w:p w:rsidR="0085780B" w:rsidRDefault="0085780B" w:rsidP="0029733B">
      <w:pPr>
        <w:contextualSpacing/>
        <w:rPr>
          <w:rFonts w:eastAsia="Verdana"/>
          <w:bCs/>
          <w:sz w:val="24"/>
          <w:szCs w:val="24"/>
        </w:rPr>
      </w:pPr>
      <w:r>
        <w:rPr>
          <w:rFonts w:eastAsia="Verdana"/>
          <w:bCs/>
          <w:sz w:val="24"/>
          <w:szCs w:val="24"/>
        </w:rPr>
        <w:t>1.3.</w:t>
      </w:r>
      <w:r w:rsidR="00971056">
        <w:rPr>
          <w:rFonts w:eastAsia="Verdana"/>
          <w:bCs/>
          <w:sz w:val="24"/>
          <w:szCs w:val="24"/>
        </w:rPr>
        <w:t>2.</w:t>
      </w:r>
      <w:r>
        <w:rPr>
          <w:rFonts w:eastAsia="Verdana"/>
          <w:bCs/>
          <w:sz w:val="24"/>
          <w:szCs w:val="24"/>
        </w:rPr>
        <w:t xml:space="preserve">4. </w:t>
      </w:r>
      <w:r w:rsidR="00C94284">
        <w:rPr>
          <w:rFonts w:eastAsia="Verdana"/>
          <w:b/>
          <w:sz w:val="24"/>
          <w:szCs w:val="24"/>
        </w:rPr>
        <w:t>V</w:t>
      </w:r>
      <w:r>
        <w:rPr>
          <w:rFonts w:eastAsia="Verdana"/>
          <w:b/>
          <w:sz w:val="24"/>
          <w:szCs w:val="24"/>
        </w:rPr>
        <w:t xml:space="preserve">iolación del derecho a la igualdad </w:t>
      </w:r>
      <w:r w:rsidR="00E87218">
        <w:rPr>
          <w:rFonts w:eastAsia="Verdana"/>
          <w:bCs/>
          <w:sz w:val="24"/>
          <w:szCs w:val="24"/>
        </w:rPr>
        <w:t>porque el Tribunal Administrativo de Cundinamarca y el Consejo de Estado han concedido la prestación reclamada a docentes que se encuentran en las mismas condiciones de hecho y de derecho.</w:t>
      </w:r>
    </w:p>
    <w:p w:rsidR="00E87218" w:rsidRDefault="00E87218" w:rsidP="0029733B">
      <w:pPr>
        <w:contextualSpacing/>
        <w:rPr>
          <w:rFonts w:eastAsia="Verdana"/>
          <w:bCs/>
          <w:sz w:val="24"/>
          <w:szCs w:val="24"/>
        </w:rPr>
      </w:pPr>
    </w:p>
    <w:p w:rsidR="00E87218" w:rsidRDefault="00D67A77" w:rsidP="0029733B">
      <w:pPr>
        <w:contextualSpacing/>
        <w:rPr>
          <w:rFonts w:eastAsia="Verdana"/>
          <w:bCs/>
          <w:sz w:val="24"/>
          <w:szCs w:val="24"/>
        </w:rPr>
      </w:pPr>
      <w:r>
        <w:rPr>
          <w:rFonts w:eastAsia="Verdana"/>
          <w:bCs/>
          <w:sz w:val="24"/>
          <w:szCs w:val="24"/>
        </w:rPr>
        <w:t xml:space="preserve">Citó </w:t>
      </w:r>
      <w:r w:rsidR="00E87218">
        <w:rPr>
          <w:rFonts w:eastAsia="Verdana"/>
          <w:bCs/>
          <w:sz w:val="24"/>
          <w:szCs w:val="24"/>
        </w:rPr>
        <w:t>la</w:t>
      </w:r>
      <w:r w:rsidR="00FC758A">
        <w:rPr>
          <w:rFonts w:eastAsia="Verdana"/>
          <w:bCs/>
          <w:sz w:val="24"/>
          <w:szCs w:val="24"/>
        </w:rPr>
        <w:t>s</w:t>
      </w:r>
      <w:r w:rsidR="00E87218">
        <w:rPr>
          <w:rFonts w:eastAsia="Verdana"/>
          <w:bCs/>
          <w:sz w:val="24"/>
          <w:szCs w:val="24"/>
        </w:rPr>
        <w:t xml:space="preserve"> providencia</w:t>
      </w:r>
      <w:r w:rsidR="00FC758A">
        <w:rPr>
          <w:rFonts w:eastAsia="Verdana"/>
          <w:bCs/>
          <w:sz w:val="24"/>
          <w:szCs w:val="24"/>
        </w:rPr>
        <w:t>s</w:t>
      </w:r>
      <w:r w:rsidR="00E87218">
        <w:rPr>
          <w:rFonts w:eastAsia="Verdana"/>
          <w:bCs/>
          <w:sz w:val="24"/>
          <w:szCs w:val="24"/>
        </w:rPr>
        <w:t xml:space="preserve"> del 8 de febrero del 2018 en el expediente con radicado 25000-23-42-000-05759-01 y la del 29 de febrero de 2016 en el expediente 25000-23-42-000-2012-01774-01 dictadas por el Consejo de Estado. </w:t>
      </w:r>
    </w:p>
    <w:p w:rsidR="00E87218" w:rsidRDefault="00E87218" w:rsidP="0029733B">
      <w:pPr>
        <w:contextualSpacing/>
        <w:rPr>
          <w:rFonts w:eastAsia="Verdana"/>
          <w:bCs/>
          <w:sz w:val="24"/>
          <w:szCs w:val="24"/>
        </w:rPr>
      </w:pPr>
    </w:p>
    <w:p w:rsidR="00E87218" w:rsidRPr="00E87218" w:rsidRDefault="00E87218" w:rsidP="0029733B">
      <w:pPr>
        <w:contextualSpacing/>
        <w:rPr>
          <w:rFonts w:eastAsia="Verdana"/>
          <w:bCs/>
          <w:sz w:val="24"/>
          <w:szCs w:val="24"/>
        </w:rPr>
      </w:pPr>
      <w:r>
        <w:rPr>
          <w:rFonts w:eastAsia="Verdana"/>
          <w:bCs/>
          <w:sz w:val="24"/>
          <w:szCs w:val="24"/>
        </w:rPr>
        <w:t>Agregó que</w:t>
      </w:r>
      <w:r w:rsidR="0046466C">
        <w:rPr>
          <w:rFonts w:eastAsia="Verdana"/>
          <w:bCs/>
          <w:sz w:val="24"/>
          <w:szCs w:val="24"/>
        </w:rPr>
        <w:t xml:space="preserve">, </w:t>
      </w:r>
      <w:r>
        <w:rPr>
          <w:rFonts w:eastAsia="Verdana"/>
          <w:bCs/>
          <w:sz w:val="24"/>
          <w:szCs w:val="24"/>
        </w:rPr>
        <w:t>en su historia laboral estaba acreditado que “se desempeñó como docente nacionalizad</w:t>
      </w:r>
      <w:r w:rsidR="00D67A77">
        <w:rPr>
          <w:rFonts w:eastAsia="Verdana"/>
          <w:bCs/>
          <w:sz w:val="24"/>
          <w:szCs w:val="24"/>
        </w:rPr>
        <w:t>o</w:t>
      </w:r>
      <w:r>
        <w:rPr>
          <w:rFonts w:eastAsia="Verdana"/>
          <w:bCs/>
          <w:sz w:val="24"/>
          <w:szCs w:val="24"/>
        </w:rPr>
        <w:t xml:space="preserve"> por </w:t>
      </w:r>
      <w:r w:rsidR="00501438">
        <w:rPr>
          <w:rFonts w:eastAsia="Verdana"/>
          <w:bCs/>
          <w:sz w:val="24"/>
          <w:szCs w:val="24"/>
        </w:rPr>
        <w:t>más</w:t>
      </w:r>
      <w:r>
        <w:rPr>
          <w:rFonts w:eastAsia="Verdana"/>
          <w:bCs/>
          <w:sz w:val="24"/>
          <w:szCs w:val="24"/>
        </w:rPr>
        <w:t xml:space="preserve"> de 20 años; sin embargo, el </w:t>
      </w:r>
      <w:r>
        <w:rPr>
          <w:rFonts w:eastAsia="Verdana"/>
          <w:bCs/>
          <w:i/>
          <w:iCs/>
          <w:sz w:val="24"/>
          <w:szCs w:val="24"/>
        </w:rPr>
        <w:t xml:space="preserve">ad </w:t>
      </w:r>
      <w:proofErr w:type="spellStart"/>
      <w:r w:rsidR="00620EDA">
        <w:rPr>
          <w:rFonts w:eastAsia="Verdana"/>
          <w:bCs/>
          <w:i/>
          <w:iCs/>
          <w:sz w:val="24"/>
          <w:szCs w:val="24"/>
        </w:rPr>
        <w:t>quem</w:t>
      </w:r>
      <w:proofErr w:type="spellEnd"/>
      <w:r w:rsidR="00620EDA">
        <w:rPr>
          <w:rFonts w:eastAsia="Verdana"/>
          <w:bCs/>
          <w:i/>
          <w:iCs/>
          <w:sz w:val="24"/>
          <w:szCs w:val="24"/>
        </w:rPr>
        <w:t xml:space="preserve"> </w:t>
      </w:r>
      <w:r w:rsidR="00620EDA">
        <w:rPr>
          <w:rFonts w:eastAsia="Verdana"/>
          <w:bCs/>
          <w:sz w:val="24"/>
          <w:szCs w:val="24"/>
        </w:rPr>
        <w:t>desestimó</w:t>
      </w:r>
      <w:r>
        <w:rPr>
          <w:rFonts w:eastAsia="Verdana"/>
          <w:bCs/>
          <w:sz w:val="24"/>
          <w:szCs w:val="24"/>
        </w:rPr>
        <w:t xml:space="preserve"> tal prueba al calificarla de errónea, lo que configuraría un trato desigual y discriminatorio”</w:t>
      </w:r>
      <w:r>
        <w:rPr>
          <w:rStyle w:val="Refdenotaalpie"/>
          <w:rFonts w:eastAsia="Verdana"/>
          <w:bCs/>
          <w:sz w:val="24"/>
          <w:szCs w:val="24"/>
        </w:rPr>
        <w:footnoteReference w:id="11"/>
      </w:r>
      <w:r>
        <w:rPr>
          <w:rFonts w:eastAsia="Verdana"/>
          <w:bCs/>
          <w:sz w:val="24"/>
          <w:szCs w:val="24"/>
        </w:rPr>
        <w:t>.</w:t>
      </w:r>
    </w:p>
    <w:p w:rsidR="0029733B" w:rsidRDefault="0029733B" w:rsidP="0029733B">
      <w:pPr>
        <w:contextualSpacing/>
        <w:rPr>
          <w:rFonts w:eastAsia="Arial Unicode MS"/>
          <w:sz w:val="24"/>
          <w:szCs w:val="24"/>
          <w:lang w:val="es-ES_tradnl" w:eastAsia="es-ES"/>
        </w:rPr>
      </w:pPr>
    </w:p>
    <w:p w:rsidR="003E02F0" w:rsidRPr="00EF6474" w:rsidRDefault="00612AE7" w:rsidP="00863D39">
      <w:pPr>
        <w:overflowPunct w:val="0"/>
        <w:autoSpaceDE w:val="0"/>
        <w:autoSpaceDN w:val="0"/>
        <w:adjustRightInd w:val="0"/>
        <w:contextualSpacing/>
        <w:rPr>
          <w:rFonts w:eastAsia="Times New Roman"/>
          <w:b/>
          <w:sz w:val="24"/>
          <w:szCs w:val="24"/>
          <w:lang w:eastAsia="es-ES"/>
        </w:rPr>
      </w:pPr>
      <w:r w:rsidRPr="00EF6474">
        <w:rPr>
          <w:b/>
          <w:sz w:val="24"/>
          <w:szCs w:val="24"/>
        </w:rPr>
        <w:t>1</w:t>
      </w:r>
      <w:r w:rsidR="003E02F0" w:rsidRPr="00EF6474">
        <w:rPr>
          <w:b/>
          <w:sz w:val="24"/>
          <w:szCs w:val="24"/>
        </w:rPr>
        <w:t>.</w:t>
      </w:r>
      <w:r w:rsidR="0058016E" w:rsidRPr="00EF6474">
        <w:rPr>
          <w:b/>
          <w:sz w:val="24"/>
          <w:szCs w:val="24"/>
        </w:rPr>
        <w:t>4</w:t>
      </w:r>
      <w:r w:rsidR="003E02F0" w:rsidRPr="00EF6474">
        <w:rPr>
          <w:b/>
          <w:sz w:val="24"/>
          <w:szCs w:val="24"/>
        </w:rPr>
        <w:t xml:space="preserve">. Trámite de tutela e intervenciones </w:t>
      </w:r>
    </w:p>
    <w:p w:rsidR="003E02F0" w:rsidRPr="003E02F0" w:rsidRDefault="003E02F0" w:rsidP="00863D39">
      <w:pPr>
        <w:pStyle w:val="p1"/>
        <w:jc w:val="both"/>
        <w:rPr>
          <w:rFonts w:ascii="Arial" w:hAnsi="Arial" w:cs="Arial"/>
          <w:color w:val="000000"/>
          <w:sz w:val="24"/>
          <w:szCs w:val="24"/>
          <w:lang w:eastAsia="en-US"/>
        </w:rPr>
      </w:pPr>
    </w:p>
    <w:p w:rsidR="003E02F0" w:rsidRDefault="003E02F0" w:rsidP="00863D39">
      <w:pPr>
        <w:overflowPunct w:val="0"/>
        <w:autoSpaceDE w:val="0"/>
        <w:autoSpaceDN w:val="0"/>
        <w:adjustRightInd w:val="0"/>
        <w:contextualSpacing/>
        <w:rPr>
          <w:sz w:val="24"/>
          <w:szCs w:val="24"/>
        </w:rPr>
      </w:pPr>
      <w:r w:rsidRPr="007F17B2">
        <w:rPr>
          <w:rFonts w:eastAsia="Verdana"/>
          <w:color w:val="000000"/>
          <w:sz w:val="24"/>
          <w:szCs w:val="24"/>
        </w:rPr>
        <w:t>1.</w:t>
      </w:r>
      <w:r w:rsidR="00062982">
        <w:rPr>
          <w:rFonts w:eastAsia="Verdana"/>
          <w:color w:val="000000"/>
          <w:sz w:val="24"/>
          <w:szCs w:val="24"/>
        </w:rPr>
        <w:t>4</w:t>
      </w:r>
      <w:r w:rsidRPr="007F17B2">
        <w:rPr>
          <w:rFonts w:eastAsia="Verdana"/>
          <w:color w:val="000000"/>
          <w:sz w:val="24"/>
          <w:szCs w:val="24"/>
        </w:rPr>
        <w:t>.1.</w:t>
      </w:r>
      <w:r w:rsidRPr="003E02F0">
        <w:rPr>
          <w:rFonts w:eastAsia="Verdana"/>
          <w:color w:val="000000"/>
          <w:sz w:val="24"/>
          <w:szCs w:val="24"/>
        </w:rPr>
        <w:t xml:space="preserve"> </w:t>
      </w:r>
      <w:r w:rsidR="00DA78DF" w:rsidRPr="00766FA2">
        <w:rPr>
          <w:rFonts w:eastAsia="Verdana"/>
          <w:sz w:val="24"/>
          <w:szCs w:val="24"/>
        </w:rPr>
        <w:t xml:space="preserve">El Despacho del magistrado ponente, con auto </w:t>
      </w:r>
      <w:r w:rsidR="00EA7F52">
        <w:rPr>
          <w:rFonts w:eastAsia="Verdana"/>
          <w:sz w:val="24"/>
          <w:szCs w:val="24"/>
        </w:rPr>
        <w:t xml:space="preserve">del </w:t>
      </w:r>
      <w:r w:rsidR="00C16053">
        <w:rPr>
          <w:rFonts w:eastAsia="Verdana"/>
          <w:sz w:val="24"/>
          <w:szCs w:val="24"/>
        </w:rPr>
        <w:t xml:space="preserve">26 de octubre </w:t>
      </w:r>
      <w:r w:rsidR="00A1204A">
        <w:rPr>
          <w:rFonts w:eastAsia="Verdana"/>
          <w:sz w:val="24"/>
          <w:szCs w:val="24"/>
        </w:rPr>
        <w:t>de 2022</w:t>
      </w:r>
      <w:r w:rsidR="00A80CA2">
        <w:rPr>
          <w:rStyle w:val="Refdenotaalpie"/>
          <w:rFonts w:eastAsia="Verdana"/>
          <w:sz w:val="24"/>
          <w:szCs w:val="24"/>
        </w:rPr>
        <w:footnoteReference w:id="12"/>
      </w:r>
      <w:r w:rsidR="00DA78DF" w:rsidRPr="00766FA2">
        <w:rPr>
          <w:rFonts w:eastAsia="Verdana"/>
          <w:sz w:val="24"/>
          <w:szCs w:val="24"/>
        </w:rPr>
        <w:t>, admitió la acción, vinculó a</w:t>
      </w:r>
      <w:r w:rsidR="00C16053">
        <w:rPr>
          <w:rFonts w:eastAsia="Verdana"/>
          <w:sz w:val="24"/>
          <w:szCs w:val="24"/>
        </w:rPr>
        <w:t xml:space="preserve">l </w:t>
      </w:r>
      <w:r w:rsidR="00C16053">
        <w:rPr>
          <w:bCs/>
          <w:sz w:val="24"/>
          <w:szCs w:val="24"/>
        </w:rPr>
        <w:t xml:space="preserve">Consejo de Estado, Sección Segunda, Subsección B </w:t>
      </w:r>
      <w:r w:rsidR="005A0302">
        <w:rPr>
          <w:rFonts w:eastAsia="Verdana"/>
          <w:bCs/>
          <w:sz w:val="24"/>
          <w:szCs w:val="24"/>
        </w:rPr>
        <w:t>y c</w:t>
      </w:r>
      <w:r w:rsidR="004C2C86">
        <w:rPr>
          <w:rFonts w:eastAsia="Verdana"/>
          <w:bCs/>
          <w:sz w:val="24"/>
          <w:szCs w:val="24"/>
        </w:rPr>
        <w:t>o</w:t>
      </w:r>
      <w:r w:rsidR="005A0302">
        <w:rPr>
          <w:rFonts w:eastAsia="Verdana"/>
          <w:bCs/>
          <w:sz w:val="24"/>
          <w:szCs w:val="24"/>
        </w:rPr>
        <w:t>mo tercero</w:t>
      </w:r>
      <w:r w:rsidR="001D6B97">
        <w:rPr>
          <w:rFonts w:eastAsia="Verdana"/>
          <w:bCs/>
          <w:sz w:val="24"/>
          <w:szCs w:val="24"/>
        </w:rPr>
        <w:t>s</w:t>
      </w:r>
      <w:r w:rsidR="005A0302">
        <w:rPr>
          <w:rFonts w:eastAsia="Verdana"/>
          <w:bCs/>
          <w:sz w:val="24"/>
          <w:szCs w:val="24"/>
        </w:rPr>
        <w:t xml:space="preserve"> interesado</w:t>
      </w:r>
      <w:r w:rsidR="001D6B97">
        <w:rPr>
          <w:rFonts w:eastAsia="Verdana"/>
          <w:bCs/>
          <w:sz w:val="24"/>
          <w:szCs w:val="24"/>
        </w:rPr>
        <w:t xml:space="preserve">s </w:t>
      </w:r>
      <w:r w:rsidR="00C16053">
        <w:rPr>
          <w:rStyle w:val="normaltextrun"/>
          <w:bCs/>
          <w:color w:val="000000"/>
          <w:sz w:val="24"/>
          <w:szCs w:val="24"/>
          <w:shd w:val="clear" w:color="auto" w:fill="FFFFFF"/>
        </w:rPr>
        <w:t xml:space="preserve">al </w:t>
      </w:r>
      <w:r w:rsidR="00C16053">
        <w:rPr>
          <w:sz w:val="24"/>
          <w:szCs w:val="24"/>
        </w:rPr>
        <w:t xml:space="preserve">Tribunal Administrativo de Cundinamarca, Sección Segunda, Subsección B, a la Unidad Administrativa Especial de Gestión Pensional y Contribuciones Parafiscales de la Protección Social — UGPP </w:t>
      </w:r>
      <w:r w:rsidR="00EA7F52">
        <w:rPr>
          <w:rFonts w:eastAsia="Verdana"/>
          <w:bCs/>
          <w:sz w:val="24"/>
          <w:szCs w:val="24"/>
        </w:rPr>
        <w:t xml:space="preserve">y </w:t>
      </w:r>
      <w:r w:rsidR="00EA7F52">
        <w:rPr>
          <w:sz w:val="24"/>
          <w:szCs w:val="24"/>
          <w:lang w:val="es-ES"/>
        </w:rPr>
        <w:t xml:space="preserve">a </w:t>
      </w:r>
      <w:r w:rsidR="001D6B97">
        <w:rPr>
          <w:sz w:val="24"/>
          <w:szCs w:val="24"/>
          <w:lang w:val="es-ES"/>
        </w:rPr>
        <w:t>los demás sujetos que hubieren participado en el medio de control de nulidad y restablecimiento del derecho con número de radicado</w:t>
      </w:r>
      <w:r w:rsidR="00C16053" w:rsidRPr="00C16053">
        <w:rPr>
          <w:sz w:val="24"/>
          <w:szCs w:val="24"/>
        </w:rPr>
        <w:t xml:space="preserve"> </w:t>
      </w:r>
      <w:r w:rsidR="00C16053">
        <w:rPr>
          <w:sz w:val="24"/>
          <w:szCs w:val="24"/>
        </w:rPr>
        <w:t>25000-23-42-000-2018-02605-00/01</w:t>
      </w:r>
      <w:r w:rsidR="00C16053" w:rsidRPr="00EA0A0A">
        <w:rPr>
          <w:sz w:val="24"/>
          <w:szCs w:val="24"/>
        </w:rPr>
        <w:t xml:space="preserve"> (</w:t>
      </w:r>
      <w:r w:rsidR="00C16053">
        <w:rPr>
          <w:sz w:val="24"/>
          <w:szCs w:val="24"/>
        </w:rPr>
        <w:t>0701-2022</w:t>
      </w:r>
      <w:r w:rsidR="00C16053" w:rsidRPr="00EA0A0A">
        <w:rPr>
          <w:sz w:val="24"/>
          <w:szCs w:val="24"/>
        </w:rPr>
        <w:t>)</w:t>
      </w:r>
      <w:r w:rsidR="001D6B97">
        <w:rPr>
          <w:sz w:val="24"/>
          <w:szCs w:val="24"/>
        </w:rPr>
        <w:t xml:space="preserve">. </w:t>
      </w:r>
    </w:p>
    <w:p w:rsidR="00D67A77" w:rsidRPr="003E02F0" w:rsidRDefault="00D67A77" w:rsidP="00863D39">
      <w:pPr>
        <w:overflowPunct w:val="0"/>
        <w:autoSpaceDE w:val="0"/>
        <w:autoSpaceDN w:val="0"/>
        <w:adjustRightInd w:val="0"/>
        <w:contextualSpacing/>
        <w:rPr>
          <w:rFonts w:eastAsia="Verdana"/>
          <w:color w:val="000000"/>
          <w:sz w:val="24"/>
          <w:szCs w:val="24"/>
        </w:rPr>
      </w:pPr>
    </w:p>
    <w:p w:rsidR="00B13072" w:rsidRDefault="003E02F0" w:rsidP="00CF138B">
      <w:pPr>
        <w:pStyle w:val="p1"/>
        <w:widowControl w:val="0"/>
        <w:jc w:val="both"/>
        <w:rPr>
          <w:sz w:val="24"/>
          <w:szCs w:val="24"/>
        </w:rPr>
      </w:pPr>
      <w:r w:rsidRPr="007F17B2">
        <w:rPr>
          <w:rFonts w:ascii="Arial" w:eastAsia="Verdana" w:hAnsi="Arial" w:cs="Arial"/>
          <w:color w:val="000000"/>
          <w:sz w:val="24"/>
          <w:szCs w:val="24"/>
        </w:rPr>
        <w:t>1.</w:t>
      </w:r>
      <w:r w:rsidR="00062982">
        <w:rPr>
          <w:rFonts w:ascii="Arial" w:eastAsia="Verdana" w:hAnsi="Arial" w:cs="Arial"/>
          <w:color w:val="000000"/>
          <w:sz w:val="24"/>
          <w:szCs w:val="24"/>
        </w:rPr>
        <w:t>4</w:t>
      </w:r>
      <w:r w:rsidRPr="007F17B2">
        <w:rPr>
          <w:rFonts w:ascii="Arial" w:eastAsia="Verdana" w:hAnsi="Arial" w:cs="Arial"/>
          <w:color w:val="000000"/>
          <w:sz w:val="24"/>
          <w:szCs w:val="24"/>
        </w:rPr>
        <w:t>.2.</w:t>
      </w:r>
      <w:r w:rsidR="00B13072" w:rsidRPr="00B13072">
        <w:rPr>
          <w:rFonts w:ascii="Arial" w:eastAsia="Verdana" w:hAnsi="Arial" w:cs="Arial"/>
          <w:color w:val="000000"/>
          <w:sz w:val="24"/>
          <w:szCs w:val="24"/>
        </w:rPr>
        <w:t xml:space="preserve"> </w:t>
      </w:r>
      <w:r w:rsidR="00B13072" w:rsidRPr="00E9517E">
        <w:rPr>
          <w:rFonts w:ascii="Arial" w:eastAsia="Verdana" w:hAnsi="Arial" w:cs="Arial"/>
          <w:color w:val="000000"/>
          <w:sz w:val="24"/>
          <w:szCs w:val="24"/>
        </w:rPr>
        <w:t xml:space="preserve">Enviadas las notificaciones de rigor, recibió </w:t>
      </w:r>
      <w:r w:rsidR="00B13072">
        <w:rPr>
          <w:rFonts w:ascii="Arial" w:eastAsia="Verdana" w:hAnsi="Arial" w:cs="Arial"/>
          <w:color w:val="000000"/>
          <w:sz w:val="24"/>
          <w:szCs w:val="24"/>
        </w:rPr>
        <w:t xml:space="preserve">respuesta del </w:t>
      </w:r>
      <w:r w:rsidR="00B13072">
        <w:rPr>
          <w:sz w:val="24"/>
          <w:szCs w:val="24"/>
        </w:rPr>
        <w:t xml:space="preserve">Tribunal Administrativo de Cundinamarca, Sección Segunda Subsección </w:t>
      </w:r>
      <w:r w:rsidR="00CE2BFC">
        <w:rPr>
          <w:sz w:val="24"/>
          <w:szCs w:val="24"/>
        </w:rPr>
        <w:t>B</w:t>
      </w:r>
      <w:r w:rsidR="00B13072">
        <w:rPr>
          <w:sz w:val="24"/>
          <w:szCs w:val="24"/>
        </w:rPr>
        <w:t xml:space="preserve"> que, </w:t>
      </w:r>
      <w:r w:rsidR="00CE2BFC">
        <w:rPr>
          <w:sz w:val="24"/>
          <w:szCs w:val="24"/>
        </w:rPr>
        <w:t>remitió la información de los sujetos que participaron en el</w:t>
      </w:r>
      <w:r w:rsidR="00B13072">
        <w:rPr>
          <w:sz w:val="24"/>
          <w:szCs w:val="24"/>
        </w:rPr>
        <w:t xml:space="preserve"> proceso ordinario</w:t>
      </w:r>
      <w:r w:rsidR="00B13072">
        <w:rPr>
          <w:rStyle w:val="Refdenotaalpie"/>
          <w:sz w:val="24"/>
          <w:szCs w:val="24"/>
        </w:rPr>
        <w:footnoteReference w:id="13"/>
      </w:r>
      <w:r w:rsidR="00B13072">
        <w:rPr>
          <w:sz w:val="24"/>
          <w:szCs w:val="24"/>
        </w:rPr>
        <w:t>, sin embargo, respecto del caso concreto, guardó silencio</w:t>
      </w:r>
      <w:r w:rsidR="00D67A77">
        <w:rPr>
          <w:sz w:val="24"/>
          <w:szCs w:val="24"/>
        </w:rPr>
        <w:t>. L</w:t>
      </w:r>
      <w:r w:rsidR="00CE2BFC">
        <w:rPr>
          <w:sz w:val="24"/>
          <w:szCs w:val="24"/>
        </w:rPr>
        <w:t>a Unidad Administrativa Especial de Gestión Pensional y Contribuciones Parafiscales de la Protección Social — UGPP</w:t>
      </w:r>
      <w:r w:rsidR="00B13072">
        <w:rPr>
          <w:rStyle w:val="Refdenotaalpie"/>
          <w:bCs/>
          <w:color w:val="000000"/>
          <w:sz w:val="24"/>
          <w:szCs w:val="24"/>
          <w:shd w:val="clear" w:color="auto" w:fill="FFFFFF"/>
        </w:rPr>
        <w:footnoteReference w:id="14"/>
      </w:r>
      <w:r w:rsidR="00D67A77">
        <w:rPr>
          <w:sz w:val="24"/>
          <w:szCs w:val="24"/>
        </w:rPr>
        <w:t xml:space="preserve"> descorrió el traslado y </w:t>
      </w:r>
      <w:r w:rsidR="00D67A77">
        <w:rPr>
          <w:sz w:val="24"/>
          <w:szCs w:val="24"/>
        </w:rPr>
        <w:lastRenderedPageBreak/>
        <w:t xml:space="preserve">la </w:t>
      </w:r>
      <w:r w:rsidR="00EF6474">
        <w:rPr>
          <w:sz w:val="24"/>
          <w:szCs w:val="24"/>
        </w:rPr>
        <w:t>Subsección B de la Sección Segunda del Consejo de Estado</w:t>
      </w:r>
      <w:r w:rsidR="00D67A77">
        <w:rPr>
          <w:sz w:val="24"/>
          <w:szCs w:val="24"/>
        </w:rPr>
        <w:t xml:space="preserve"> guardó silenci</w:t>
      </w:r>
      <w:r w:rsidR="00EF6474">
        <w:rPr>
          <w:sz w:val="24"/>
          <w:szCs w:val="24"/>
        </w:rPr>
        <w:t>o</w:t>
      </w:r>
      <w:r w:rsidR="00EF6474">
        <w:rPr>
          <w:rStyle w:val="Refdenotaalpie"/>
          <w:sz w:val="24"/>
          <w:szCs w:val="24"/>
        </w:rPr>
        <w:footnoteReference w:id="15"/>
      </w:r>
      <w:r w:rsidR="00EF6474">
        <w:rPr>
          <w:sz w:val="24"/>
          <w:szCs w:val="24"/>
        </w:rPr>
        <w:t>.</w:t>
      </w:r>
    </w:p>
    <w:p w:rsidR="00B13072" w:rsidRDefault="00B13072" w:rsidP="00863D39">
      <w:pPr>
        <w:pStyle w:val="p1"/>
        <w:jc w:val="both"/>
        <w:rPr>
          <w:rFonts w:ascii="Arial" w:eastAsia="Verdana" w:hAnsi="Arial" w:cs="Arial"/>
          <w:color w:val="000000"/>
          <w:sz w:val="24"/>
          <w:szCs w:val="24"/>
        </w:rPr>
      </w:pPr>
    </w:p>
    <w:p w:rsidR="00C31A9C" w:rsidRDefault="00433E5D" w:rsidP="00863D39">
      <w:pPr>
        <w:pStyle w:val="p1"/>
        <w:jc w:val="both"/>
        <w:rPr>
          <w:rFonts w:ascii="Arial" w:eastAsia="Verdana" w:hAnsi="Arial" w:cs="Arial"/>
          <w:bCs/>
          <w:color w:val="000000"/>
          <w:sz w:val="24"/>
          <w:szCs w:val="24"/>
        </w:rPr>
      </w:pPr>
      <w:r>
        <w:rPr>
          <w:rFonts w:ascii="Arial" w:eastAsia="Verdana" w:hAnsi="Arial" w:cs="Arial"/>
          <w:color w:val="000000"/>
          <w:sz w:val="24"/>
          <w:szCs w:val="24"/>
        </w:rPr>
        <w:t>1.</w:t>
      </w:r>
      <w:r w:rsidR="00062982">
        <w:rPr>
          <w:rFonts w:ascii="Arial" w:eastAsia="Verdana" w:hAnsi="Arial" w:cs="Arial"/>
          <w:color w:val="000000"/>
          <w:sz w:val="24"/>
          <w:szCs w:val="24"/>
        </w:rPr>
        <w:t>4</w:t>
      </w:r>
      <w:r>
        <w:rPr>
          <w:rFonts w:ascii="Arial" w:eastAsia="Verdana" w:hAnsi="Arial" w:cs="Arial"/>
          <w:color w:val="000000"/>
          <w:sz w:val="24"/>
          <w:szCs w:val="24"/>
        </w:rPr>
        <w:t>.2.1.</w:t>
      </w:r>
      <w:r>
        <w:rPr>
          <w:rStyle w:val="Refdenotaalpie"/>
          <w:rFonts w:eastAsia="Verdana"/>
          <w:bCs/>
          <w:sz w:val="24"/>
          <w:szCs w:val="24"/>
        </w:rPr>
        <w:t xml:space="preserve"> </w:t>
      </w:r>
      <w:r>
        <w:rPr>
          <w:rFonts w:eastAsia="Verdana"/>
          <w:bCs/>
          <w:sz w:val="24"/>
          <w:szCs w:val="24"/>
        </w:rPr>
        <w:t xml:space="preserve">El </w:t>
      </w:r>
      <w:r w:rsidR="00AF351A">
        <w:rPr>
          <w:rFonts w:eastAsia="Verdana"/>
          <w:bCs/>
          <w:sz w:val="24"/>
          <w:szCs w:val="24"/>
        </w:rPr>
        <w:t xml:space="preserve">Subdirector de la Defensa Judicial Pensional y apoderado de la Unidad Administrativa Especial de Gestión Pensional y Contribuciones Parafiscales de la Protección Social — UGPP </w:t>
      </w:r>
      <w:r w:rsidR="00C31A9C">
        <w:rPr>
          <w:rFonts w:eastAsia="Verdana"/>
          <w:bCs/>
          <w:sz w:val="24"/>
          <w:szCs w:val="24"/>
        </w:rPr>
        <w:t>adujo en primer lugar que el juez natural de la causa negó acertadamente el reconocimiento y pago de la pensión gracia al aquí accionante, dado que no acreditó ser docente nacionalizado</w:t>
      </w:r>
      <w:r w:rsidR="00CC5D6D">
        <w:rPr>
          <w:rFonts w:ascii="Arial" w:eastAsia="Verdana" w:hAnsi="Arial" w:cs="Arial"/>
          <w:bCs/>
          <w:color w:val="000000"/>
          <w:sz w:val="24"/>
          <w:szCs w:val="24"/>
        </w:rPr>
        <w:t>.</w:t>
      </w:r>
    </w:p>
    <w:p w:rsidR="00C31A9C" w:rsidRDefault="00C31A9C" w:rsidP="00863D39">
      <w:pPr>
        <w:pStyle w:val="p1"/>
        <w:jc w:val="both"/>
        <w:rPr>
          <w:rFonts w:ascii="Arial" w:eastAsia="Verdana" w:hAnsi="Arial" w:cs="Arial"/>
          <w:bCs/>
          <w:color w:val="000000"/>
          <w:sz w:val="24"/>
          <w:szCs w:val="24"/>
        </w:rPr>
      </w:pPr>
    </w:p>
    <w:p w:rsidR="00155E78" w:rsidRDefault="00C31A9C" w:rsidP="00863D39">
      <w:pPr>
        <w:pStyle w:val="p1"/>
        <w:jc w:val="both"/>
        <w:rPr>
          <w:rFonts w:ascii="Arial" w:eastAsia="Verdana" w:hAnsi="Arial" w:cs="Arial"/>
          <w:bCs/>
          <w:color w:val="000000"/>
          <w:sz w:val="24"/>
          <w:szCs w:val="24"/>
        </w:rPr>
      </w:pPr>
      <w:r>
        <w:rPr>
          <w:rFonts w:ascii="Arial" w:eastAsia="Verdana" w:hAnsi="Arial" w:cs="Arial"/>
          <w:bCs/>
          <w:color w:val="000000"/>
          <w:sz w:val="24"/>
          <w:szCs w:val="24"/>
        </w:rPr>
        <w:t xml:space="preserve">En segundo lugar, sostuvo que el accionante no argumentó ninguno de los requisitos para la procedencia de la acción de tutela contra providencias judiciales, en la medida que la decisión objeto de estudio fue sustentada con base en normas aplicables al caso para efectos de ordenar la suspensión de la pensión reconocida ilegalmente, ni aplicó indebidamente o le dio una interpretación errada, ya que fue fundada en preceptos legales relacionados al tema y en la jurisprudencia vigente proferida por el Consejo de Estado así como la dictada por la Corte Constitucional. </w:t>
      </w:r>
    </w:p>
    <w:p w:rsidR="00C31A9C" w:rsidRDefault="00C31A9C" w:rsidP="00863D39">
      <w:pPr>
        <w:pStyle w:val="p1"/>
        <w:jc w:val="both"/>
        <w:rPr>
          <w:rFonts w:ascii="Arial" w:eastAsia="Verdana" w:hAnsi="Arial" w:cs="Arial"/>
          <w:bCs/>
          <w:color w:val="000000"/>
          <w:sz w:val="24"/>
          <w:szCs w:val="24"/>
        </w:rPr>
      </w:pPr>
    </w:p>
    <w:p w:rsidR="0070161C" w:rsidRDefault="0070161C" w:rsidP="00863D39">
      <w:pPr>
        <w:pStyle w:val="p1"/>
        <w:jc w:val="both"/>
        <w:rPr>
          <w:rFonts w:ascii="Arial" w:eastAsia="Verdana" w:hAnsi="Arial" w:cs="Arial"/>
          <w:bCs/>
          <w:color w:val="000000"/>
          <w:sz w:val="24"/>
          <w:szCs w:val="24"/>
        </w:rPr>
      </w:pPr>
      <w:r>
        <w:rPr>
          <w:rFonts w:ascii="Arial" w:eastAsia="Verdana" w:hAnsi="Arial" w:cs="Arial"/>
          <w:bCs/>
          <w:color w:val="000000"/>
          <w:sz w:val="24"/>
          <w:szCs w:val="24"/>
        </w:rPr>
        <w:t xml:space="preserve">Agregó que, en el asunto se configura cosa juzgada en la medida que la decisión tomada por la autoridad cuestionada fue ajustada a derecho y no hay lugar a realizar revisión alguna. Así mismo que no </w:t>
      </w:r>
      <w:r w:rsidR="00D67A77">
        <w:rPr>
          <w:rFonts w:ascii="Arial" w:eastAsia="Verdana" w:hAnsi="Arial" w:cs="Arial"/>
          <w:bCs/>
          <w:color w:val="000000"/>
          <w:sz w:val="24"/>
          <w:szCs w:val="24"/>
        </w:rPr>
        <w:t xml:space="preserve">se configura perjuicio irremediable </w:t>
      </w:r>
      <w:r>
        <w:rPr>
          <w:rFonts w:ascii="Arial" w:eastAsia="Verdana" w:hAnsi="Arial" w:cs="Arial"/>
          <w:bCs/>
          <w:color w:val="000000"/>
          <w:sz w:val="24"/>
          <w:szCs w:val="24"/>
        </w:rPr>
        <w:t>toda vez que, el accionante está recibiendo una pensión y que, en todo caso la presente acción no es la vía adecuada para reclamar prestaciones económicas.</w:t>
      </w:r>
    </w:p>
    <w:p w:rsidR="0070161C" w:rsidRDefault="0070161C" w:rsidP="00863D39">
      <w:pPr>
        <w:pStyle w:val="p1"/>
        <w:jc w:val="both"/>
        <w:rPr>
          <w:rFonts w:ascii="Arial" w:eastAsia="Verdana" w:hAnsi="Arial" w:cs="Arial"/>
          <w:bCs/>
          <w:color w:val="000000"/>
          <w:sz w:val="24"/>
          <w:szCs w:val="24"/>
        </w:rPr>
      </w:pPr>
    </w:p>
    <w:p w:rsidR="00584E1D" w:rsidRDefault="00584E1D" w:rsidP="00863D39">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rsidR="00584E1D" w:rsidRDefault="00584E1D" w:rsidP="00863D39">
      <w:pPr>
        <w:tabs>
          <w:tab w:val="left" w:pos="426"/>
        </w:tabs>
        <w:contextualSpacing/>
        <w:rPr>
          <w:b/>
          <w:sz w:val="24"/>
          <w:szCs w:val="24"/>
          <w:lang w:val="es-ES_tradnl"/>
        </w:rPr>
      </w:pPr>
    </w:p>
    <w:p w:rsidR="000C5DB7" w:rsidRPr="00766FA2" w:rsidRDefault="00584E1D" w:rsidP="00863D39">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rsidR="000C5DB7" w:rsidRPr="00766FA2" w:rsidRDefault="000C5DB7" w:rsidP="00863D39">
      <w:pPr>
        <w:contextualSpacing/>
        <w:rPr>
          <w:b/>
          <w:sz w:val="24"/>
          <w:szCs w:val="24"/>
          <w:lang w:val="es-ES_tradnl"/>
        </w:rPr>
      </w:pPr>
    </w:p>
    <w:p w:rsidR="00DC2A3C" w:rsidRPr="00DC2A3C" w:rsidRDefault="00DC2A3C" w:rsidP="00DC2A3C">
      <w:pPr>
        <w:overflowPunct w:val="0"/>
        <w:autoSpaceDE w:val="0"/>
        <w:autoSpaceDN w:val="0"/>
        <w:adjustRightInd w:val="0"/>
        <w:contextualSpacing/>
        <w:rPr>
          <w:rFonts w:eastAsia="Times New Roman"/>
          <w:sz w:val="24"/>
          <w:szCs w:val="24"/>
          <w:lang w:val="es-ES_tradnl" w:eastAsia="es-ES"/>
        </w:rPr>
      </w:pPr>
      <w:r w:rsidRPr="00DC2A3C">
        <w:rPr>
          <w:rFonts w:eastAsia="Times New Roman"/>
          <w:sz w:val="24"/>
          <w:szCs w:val="24"/>
          <w:lang w:val="es-ES_tradnl" w:eastAsia="es-ES"/>
        </w:rPr>
        <w:t>Esta Sala es competente para decidir la presente acción de tutela, en virtud de lo establecido en el artículo 86 de la Constitución Nacional y en el artículo 37 del Decreto 2591 de 1991.</w:t>
      </w:r>
    </w:p>
    <w:p w:rsidR="000C5DB7" w:rsidRPr="00766FA2" w:rsidRDefault="000C5DB7" w:rsidP="00863D39">
      <w:pPr>
        <w:overflowPunct w:val="0"/>
        <w:autoSpaceDE w:val="0"/>
        <w:autoSpaceDN w:val="0"/>
        <w:adjustRightInd w:val="0"/>
        <w:contextualSpacing/>
        <w:rPr>
          <w:rFonts w:eastAsia="Times New Roman"/>
          <w:sz w:val="24"/>
          <w:szCs w:val="24"/>
          <w:lang w:eastAsia="es-ES"/>
        </w:rPr>
      </w:pPr>
    </w:p>
    <w:p w:rsidR="000C5DB7" w:rsidRPr="00766FA2" w:rsidRDefault="00584E1D" w:rsidP="00863D39">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rsidR="000C5DB7" w:rsidRPr="00766FA2" w:rsidRDefault="000C5DB7" w:rsidP="00863D39">
      <w:pPr>
        <w:contextualSpacing/>
        <w:rPr>
          <w:sz w:val="24"/>
          <w:szCs w:val="24"/>
          <w:lang w:val="es-ES_tradnl"/>
        </w:rPr>
      </w:pPr>
    </w:p>
    <w:p w:rsidR="00C56A73" w:rsidRDefault="006371BF" w:rsidP="00863D39">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la solicitud de amparo se dirige contra una providencia judicial, es pertinente realizar,  primero, un examen de procedibilidad general</w:t>
      </w:r>
      <w:r w:rsidRPr="00766FA2">
        <w:rPr>
          <w:sz w:val="24"/>
          <w:szCs w:val="24"/>
          <w:vertAlign w:val="superscript"/>
          <w:lang w:val="es-ES_tradnl"/>
        </w:rPr>
        <w:footnoteReference w:id="16"/>
      </w:r>
      <w:r w:rsidRPr="00766FA2">
        <w:rPr>
          <w:sz w:val="24"/>
          <w:szCs w:val="24"/>
          <w:lang w:val="es-ES_tradnl"/>
        </w:rPr>
        <w:t xml:space="preserve"> para, luego, en caso de resultar </w:t>
      </w:r>
      <w:r w:rsidRPr="00766FA2">
        <w:rPr>
          <w:sz w:val="24"/>
          <w:szCs w:val="24"/>
          <w:lang w:val="es-ES_tradnl"/>
        </w:rPr>
        <w:lastRenderedPageBreak/>
        <w:t xml:space="preserve">superado dicho estudio, pasar a hacer el pronunciamiento de fondo en el que se resuelva el problema jurídico, en los términos de los defectos aducidos por </w:t>
      </w:r>
      <w:r w:rsidR="00F12D21">
        <w:rPr>
          <w:sz w:val="24"/>
          <w:szCs w:val="24"/>
          <w:lang w:val="es-ES_tradnl"/>
        </w:rPr>
        <w:t>el</w:t>
      </w:r>
      <w:r w:rsidR="005B6DC3">
        <w:rPr>
          <w:sz w:val="24"/>
          <w:szCs w:val="24"/>
          <w:lang w:val="es-ES_tradnl"/>
        </w:rPr>
        <w:t xml:space="preserve"> accionante</w:t>
      </w:r>
      <w:r w:rsidRPr="00766FA2">
        <w:rPr>
          <w:sz w:val="24"/>
          <w:szCs w:val="24"/>
          <w:lang w:val="es-ES_tradnl"/>
        </w:rPr>
        <w:t xml:space="preserve"> conforme a las causales específicas de procedencia de la acción de tutela contra providencia judicial</w:t>
      </w:r>
      <w:r w:rsidRPr="00766FA2">
        <w:rPr>
          <w:sz w:val="24"/>
          <w:szCs w:val="24"/>
          <w:vertAlign w:val="superscript"/>
          <w:lang w:val="es-ES_tradnl"/>
        </w:rPr>
        <w:footnoteReference w:id="17"/>
      </w:r>
      <w:r w:rsidRPr="00766FA2">
        <w:rPr>
          <w:sz w:val="24"/>
          <w:szCs w:val="24"/>
          <w:lang w:val="es-ES_tradnl"/>
        </w:rPr>
        <w:t xml:space="preserve">. </w:t>
      </w:r>
    </w:p>
    <w:p w:rsidR="00EF6474" w:rsidRDefault="00EF6474" w:rsidP="00863D39">
      <w:pPr>
        <w:contextualSpacing/>
        <w:rPr>
          <w:sz w:val="24"/>
          <w:szCs w:val="24"/>
          <w:lang w:val="es-ES_tradnl"/>
        </w:rPr>
      </w:pPr>
    </w:p>
    <w:p w:rsidR="00C56A73" w:rsidRDefault="00C56A73" w:rsidP="00863D39">
      <w:pPr>
        <w:contextualSpacing/>
        <w:rPr>
          <w:sz w:val="24"/>
          <w:szCs w:val="24"/>
          <w:lang w:val="es-ES_tradnl"/>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porque </w:t>
      </w:r>
      <w:r w:rsidR="00385C2D">
        <w:rPr>
          <w:sz w:val="24"/>
          <w:szCs w:val="24"/>
          <w:lang w:val="es-ES_tradnl"/>
        </w:rPr>
        <w:t>el</w:t>
      </w:r>
      <w:r w:rsidR="00BE1F52">
        <w:rPr>
          <w:sz w:val="24"/>
          <w:szCs w:val="24"/>
          <w:lang w:val="es-ES_tradnl"/>
        </w:rPr>
        <w:t xml:space="preserve"> </w:t>
      </w:r>
      <w:r w:rsidR="008E0378">
        <w:rPr>
          <w:sz w:val="24"/>
          <w:szCs w:val="24"/>
          <w:lang w:val="es-ES_tradnl"/>
        </w:rPr>
        <w:t>accionante</w:t>
      </w:r>
      <w:r>
        <w:rPr>
          <w:sz w:val="24"/>
          <w:szCs w:val="24"/>
          <w:lang w:val="es-ES_tradnl"/>
        </w:rPr>
        <w:t xml:space="preserve"> es </w:t>
      </w:r>
      <w:r w:rsidR="00BE1F52">
        <w:rPr>
          <w:sz w:val="24"/>
          <w:szCs w:val="24"/>
          <w:lang w:val="es-ES_tradnl"/>
        </w:rPr>
        <w:t xml:space="preserve">el </w:t>
      </w:r>
      <w:r>
        <w:rPr>
          <w:sz w:val="24"/>
          <w:szCs w:val="24"/>
          <w:lang w:val="es-ES_tradnl"/>
        </w:rPr>
        <w:t>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demandante dentro del proceso ordinario</w:t>
      </w:r>
      <w:r w:rsidR="00BE1F52">
        <w:rPr>
          <w:sz w:val="24"/>
          <w:szCs w:val="24"/>
          <w:lang w:val="es-ES_tradnl"/>
        </w:rPr>
        <w:t xml:space="preserve"> en el que </w:t>
      </w:r>
      <w:r w:rsidR="001571AE">
        <w:rPr>
          <w:sz w:val="24"/>
          <w:szCs w:val="24"/>
          <w:lang w:val="es-ES_tradnl"/>
        </w:rPr>
        <w:t>fue proferida</w:t>
      </w:r>
      <w:r w:rsidR="00BE1F52">
        <w:rPr>
          <w:sz w:val="24"/>
          <w:szCs w:val="24"/>
          <w:lang w:val="es-ES_tradnl"/>
        </w:rPr>
        <w:t xml:space="preserve"> la providencia</w:t>
      </w:r>
      <w:r w:rsidRPr="00766FA2">
        <w:rPr>
          <w:sz w:val="24"/>
          <w:szCs w:val="24"/>
          <w:lang w:val="es-ES_tradnl"/>
        </w:rPr>
        <w:t xml:space="preserve"> objeto de </w:t>
      </w:r>
      <w:r w:rsidR="001571AE">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resultarían afectados en relación con sus </w:t>
      </w:r>
      <w:r>
        <w:rPr>
          <w:sz w:val="24"/>
          <w:szCs w:val="24"/>
          <w:lang w:val="es-ES_tradnl"/>
        </w:rPr>
        <w:t>garantías</w:t>
      </w:r>
      <w:r w:rsidRPr="00766FA2">
        <w:rPr>
          <w:sz w:val="24"/>
          <w:szCs w:val="24"/>
          <w:lang w:val="es-ES_tradnl"/>
        </w:rPr>
        <w:t xml:space="preserve"> al debido proceso y acceso a la administración de justicia.</w:t>
      </w:r>
    </w:p>
    <w:p w:rsidR="008D1DBD" w:rsidRDefault="008D1DBD" w:rsidP="00863D39">
      <w:pPr>
        <w:tabs>
          <w:tab w:val="left" w:pos="0"/>
        </w:tabs>
        <w:contextualSpacing/>
        <w:rPr>
          <w:sz w:val="24"/>
          <w:szCs w:val="24"/>
          <w:lang w:val="es-ES_tradnl"/>
        </w:rPr>
      </w:pPr>
    </w:p>
    <w:p w:rsidR="00C56A73" w:rsidRDefault="00385C2D" w:rsidP="00863D39">
      <w:pPr>
        <w:tabs>
          <w:tab w:val="left" w:pos="0"/>
        </w:tabs>
        <w:contextualSpacing/>
        <w:rPr>
          <w:sz w:val="24"/>
          <w:szCs w:val="24"/>
          <w:lang w:val="es-ES_tradnl"/>
        </w:rPr>
      </w:pPr>
      <w:r>
        <w:rPr>
          <w:sz w:val="24"/>
          <w:szCs w:val="24"/>
          <w:lang w:val="es-ES_tradnl"/>
        </w:rPr>
        <w:t>También</w:t>
      </w:r>
      <w:r w:rsidR="008D1DBD">
        <w:rPr>
          <w:sz w:val="24"/>
          <w:szCs w:val="24"/>
          <w:lang w:val="es-ES_tradnl"/>
        </w:rPr>
        <w:t xml:space="preserve"> </w:t>
      </w:r>
      <w:r w:rsidR="00C56A73" w:rsidRPr="00766FA2">
        <w:rPr>
          <w:sz w:val="24"/>
          <w:szCs w:val="24"/>
          <w:lang w:val="es-ES_tradnl"/>
        </w:rPr>
        <w:t xml:space="preserve">está probada </w:t>
      </w:r>
      <w:r w:rsidR="00C56A73" w:rsidRPr="00766FA2">
        <w:rPr>
          <w:b/>
          <w:sz w:val="24"/>
          <w:szCs w:val="24"/>
          <w:lang w:val="es-ES_tradnl"/>
        </w:rPr>
        <w:t xml:space="preserve">la legitimación en la causa </w:t>
      </w:r>
      <w:r w:rsidR="00C56A73" w:rsidRPr="00766FA2">
        <w:rPr>
          <w:b/>
          <w:i/>
          <w:sz w:val="24"/>
          <w:szCs w:val="24"/>
          <w:lang w:val="es-ES_tradnl"/>
        </w:rPr>
        <w:t>por pasiva</w:t>
      </w:r>
      <w:r w:rsidR="00C56A73" w:rsidRPr="00766FA2">
        <w:rPr>
          <w:sz w:val="24"/>
          <w:szCs w:val="24"/>
          <w:lang w:val="es-ES_tradnl"/>
        </w:rPr>
        <w:t xml:space="preserve"> porque </w:t>
      </w:r>
      <w:r w:rsidR="00354ABD">
        <w:rPr>
          <w:sz w:val="24"/>
          <w:szCs w:val="24"/>
          <w:lang w:val="es-ES_tradnl"/>
        </w:rPr>
        <w:t xml:space="preserve">la Subsección </w:t>
      </w:r>
      <w:r>
        <w:rPr>
          <w:sz w:val="24"/>
          <w:szCs w:val="24"/>
          <w:lang w:val="es-ES_tradnl"/>
        </w:rPr>
        <w:t>B</w:t>
      </w:r>
      <w:r w:rsidR="00354ABD">
        <w:rPr>
          <w:sz w:val="24"/>
          <w:szCs w:val="24"/>
          <w:lang w:val="es-ES_tradnl"/>
        </w:rPr>
        <w:t xml:space="preserve"> de la Sección Segunda del Consejo de Estado, </w:t>
      </w:r>
      <w:r w:rsidR="00C56A73">
        <w:rPr>
          <w:sz w:val="24"/>
          <w:szCs w:val="24"/>
          <w:lang w:val="es-ES_tradnl"/>
        </w:rPr>
        <w:t>profiri</w:t>
      </w:r>
      <w:r w:rsidR="00BE1F52">
        <w:rPr>
          <w:sz w:val="24"/>
          <w:szCs w:val="24"/>
          <w:lang w:val="es-ES_tradnl"/>
        </w:rPr>
        <w:t>ó</w:t>
      </w:r>
      <w:r w:rsidR="00C56A73">
        <w:rPr>
          <w:sz w:val="24"/>
          <w:szCs w:val="24"/>
          <w:lang w:val="es-ES_tradnl"/>
        </w:rPr>
        <w:t xml:space="preserve"> la </w:t>
      </w:r>
      <w:r w:rsidR="00BE1F52">
        <w:rPr>
          <w:sz w:val="24"/>
          <w:szCs w:val="24"/>
          <w:lang w:val="es-ES_tradnl"/>
        </w:rPr>
        <w:t>providencia</w:t>
      </w:r>
      <w:r w:rsidR="00E028CE">
        <w:rPr>
          <w:sz w:val="24"/>
          <w:szCs w:val="24"/>
          <w:lang w:val="es-ES_tradnl"/>
        </w:rPr>
        <w:t>,</w:t>
      </w:r>
      <w:r w:rsidR="007812A2">
        <w:rPr>
          <w:sz w:val="24"/>
          <w:szCs w:val="24"/>
          <w:lang w:val="es-ES_tradnl"/>
        </w:rPr>
        <w:t xml:space="preserve"> </w:t>
      </w:r>
      <w:r w:rsidR="00C56A73" w:rsidRPr="00766FA2">
        <w:rPr>
          <w:sz w:val="24"/>
          <w:szCs w:val="24"/>
          <w:lang w:val="es-ES_tradnl"/>
        </w:rPr>
        <w:t xml:space="preserve">que, según </w:t>
      </w:r>
      <w:r>
        <w:rPr>
          <w:sz w:val="24"/>
          <w:szCs w:val="24"/>
          <w:lang w:val="es-ES_tradnl"/>
        </w:rPr>
        <w:t>el</w:t>
      </w:r>
      <w:r w:rsidR="00BE1F52">
        <w:rPr>
          <w:sz w:val="24"/>
          <w:szCs w:val="24"/>
          <w:lang w:val="es-ES_tradnl"/>
        </w:rPr>
        <w:t xml:space="preserve"> </w:t>
      </w:r>
      <w:r w:rsidR="00C56A73">
        <w:rPr>
          <w:sz w:val="24"/>
          <w:szCs w:val="24"/>
          <w:lang w:val="es-ES_tradnl"/>
        </w:rPr>
        <w:t>tutelante</w:t>
      </w:r>
      <w:r w:rsidR="00C56A73" w:rsidRPr="00766FA2">
        <w:rPr>
          <w:sz w:val="24"/>
          <w:szCs w:val="24"/>
          <w:lang w:val="es-ES_tradnl"/>
        </w:rPr>
        <w:t>, vulne</w:t>
      </w:r>
      <w:r w:rsidR="00C56A73">
        <w:rPr>
          <w:sz w:val="24"/>
          <w:szCs w:val="24"/>
          <w:lang w:val="es-ES_tradnl"/>
        </w:rPr>
        <w:t>r</w:t>
      </w:r>
      <w:r w:rsidR="00354ABD">
        <w:rPr>
          <w:sz w:val="24"/>
          <w:szCs w:val="24"/>
          <w:lang w:val="es-ES_tradnl"/>
        </w:rPr>
        <w:t>ó</w:t>
      </w:r>
      <w:r w:rsidR="00C56A73" w:rsidRPr="00766FA2">
        <w:rPr>
          <w:sz w:val="24"/>
          <w:szCs w:val="24"/>
          <w:lang w:val="es-ES_tradnl"/>
        </w:rPr>
        <w:t xml:space="preserve"> sus derechos fundamentales. </w:t>
      </w:r>
    </w:p>
    <w:p w:rsidR="00354ABD" w:rsidRDefault="00354ABD" w:rsidP="00354ABD">
      <w:pPr>
        <w:pStyle w:val="paragraph"/>
        <w:spacing w:before="0" w:beforeAutospacing="0" w:after="0" w:afterAutospacing="0"/>
        <w:jc w:val="both"/>
        <w:textAlignment w:val="baseline"/>
        <w:rPr>
          <w:lang w:val="es-ES_tradnl"/>
        </w:rPr>
      </w:pPr>
    </w:p>
    <w:p w:rsidR="009565C3" w:rsidRDefault="00354ABD" w:rsidP="002D4C70">
      <w:pPr>
        <w:tabs>
          <w:tab w:val="left" w:pos="0"/>
        </w:tabs>
        <w:contextualSpacing/>
        <w:rPr>
          <w:rFonts w:eastAsia="Times New Roman"/>
          <w:sz w:val="24"/>
          <w:szCs w:val="24"/>
          <w:lang w:eastAsia="es-CO"/>
        </w:rPr>
      </w:pPr>
      <w:r>
        <w:rPr>
          <w:b/>
          <w:bCs/>
          <w:sz w:val="24"/>
          <w:szCs w:val="24"/>
          <w:lang w:val="es-ES_tradnl"/>
        </w:rPr>
        <w:t xml:space="preserve">2.4. </w:t>
      </w:r>
      <w:r w:rsidR="002D4C70">
        <w:rPr>
          <w:sz w:val="24"/>
          <w:szCs w:val="24"/>
          <w:lang w:val="es-ES_tradnl"/>
        </w:rPr>
        <w:t>E</w:t>
      </w:r>
      <w:r w:rsidR="009565C3">
        <w:rPr>
          <w:rFonts w:eastAsia="Times New Roman"/>
          <w:sz w:val="24"/>
          <w:szCs w:val="24"/>
          <w:lang w:eastAsia="es-CO"/>
        </w:rPr>
        <w:t xml:space="preserve">l </w:t>
      </w:r>
      <w:r w:rsidR="009565C3" w:rsidRPr="00D44ACA">
        <w:rPr>
          <w:rFonts w:eastAsia="Times New Roman"/>
          <w:sz w:val="24"/>
          <w:szCs w:val="24"/>
          <w:lang w:eastAsia="es-CO"/>
        </w:rPr>
        <w:t>cargo que se formule contra una decisión judicial tendrá </w:t>
      </w:r>
      <w:r w:rsidR="009565C3" w:rsidRPr="00D44ACA">
        <w:rPr>
          <w:rFonts w:eastAsia="Times New Roman"/>
          <w:b/>
          <w:bCs/>
          <w:sz w:val="24"/>
          <w:szCs w:val="24"/>
          <w:lang w:eastAsia="es-CO"/>
        </w:rPr>
        <w:t>relevancia constitucional</w:t>
      </w:r>
      <w:r w:rsidR="009565C3" w:rsidRPr="00D44ACA">
        <w:rPr>
          <w:rFonts w:eastAsia="Times New Roman"/>
          <w:sz w:val="24"/>
          <w:szCs w:val="24"/>
          <w:lang w:eastAsia="es-CO"/>
        </w:rPr>
        <w:t> si presenta un problema constitucional y no se limita a revivir una controversia estricta y exclusivamente legal</w:t>
      </w:r>
      <w:r w:rsidR="009565C3">
        <w:rPr>
          <w:rStyle w:val="Refdenotaalpie"/>
          <w:rFonts w:eastAsia="Times New Roman"/>
          <w:sz w:val="24"/>
          <w:szCs w:val="24"/>
          <w:lang w:eastAsia="es-CO"/>
        </w:rPr>
        <w:footnoteReference w:id="18"/>
      </w:r>
      <w:r w:rsidR="009565C3" w:rsidRPr="00D44ACA">
        <w:rPr>
          <w:rFonts w:eastAsia="Times New Roman"/>
          <w:sz w:val="24"/>
          <w:szCs w:val="24"/>
          <w:lang w:eastAsia="es-CO"/>
        </w:rPr>
        <w:t>. De ese modo, en sede constitucional se ponderará entre la finalidad de la acción de tutela como garantía </w:t>
      </w:r>
      <w:proofErr w:type="spellStart"/>
      <w:r w:rsidR="009565C3" w:rsidRPr="00D44ACA">
        <w:rPr>
          <w:rFonts w:eastAsia="Times New Roman"/>
          <w:i/>
          <w:iCs/>
          <w:sz w:val="24"/>
          <w:szCs w:val="24"/>
          <w:lang w:eastAsia="es-CO"/>
        </w:rPr>
        <w:t>iusfundamental</w:t>
      </w:r>
      <w:proofErr w:type="spellEnd"/>
      <w:r w:rsidR="009565C3" w:rsidRPr="00D44ACA">
        <w:rPr>
          <w:rFonts w:eastAsia="Times New Roman"/>
          <w:sz w:val="24"/>
          <w:szCs w:val="24"/>
          <w:lang w:eastAsia="es-CO"/>
        </w:rPr>
        <w:t> y los principios de cosa juzgada y seguridad jurídica que gobiernan las decisiones judiciales</w:t>
      </w:r>
      <w:r w:rsidR="009565C3">
        <w:rPr>
          <w:rStyle w:val="Refdenotaalpie"/>
          <w:rFonts w:eastAsia="Times New Roman"/>
          <w:sz w:val="24"/>
          <w:szCs w:val="24"/>
          <w:lang w:eastAsia="es-CO"/>
        </w:rPr>
        <w:footnoteReference w:id="19"/>
      </w:r>
      <w:r w:rsidR="009565C3" w:rsidRPr="00D44ACA">
        <w:rPr>
          <w:rFonts w:eastAsia="Times New Roman"/>
          <w:sz w:val="24"/>
          <w:szCs w:val="24"/>
          <w:lang w:eastAsia="es-CO"/>
        </w:rPr>
        <w:t xml:space="preserve">. Así las cosas, el juez de tutela debe resolver asuntos de </w:t>
      </w:r>
      <w:r w:rsidR="009565C3" w:rsidRPr="00D44ACA">
        <w:rPr>
          <w:rFonts w:eastAsia="Times New Roman"/>
          <w:sz w:val="24"/>
          <w:szCs w:val="24"/>
          <w:lang w:eastAsia="es-CO"/>
        </w:rPr>
        <w:lastRenderedPageBreak/>
        <w:t>dimensión constitucional, con respeto de las competencias legales y del principio de autonomía de los jueces</w:t>
      </w:r>
      <w:r w:rsidR="009565C3">
        <w:rPr>
          <w:rStyle w:val="Refdenotaalpie"/>
          <w:rFonts w:eastAsia="Times New Roman"/>
          <w:sz w:val="24"/>
          <w:szCs w:val="24"/>
          <w:lang w:eastAsia="es-CO"/>
        </w:rPr>
        <w:footnoteReference w:id="20"/>
      </w:r>
      <w:r w:rsidR="009565C3" w:rsidRPr="00D44ACA">
        <w:rPr>
          <w:rFonts w:eastAsia="Times New Roman"/>
          <w:sz w:val="24"/>
          <w:szCs w:val="24"/>
          <w:lang w:eastAsia="es-CO"/>
        </w:rPr>
        <w:t>. </w:t>
      </w:r>
    </w:p>
    <w:p w:rsidR="002D4C70" w:rsidRPr="00D44ACA" w:rsidRDefault="002D4C70" w:rsidP="002D4C70">
      <w:pPr>
        <w:tabs>
          <w:tab w:val="left" w:pos="0"/>
        </w:tabs>
        <w:contextualSpacing/>
        <w:rPr>
          <w:rFonts w:eastAsia="Times New Roman"/>
          <w:sz w:val="24"/>
          <w:szCs w:val="24"/>
          <w:lang w:eastAsia="es-CO"/>
        </w:rPr>
      </w:pPr>
    </w:p>
    <w:p w:rsidR="009565C3" w:rsidRPr="00D44ACA" w:rsidRDefault="009565C3" w:rsidP="009565C3">
      <w:pPr>
        <w:spacing w:after="240"/>
        <w:textAlignment w:val="baseline"/>
        <w:rPr>
          <w:rFonts w:eastAsia="Times New Roman"/>
          <w:sz w:val="24"/>
          <w:szCs w:val="24"/>
          <w:lang w:eastAsia="es-CO"/>
        </w:rPr>
      </w:pPr>
      <w:r w:rsidRPr="00D44ACA">
        <w:rPr>
          <w:rFonts w:eastAsia="Times New Roman"/>
          <w:sz w:val="24"/>
          <w:szCs w:val="24"/>
          <w:lang w:eastAsia="es-CO"/>
        </w:rPr>
        <w:t>En suma, el requisito de relevancia constitucional persigue tres fines: (i) preservar la competencia y la independencia de los falladores ordinarios y, así, evitar que la acción de tutela se utilice para discutir asuntos de mera legalidad</w:t>
      </w:r>
      <w:r>
        <w:rPr>
          <w:rStyle w:val="Refdenotaalpie"/>
          <w:rFonts w:eastAsia="Times New Roman"/>
          <w:sz w:val="24"/>
          <w:szCs w:val="24"/>
          <w:lang w:eastAsia="es-CO"/>
        </w:rPr>
        <w:footnoteReference w:id="21"/>
      </w:r>
      <w:r w:rsidRPr="00D44ACA">
        <w:rPr>
          <w:rFonts w:eastAsia="Times New Roman"/>
          <w:sz w:val="24"/>
          <w:szCs w:val="24"/>
          <w:lang w:eastAsia="es-CO"/>
        </w:rPr>
        <w:t>; (</w:t>
      </w:r>
      <w:proofErr w:type="spellStart"/>
      <w:r w:rsidRPr="00D44ACA">
        <w:rPr>
          <w:rFonts w:eastAsia="Times New Roman"/>
          <w:sz w:val="24"/>
          <w:szCs w:val="24"/>
          <w:lang w:eastAsia="es-CO"/>
        </w:rPr>
        <w:t>ii</w:t>
      </w:r>
      <w:proofErr w:type="spellEnd"/>
      <w:r w:rsidRPr="00D44ACA">
        <w:rPr>
          <w:rFonts w:eastAsia="Times New Roman"/>
          <w:sz w:val="24"/>
          <w:szCs w:val="24"/>
          <w:lang w:eastAsia="es-CO"/>
        </w:rPr>
        <w:t>) restringir el ejercicio del amparo a cuestiones que afecten los derechos fundamentales de las personas, e (</w:t>
      </w:r>
      <w:proofErr w:type="spellStart"/>
      <w:r w:rsidRPr="00D44ACA">
        <w:rPr>
          <w:rFonts w:eastAsia="Times New Roman"/>
          <w:sz w:val="24"/>
          <w:szCs w:val="24"/>
          <w:lang w:eastAsia="es-CO"/>
        </w:rPr>
        <w:t>iii</w:t>
      </w:r>
      <w:proofErr w:type="spellEnd"/>
      <w:r w:rsidRPr="00D44ACA">
        <w:rPr>
          <w:rFonts w:eastAsia="Times New Roman"/>
          <w:sz w:val="24"/>
          <w:szCs w:val="24"/>
          <w:lang w:eastAsia="es-CO"/>
        </w:rPr>
        <w:t>) impedir que la tutela se convierta en una instancia o recurso adicional para controvertir las decisiones judiciales</w:t>
      </w:r>
      <w:r>
        <w:rPr>
          <w:rStyle w:val="Refdenotaalpie"/>
          <w:rFonts w:eastAsia="Times New Roman"/>
          <w:sz w:val="24"/>
          <w:szCs w:val="24"/>
          <w:lang w:eastAsia="es-CO"/>
        </w:rPr>
        <w:footnoteReference w:id="22"/>
      </w:r>
      <w:r w:rsidRPr="00D44ACA">
        <w:rPr>
          <w:rFonts w:eastAsia="Times New Roman"/>
          <w:sz w:val="24"/>
          <w:szCs w:val="24"/>
          <w:lang w:eastAsia="es-CO"/>
        </w:rPr>
        <w:t>. </w:t>
      </w:r>
    </w:p>
    <w:p w:rsidR="009565C3" w:rsidRPr="00D44ACA" w:rsidRDefault="009565C3" w:rsidP="009565C3">
      <w:pPr>
        <w:spacing w:after="240"/>
        <w:textAlignment w:val="baseline"/>
        <w:rPr>
          <w:rFonts w:eastAsia="Times New Roman"/>
          <w:sz w:val="24"/>
          <w:szCs w:val="24"/>
          <w:lang w:eastAsia="es-CO"/>
        </w:rPr>
      </w:pPr>
      <w:r w:rsidRPr="00D44ACA">
        <w:rPr>
          <w:rFonts w:eastAsia="Times New Roman"/>
          <w:sz w:val="24"/>
          <w:szCs w:val="24"/>
          <w:lang w:eastAsia="es-CO"/>
        </w:rPr>
        <w:t xml:space="preserve">Definir lo que es o no relevante en el plano constitucional depende de verificar que, a primera vista, el </w:t>
      </w:r>
      <w:r w:rsidR="00660750">
        <w:rPr>
          <w:rFonts w:eastAsia="Times New Roman"/>
          <w:sz w:val="24"/>
          <w:szCs w:val="24"/>
          <w:lang w:eastAsia="es-CO"/>
        </w:rPr>
        <w:t>cuestionamiento</w:t>
      </w:r>
      <w:r w:rsidRPr="00D44ACA">
        <w:rPr>
          <w:rFonts w:eastAsia="Times New Roman"/>
          <w:sz w:val="24"/>
          <w:szCs w:val="24"/>
          <w:lang w:eastAsia="es-CO"/>
        </w:rPr>
        <w:t xml:space="preserve"> esté dirigido contra una posible afectación o vulneración de las garantías constitucionales relacionadas con el núcleo de los derechos fundamentales. En especial, debe hacerse énfasis en el derecho al debido proceso constitucional</w:t>
      </w:r>
      <w:r>
        <w:rPr>
          <w:rStyle w:val="Refdenotaalpie"/>
          <w:rFonts w:eastAsia="Times New Roman"/>
          <w:sz w:val="24"/>
          <w:szCs w:val="24"/>
          <w:lang w:eastAsia="es-CO"/>
        </w:rPr>
        <w:footnoteReference w:id="23"/>
      </w:r>
      <w:r w:rsidRPr="00D44ACA">
        <w:rPr>
          <w:rFonts w:eastAsia="Times New Roman"/>
          <w:sz w:val="24"/>
          <w:szCs w:val="24"/>
          <w:lang w:eastAsia="es-CO"/>
        </w:rPr>
        <w:t>. Para ello, la jurisprudencia constitucional</w:t>
      </w:r>
      <w:r>
        <w:rPr>
          <w:rStyle w:val="Refdenotaalpie"/>
          <w:rFonts w:eastAsia="Times New Roman"/>
          <w:sz w:val="24"/>
          <w:szCs w:val="24"/>
          <w:lang w:eastAsia="es-CO"/>
        </w:rPr>
        <w:footnoteReference w:id="24"/>
      </w:r>
      <w:r w:rsidRPr="00D44ACA">
        <w:rPr>
          <w:rFonts w:eastAsia="Times New Roman"/>
          <w:sz w:val="24"/>
          <w:szCs w:val="24"/>
          <w:lang w:eastAsia="es-CO"/>
        </w:rPr>
        <w:t xml:space="preserve"> ha definido cuáles son los requisitos específicos de procedencia que pueden ser </w:t>
      </w:r>
      <w:r w:rsidR="0046466C">
        <w:rPr>
          <w:rFonts w:eastAsia="Times New Roman"/>
          <w:sz w:val="24"/>
          <w:szCs w:val="24"/>
          <w:lang w:eastAsia="es-CO"/>
        </w:rPr>
        <w:t>invocados</w:t>
      </w:r>
      <w:r w:rsidRPr="00D44ACA">
        <w:rPr>
          <w:rFonts w:eastAsia="Times New Roman"/>
          <w:sz w:val="24"/>
          <w:szCs w:val="24"/>
          <w:lang w:eastAsia="es-CO"/>
        </w:rPr>
        <w:t xml:space="preserve"> como únicas causales que habilitan el control constitucional concreto. </w:t>
      </w:r>
    </w:p>
    <w:p w:rsidR="009565C3" w:rsidRPr="00D44ACA" w:rsidRDefault="009565C3" w:rsidP="009565C3">
      <w:pPr>
        <w:spacing w:after="240"/>
        <w:textAlignment w:val="baseline"/>
        <w:rPr>
          <w:rFonts w:eastAsia="Times New Roman"/>
          <w:sz w:val="24"/>
          <w:szCs w:val="24"/>
          <w:lang w:eastAsia="es-CO"/>
        </w:rPr>
      </w:pPr>
      <w:r w:rsidRPr="00D44ACA">
        <w:rPr>
          <w:rFonts w:eastAsia="Times New Roman"/>
          <w:sz w:val="24"/>
          <w:szCs w:val="24"/>
          <w:lang w:eastAsia="es-CO"/>
        </w:rPr>
        <w:t xml:space="preserve">El requisito de relevancia constitucional, por tanto, exige que </w:t>
      </w:r>
      <w:r w:rsidR="0046466C">
        <w:rPr>
          <w:rFonts w:eastAsia="Times New Roman"/>
          <w:sz w:val="24"/>
          <w:szCs w:val="24"/>
          <w:lang w:eastAsia="es-CO"/>
        </w:rPr>
        <w:t>el cuestionamiento</w:t>
      </w:r>
      <w:r w:rsidRPr="00D44ACA">
        <w:rPr>
          <w:rFonts w:eastAsia="Times New Roman"/>
          <w:sz w:val="24"/>
          <w:szCs w:val="24"/>
          <w:lang w:eastAsia="es-CO"/>
        </w:rPr>
        <w:t xml:space="preserve"> en la solicitud de amparo esté dirigid</w:t>
      </w:r>
      <w:r w:rsidR="0046466C">
        <w:rPr>
          <w:rFonts w:eastAsia="Times New Roman"/>
          <w:sz w:val="24"/>
          <w:szCs w:val="24"/>
          <w:lang w:eastAsia="es-CO"/>
        </w:rPr>
        <w:t>o</w:t>
      </w:r>
      <w:r w:rsidRPr="00D44ACA">
        <w:rPr>
          <w:rFonts w:eastAsia="Times New Roman"/>
          <w:sz w:val="24"/>
          <w:szCs w:val="24"/>
          <w:lang w:eastAsia="es-CO"/>
        </w:rPr>
        <w:t xml:space="preserve"> a exponer una valoración en sentido negativo de la actuación jurisdiccional en clave de los defectos, como han sido definidos por la jurisprudencia. Así, son improcedentes los argumentos destinados a proponer fórmulas que habrían podido ser tenidas en cuenta en el proceso ordinario, o reiterar las ya expuestas en este. En efecto, como lo ha establecido la Corte Constitucional, “la función del juez de tutela no es la de fungir como una instancia adicional del procedimiento judicial que se cuestiona</w:t>
      </w:r>
      <w:r>
        <w:rPr>
          <w:rStyle w:val="Refdenotaalpie"/>
          <w:rFonts w:eastAsia="Times New Roman"/>
          <w:sz w:val="24"/>
          <w:szCs w:val="24"/>
          <w:lang w:eastAsia="es-CO"/>
        </w:rPr>
        <w:footnoteReference w:id="25"/>
      </w:r>
      <w:r w:rsidRPr="00D44ACA">
        <w:rPr>
          <w:rFonts w:eastAsia="Times New Roman"/>
          <w:sz w:val="24"/>
          <w:szCs w:val="24"/>
          <w:lang w:eastAsia="es-CO"/>
        </w:rPr>
        <w:t>, pues ello desconocería la competencia y finalidad de administración de justicia por parte de los jueces naturales, así como su autonomía funcional”</w:t>
      </w:r>
      <w:r>
        <w:rPr>
          <w:rStyle w:val="Refdenotaalpie"/>
          <w:rFonts w:eastAsia="Times New Roman"/>
          <w:sz w:val="24"/>
          <w:szCs w:val="24"/>
          <w:lang w:eastAsia="es-CO"/>
        </w:rPr>
        <w:footnoteReference w:id="26"/>
      </w:r>
      <w:r w:rsidRPr="00D44ACA">
        <w:rPr>
          <w:rFonts w:eastAsia="Times New Roman"/>
          <w:sz w:val="24"/>
          <w:szCs w:val="24"/>
          <w:lang w:eastAsia="es-CO"/>
        </w:rPr>
        <w:t>. </w:t>
      </w:r>
    </w:p>
    <w:p w:rsidR="002D4C70" w:rsidRDefault="009565C3" w:rsidP="002D4C70">
      <w:pPr>
        <w:tabs>
          <w:tab w:val="left" w:pos="0"/>
        </w:tabs>
        <w:contextualSpacing/>
        <w:rPr>
          <w:color w:val="000000"/>
          <w:sz w:val="24"/>
          <w:szCs w:val="24"/>
        </w:rPr>
      </w:pPr>
      <w:r>
        <w:rPr>
          <w:sz w:val="24"/>
          <w:szCs w:val="24"/>
          <w:lang w:val="es-MX"/>
        </w:rPr>
        <w:t>2.</w:t>
      </w:r>
      <w:r w:rsidR="00DE1F2C">
        <w:rPr>
          <w:sz w:val="24"/>
          <w:szCs w:val="24"/>
          <w:lang w:val="es-MX"/>
        </w:rPr>
        <w:t>4</w:t>
      </w:r>
      <w:r>
        <w:rPr>
          <w:sz w:val="24"/>
          <w:szCs w:val="24"/>
          <w:lang w:val="es-MX"/>
        </w:rPr>
        <w:t>.</w:t>
      </w:r>
      <w:r w:rsidR="0081338F">
        <w:rPr>
          <w:sz w:val="24"/>
          <w:szCs w:val="24"/>
          <w:lang w:val="es-MX"/>
        </w:rPr>
        <w:t>1</w:t>
      </w:r>
      <w:r>
        <w:rPr>
          <w:sz w:val="24"/>
          <w:szCs w:val="24"/>
          <w:lang w:val="es-MX"/>
        </w:rPr>
        <w:t xml:space="preserve">. </w:t>
      </w:r>
      <w:r w:rsidR="00DE1F2C">
        <w:rPr>
          <w:sz w:val="24"/>
          <w:szCs w:val="24"/>
          <w:lang w:val="es-MX"/>
        </w:rPr>
        <w:t>Ahora bien, el accionante</w:t>
      </w:r>
      <w:r w:rsidR="002946EE">
        <w:rPr>
          <w:sz w:val="24"/>
          <w:szCs w:val="24"/>
          <w:lang w:val="es-MX"/>
        </w:rPr>
        <w:t xml:space="preserve"> explicó</w:t>
      </w:r>
      <w:r w:rsidR="00DE1F2C">
        <w:rPr>
          <w:sz w:val="24"/>
          <w:szCs w:val="24"/>
          <w:lang w:val="es-MX"/>
        </w:rPr>
        <w:t xml:space="preserve"> </w:t>
      </w:r>
      <w:r w:rsidR="002946EE" w:rsidRPr="008D6AC2">
        <w:rPr>
          <w:rFonts w:eastAsia="Arial Unicode MS"/>
          <w:sz w:val="24"/>
          <w:szCs w:val="24"/>
          <w:lang w:val="es-ES" w:eastAsia="es-ES"/>
        </w:rPr>
        <w:t xml:space="preserve">los argumentos por los cuales consideró que </w:t>
      </w:r>
      <w:r w:rsidR="002946EE">
        <w:rPr>
          <w:rFonts w:eastAsia="Arial Unicode MS"/>
          <w:sz w:val="24"/>
          <w:szCs w:val="24"/>
          <w:lang w:val="es-ES" w:eastAsia="es-ES"/>
        </w:rPr>
        <w:t>la Subsección B de la Sección Segunda del Consejo de Estado</w:t>
      </w:r>
      <w:r w:rsidR="002946EE" w:rsidRPr="008D6AC2">
        <w:rPr>
          <w:rFonts w:eastAsia="Arial Unicode MS"/>
          <w:sz w:val="24"/>
          <w:szCs w:val="24"/>
          <w:lang w:val="es-ES" w:eastAsia="es-ES"/>
        </w:rPr>
        <w:t xml:space="preserve"> vulneró sus derechos fundamentales, </w:t>
      </w:r>
      <w:r w:rsidR="002946EE">
        <w:rPr>
          <w:rFonts w:eastAsia="Arial Unicode MS"/>
          <w:sz w:val="24"/>
          <w:szCs w:val="24"/>
          <w:lang w:val="es-ES" w:eastAsia="es-ES"/>
        </w:rPr>
        <w:t xml:space="preserve">pues, como quedó expuesto </w:t>
      </w:r>
      <w:r w:rsidR="002946EE" w:rsidRPr="008D6AC2">
        <w:rPr>
          <w:rFonts w:eastAsia="Arial Unicode MS"/>
          <w:sz w:val="24"/>
          <w:szCs w:val="24"/>
          <w:lang w:val="es-ES" w:eastAsia="es-ES"/>
        </w:rPr>
        <w:t>en el numeral 1.4 de esta providencia, dicha autoridad,</w:t>
      </w:r>
      <w:r w:rsidR="002946EE">
        <w:rPr>
          <w:rFonts w:eastAsia="Arial Unicode MS"/>
          <w:sz w:val="24"/>
          <w:szCs w:val="24"/>
          <w:lang w:val="es-ES" w:eastAsia="es-ES"/>
        </w:rPr>
        <w:t xml:space="preserve"> </w:t>
      </w:r>
      <w:r w:rsidR="002946EE" w:rsidRPr="008D6AC2">
        <w:rPr>
          <w:rFonts w:eastAsia="Arial Unicode MS"/>
          <w:sz w:val="24"/>
          <w:szCs w:val="24"/>
          <w:lang w:val="es-ES" w:eastAsia="es-ES"/>
        </w:rPr>
        <w:t>incurrió en:</w:t>
      </w:r>
      <w:r w:rsidR="002946EE">
        <w:rPr>
          <w:rFonts w:eastAsia="Arial Unicode MS"/>
          <w:sz w:val="24"/>
          <w:szCs w:val="24"/>
          <w:lang w:val="es-ES" w:eastAsia="es-ES"/>
        </w:rPr>
        <w:t xml:space="preserve"> </w:t>
      </w:r>
      <w:r w:rsidR="002946EE" w:rsidRPr="002946EE">
        <w:rPr>
          <w:rFonts w:eastAsia="Arial Unicode MS"/>
          <w:b/>
          <w:bCs/>
          <w:sz w:val="24"/>
          <w:szCs w:val="24"/>
          <w:lang w:val="es-ES" w:eastAsia="es-ES"/>
        </w:rPr>
        <w:t>i)</w:t>
      </w:r>
      <w:r w:rsidR="002946EE">
        <w:rPr>
          <w:rFonts w:eastAsia="Arial Unicode MS"/>
          <w:sz w:val="24"/>
          <w:szCs w:val="24"/>
          <w:lang w:val="es-ES" w:eastAsia="es-ES"/>
        </w:rPr>
        <w:t xml:space="preserve"> </w:t>
      </w:r>
      <w:r w:rsidR="002D4C70">
        <w:rPr>
          <w:rFonts w:eastAsia="Arial Unicode MS"/>
          <w:b/>
          <w:bCs/>
          <w:sz w:val="24"/>
          <w:szCs w:val="24"/>
          <w:lang w:val="es-ES_tradnl" w:eastAsia="es-ES"/>
        </w:rPr>
        <w:t xml:space="preserve">defecto </w:t>
      </w:r>
      <w:r w:rsidR="0012410F">
        <w:rPr>
          <w:rFonts w:eastAsia="Arial Unicode MS"/>
          <w:b/>
          <w:bCs/>
          <w:sz w:val="24"/>
          <w:szCs w:val="24"/>
          <w:lang w:val="es-ES_tradnl" w:eastAsia="es-ES"/>
        </w:rPr>
        <w:t>fáctico</w:t>
      </w:r>
      <w:r w:rsidR="00660750">
        <w:rPr>
          <w:rFonts w:eastAsia="Arial Unicode MS"/>
          <w:b/>
          <w:bCs/>
          <w:sz w:val="24"/>
          <w:szCs w:val="24"/>
          <w:lang w:val="es-ES_tradnl" w:eastAsia="es-ES"/>
        </w:rPr>
        <w:t xml:space="preserve"> </w:t>
      </w:r>
      <w:r w:rsidR="00660750">
        <w:rPr>
          <w:rFonts w:eastAsia="Arial Unicode MS"/>
          <w:sz w:val="24"/>
          <w:szCs w:val="24"/>
          <w:lang w:val="es-ES_tradnl" w:eastAsia="es-ES"/>
        </w:rPr>
        <w:t xml:space="preserve">porque </w:t>
      </w:r>
      <w:r w:rsidR="0012410F">
        <w:rPr>
          <w:rFonts w:eastAsia="Arial Unicode MS"/>
          <w:sz w:val="24"/>
          <w:szCs w:val="24"/>
          <w:lang w:val="es-ES_tradnl" w:eastAsia="es-ES"/>
        </w:rPr>
        <w:t xml:space="preserve">valoró indebidamente </w:t>
      </w:r>
      <w:r w:rsidR="0012410F">
        <w:rPr>
          <w:rFonts w:eastAsia="Verdana"/>
          <w:bCs/>
          <w:sz w:val="24"/>
          <w:szCs w:val="24"/>
        </w:rPr>
        <w:t xml:space="preserve">el </w:t>
      </w:r>
      <w:r w:rsidR="00AE6E5F">
        <w:rPr>
          <w:rFonts w:eastAsia="Verdana"/>
          <w:bCs/>
          <w:sz w:val="24"/>
          <w:szCs w:val="24"/>
        </w:rPr>
        <w:t xml:space="preserve">contenido de los </w:t>
      </w:r>
      <w:r w:rsidR="0012410F">
        <w:rPr>
          <w:rFonts w:eastAsia="Verdana"/>
          <w:bCs/>
          <w:sz w:val="24"/>
          <w:szCs w:val="24"/>
        </w:rPr>
        <w:t>Decreto</w:t>
      </w:r>
      <w:r w:rsidR="00AE6E5F">
        <w:rPr>
          <w:rFonts w:eastAsia="Verdana"/>
          <w:bCs/>
          <w:sz w:val="24"/>
          <w:szCs w:val="24"/>
        </w:rPr>
        <w:t>s</w:t>
      </w:r>
      <w:r w:rsidR="0012410F">
        <w:rPr>
          <w:rFonts w:eastAsia="Verdana"/>
          <w:bCs/>
          <w:sz w:val="24"/>
          <w:szCs w:val="24"/>
        </w:rPr>
        <w:t xml:space="preserve"> 024 del 16 de abril de 1980, 050 del 3 de junio de 1980, 051 del 22 de julio de 1981 y 069 del 11 de noviembre de 1992 y en consecuencia concluyó erradamente que al ser suscritos por un representante del Ministerio de Educación Nacional acreditaban su nombramiento como maestro de carácter nacional</w:t>
      </w:r>
      <w:r w:rsidR="002946EE">
        <w:rPr>
          <w:rFonts w:eastAsia="Verdana"/>
          <w:bCs/>
          <w:sz w:val="24"/>
          <w:szCs w:val="24"/>
        </w:rPr>
        <w:t xml:space="preserve">, </w:t>
      </w:r>
      <w:proofErr w:type="spellStart"/>
      <w:r w:rsidR="002946EE">
        <w:rPr>
          <w:rFonts w:eastAsia="Verdana"/>
          <w:b/>
          <w:sz w:val="24"/>
          <w:szCs w:val="24"/>
        </w:rPr>
        <w:t>ii</w:t>
      </w:r>
      <w:proofErr w:type="spellEnd"/>
      <w:r w:rsidR="002946EE">
        <w:rPr>
          <w:rFonts w:eastAsia="Verdana"/>
          <w:b/>
          <w:sz w:val="24"/>
          <w:szCs w:val="24"/>
        </w:rPr>
        <w:t xml:space="preserve">) </w:t>
      </w:r>
      <w:r w:rsidR="00C12573" w:rsidRPr="006162A7">
        <w:rPr>
          <w:rFonts w:eastAsia="Arial Unicode MS"/>
          <w:b/>
          <w:bCs/>
          <w:sz w:val="24"/>
          <w:szCs w:val="24"/>
          <w:lang w:val="es-ES_tradnl" w:eastAsia="es-ES"/>
        </w:rPr>
        <w:t xml:space="preserve">defecto </w:t>
      </w:r>
      <w:r w:rsidR="00C12573">
        <w:rPr>
          <w:rFonts w:eastAsia="Arial Unicode MS"/>
          <w:b/>
          <w:bCs/>
          <w:sz w:val="24"/>
          <w:szCs w:val="24"/>
          <w:lang w:val="es-ES_tradnl" w:eastAsia="es-ES"/>
        </w:rPr>
        <w:t xml:space="preserve">sustantivo </w:t>
      </w:r>
      <w:r w:rsidR="00C12573">
        <w:rPr>
          <w:rFonts w:eastAsia="Arial Unicode MS"/>
          <w:sz w:val="24"/>
          <w:szCs w:val="24"/>
          <w:lang w:val="es-ES_tradnl" w:eastAsia="es-ES"/>
        </w:rPr>
        <w:t xml:space="preserve"> porque interpretó erróneamente el artículo 15, numeral segundo, letra b </w:t>
      </w:r>
      <w:r w:rsidR="00C12573">
        <w:rPr>
          <w:rFonts w:eastAsia="Arial Unicode MS"/>
          <w:sz w:val="24"/>
          <w:szCs w:val="24"/>
          <w:lang w:val="es-ES_tradnl" w:eastAsia="es-ES"/>
        </w:rPr>
        <w:lastRenderedPageBreak/>
        <w:t xml:space="preserve">de la Ley 91 de 1989 al acoger requisitos adicionales para conceder la pensión de gracia y porque no tuvo en cuenta que de conformidad con los artículos 29 del Decreto 3157 de 1968 y 60 de la Ley 24 de 1988, los Fondos Educativos Regionales estaban conformados por recursos provenientes del Situado Fiscal y de las entidades territoriales </w:t>
      </w:r>
      <w:r w:rsidR="0059449D">
        <w:rPr>
          <w:rFonts w:eastAsia="Arial Unicode MS"/>
          <w:sz w:val="24"/>
          <w:szCs w:val="24"/>
          <w:lang w:val="es-ES_tradnl" w:eastAsia="es-ES"/>
        </w:rPr>
        <w:t>y en ese orden</w:t>
      </w:r>
      <w:r w:rsidR="00C12573">
        <w:rPr>
          <w:rFonts w:eastAsia="Arial Unicode MS"/>
          <w:sz w:val="24"/>
          <w:szCs w:val="24"/>
          <w:lang w:val="es-ES_tradnl" w:eastAsia="es-ES"/>
        </w:rPr>
        <w:t xml:space="preserve">, los docentes nacionalizados no podían considerarse nacionales;  </w:t>
      </w:r>
      <w:proofErr w:type="spellStart"/>
      <w:r w:rsidR="00C12573">
        <w:rPr>
          <w:rFonts w:eastAsia="Arial Unicode MS"/>
          <w:b/>
          <w:bCs/>
          <w:sz w:val="24"/>
          <w:szCs w:val="24"/>
          <w:lang w:val="es-ES_tradnl" w:eastAsia="es-ES"/>
        </w:rPr>
        <w:t>iii</w:t>
      </w:r>
      <w:proofErr w:type="spellEnd"/>
      <w:r w:rsidR="00C12573">
        <w:rPr>
          <w:rFonts w:eastAsia="Arial Unicode MS"/>
          <w:b/>
          <w:bCs/>
          <w:sz w:val="24"/>
          <w:szCs w:val="24"/>
          <w:lang w:val="es-ES_tradnl" w:eastAsia="es-ES"/>
        </w:rPr>
        <w:t>)</w:t>
      </w:r>
      <w:r w:rsidR="002D4C70">
        <w:rPr>
          <w:b/>
          <w:bCs/>
          <w:color w:val="000000"/>
          <w:sz w:val="24"/>
          <w:szCs w:val="24"/>
        </w:rPr>
        <w:t xml:space="preserve"> desconocimiento del precedente</w:t>
      </w:r>
      <w:r w:rsidR="00C12573">
        <w:rPr>
          <w:b/>
          <w:bCs/>
          <w:color w:val="000000"/>
          <w:sz w:val="24"/>
          <w:szCs w:val="24"/>
        </w:rPr>
        <w:t xml:space="preserve"> judicial y constitucional </w:t>
      </w:r>
      <w:r w:rsidR="00C12573">
        <w:rPr>
          <w:color w:val="000000"/>
          <w:sz w:val="24"/>
          <w:szCs w:val="24"/>
        </w:rPr>
        <w:t xml:space="preserve">porque </w:t>
      </w:r>
      <w:r w:rsidR="00A4252A">
        <w:rPr>
          <w:color w:val="000000"/>
          <w:sz w:val="24"/>
          <w:szCs w:val="24"/>
        </w:rPr>
        <w:t xml:space="preserve">inobservó </w:t>
      </w:r>
      <w:r w:rsidR="0059449D">
        <w:rPr>
          <w:color w:val="000000"/>
          <w:sz w:val="24"/>
          <w:szCs w:val="24"/>
        </w:rPr>
        <w:t xml:space="preserve">la sentencia SU-014 de 2020 proferida por la Corte Constitucional y </w:t>
      </w:r>
      <w:r w:rsidR="00A4252A">
        <w:rPr>
          <w:color w:val="000000"/>
          <w:sz w:val="24"/>
          <w:szCs w:val="24"/>
        </w:rPr>
        <w:t>la</w:t>
      </w:r>
      <w:r w:rsidR="00660750">
        <w:rPr>
          <w:color w:val="000000"/>
          <w:sz w:val="24"/>
          <w:szCs w:val="24"/>
        </w:rPr>
        <w:t>s</w:t>
      </w:r>
      <w:r w:rsidR="00A4252A">
        <w:rPr>
          <w:color w:val="000000"/>
          <w:sz w:val="24"/>
          <w:szCs w:val="24"/>
        </w:rPr>
        <w:t xml:space="preserve"> del 26 de agosto de 1977</w:t>
      </w:r>
      <w:r w:rsidR="005F73B2">
        <w:rPr>
          <w:color w:val="000000"/>
          <w:sz w:val="24"/>
          <w:szCs w:val="24"/>
        </w:rPr>
        <w:t>,</w:t>
      </w:r>
      <w:r w:rsidR="00660750">
        <w:rPr>
          <w:color w:val="000000"/>
          <w:sz w:val="24"/>
          <w:szCs w:val="24"/>
        </w:rPr>
        <w:t xml:space="preserve"> del 21 de junio de 2018</w:t>
      </w:r>
      <w:r w:rsidR="005F73B2">
        <w:rPr>
          <w:color w:val="000000"/>
          <w:sz w:val="24"/>
          <w:szCs w:val="24"/>
        </w:rPr>
        <w:t xml:space="preserve"> </w:t>
      </w:r>
      <w:r w:rsidR="00A4252A">
        <w:rPr>
          <w:color w:val="000000"/>
          <w:sz w:val="24"/>
          <w:szCs w:val="24"/>
        </w:rPr>
        <w:t>dictada</w:t>
      </w:r>
      <w:r w:rsidR="00660750">
        <w:rPr>
          <w:color w:val="000000"/>
          <w:sz w:val="24"/>
          <w:szCs w:val="24"/>
        </w:rPr>
        <w:t>s</w:t>
      </w:r>
      <w:r w:rsidR="00A4252A">
        <w:rPr>
          <w:color w:val="000000"/>
          <w:sz w:val="24"/>
          <w:szCs w:val="24"/>
        </w:rPr>
        <w:t xml:space="preserve"> por el Consejo de Estado </w:t>
      </w:r>
      <w:r w:rsidR="005F73B2">
        <w:rPr>
          <w:color w:val="000000"/>
          <w:sz w:val="24"/>
          <w:szCs w:val="24"/>
        </w:rPr>
        <w:t>relacionada</w:t>
      </w:r>
      <w:r w:rsidR="00660750">
        <w:rPr>
          <w:color w:val="000000"/>
          <w:sz w:val="24"/>
          <w:szCs w:val="24"/>
        </w:rPr>
        <w:t>s</w:t>
      </w:r>
      <w:r w:rsidR="005F73B2">
        <w:rPr>
          <w:color w:val="000000"/>
          <w:sz w:val="24"/>
          <w:szCs w:val="24"/>
        </w:rPr>
        <w:t xml:space="preserve"> con el artículo 15 de la Ley 91 de 1989, la garantía de los derechos adquiridos y que la intervención de un representante del Ministerio de Educación Nacional en el acto de vinculación no</w:t>
      </w:r>
      <w:r w:rsidR="00E16EEB">
        <w:rPr>
          <w:color w:val="000000"/>
          <w:sz w:val="24"/>
          <w:szCs w:val="24"/>
        </w:rPr>
        <w:t xml:space="preserve"> cambia la condición de docentes territoriales y/o nacionalizados a nacionales</w:t>
      </w:r>
      <w:r w:rsidR="0059449D">
        <w:rPr>
          <w:color w:val="000000"/>
          <w:sz w:val="24"/>
          <w:szCs w:val="24"/>
        </w:rPr>
        <w:t xml:space="preserve">; </w:t>
      </w:r>
      <w:r w:rsidR="00D275E3">
        <w:rPr>
          <w:color w:val="000000"/>
          <w:sz w:val="24"/>
          <w:szCs w:val="24"/>
        </w:rPr>
        <w:t xml:space="preserve">y </w:t>
      </w:r>
      <w:r w:rsidR="00C12573" w:rsidRPr="00123E58">
        <w:rPr>
          <w:b/>
          <w:bCs/>
          <w:color w:val="000000"/>
          <w:sz w:val="24"/>
          <w:szCs w:val="24"/>
        </w:rPr>
        <w:t>v</w:t>
      </w:r>
      <w:r w:rsidR="00D275E3" w:rsidRPr="00123E58">
        <w:rPr>
          <w:b/>
          <w:bCs/>
          <w:color w:val="000000"/>
          <w:sz w:val="24"/>
          <w:szCs w:val="24"/>
        </w:rPr>
        <w:t>i)</w:t>
      </w:r>
      <w:r w:rsidR="00D275E3">
        <w:rPr>
          <w:color w:val="000000"/>
          <w:sz w:val="24"/>
          <w:szCs w:val="24"/>
        </w:rPr>
        <w:t xml:space="preserve"> </w:t>
      </w:r>
      <w:r w:rsidR="00D275E3" w:rsidRPr="003F3470">
        <w:rPr>
          <w:b/>
          <w:bCs/>
          <w:color w:val="000000"/>
          <w:sz w:val="24"/>
          <w:szCs w:val="24"/>
        </w:rPr>
        <w:t>violación al derecho a la igualdad</w:t>
      </w:r>
      <w:r w:rsidR="00E16EEB">
        <w:rPr>
          <w:color w:val="000000"/>
          <w:sz w:val="24"/>
          <w:szCs w:val="24"/>
        </w:rPr>
        <w:t xml:space="preserve"> porque </w:t>
      </w:r>
      <w:r w:rsidR="00052DB1">
        <w:rPr>
          <w:color w:val="000000"/>
          <w:sz w:val="24"/>
          <w:szCs w:val="24"/>
        </w:rPr>
        <w:t xml:space="preserve">el Tribunal Administrativo de Cundinamarca y el Consejo de Estado han concedido la prestación a docentes que se encuentran en las mismas condiciones de hecho y de derecho, </w:t>
      </w:r>
      <w:r w:rsidR="00827429">
        <w:rPr>
          <w:color w:val="000000"/>
          <w:sz w:val="24"/>
          <w:szCs w:val="24"/>
        </w:rPr>
        <w:t xml:space="preserve">tales como las sentencias del 8 de febrero de 2018 y del 29 de febrero de 2016 dictadas </w:t>
      </w:r>
      <w:r w:rsidR="00052DB1">
        <w:rPr>
          <w:color w:val="000000"/>
          <w:sz w:val="24"/>
          <w:szCs w:val="24"/>
        </w:rPr>
        <w:t>en los expedientes 25000-23-42-000-2013-05759-01 y 25000-23-42-000-2012-01774-01</w:t>
      </w:r>
      <w:r w:rsidR="00827429">
        <w:rPr>
          <w:color w:val="000000"/>
          <w:sz w:val="24"/>
          <w:szCs w:val="24"/>
        </w:rPr>
        <w:t>, respectivamente</w:t>
      </w:r>
      <w:r w:rsidR="00052DB1">
        <w:rPr>
          <w:color w:val="000000"/>
          <w:sz w:val="24"/>
          <w:szCs w:val="24"/>
        </w:rPr>
        <w:t>.</w:t>
      </w:r>
    </w:p>
    <w:p w:rsidR="0081338F" w:rsidRDefault="002946EE" w:rsidP="00C94284">
      <w:pPr>
        <w:widowControl w:val="0"/>
        <w:spacing w:before="240" w:after="240"/>
        <w:rPr>
          <w:sz w:val="24"/>
          <w:szCs w:val="24"/>
        </w:rPr>
      </w:pPr>
      <w:r>
        <w:rPr>
          <w:rFonts w:eastAsia="Times New Roman"/>
          <w:bCs/>
          <w:sz w:val="24"/>
          <w:szCs w:val="24"/>
          <w:lang w:val="es-ES_tradnl" w:eastAsia="es-ES"/>
        </w:rPr>
        <w:t>E</w:t>
      </w:r>
      <w:r w:rsidRPr="00A656D7">
        <w:rPr>
          <w:rFonts w:eastAsia="Times New Roman"/>
          <w:bCs/>
          <w:sz w:val="24"/>
          <w:szCs w:val="24"/>
          <w:lang w:val="es-ES_tradnl" w:eastAsia="es-ES"/>
        </w:rPr>
        <w:t xml:space="preserve">n términos del </w:t>
      </w:r>
      <w:r w:rsidRPr="002946EE">
        <w:rPr>
          <w:rFonts w:eastAsia="Times New Roman"/>
          <w:b/>
          <w:sz w:val="24"/>
          <w:szCs w:val="24"/>
          <w:lang w:val="es-ES_tradnl" w:eastAsia="es-ES"/>
        </w:rPr>
        <w:t>defecto fáctico</w:t>
      </w:r>
      <w:r w:rsidRPr="00A656D7">
        <w:rPr>
          <w:rFonts w:eastAsia="Times New Roman"/>
          <w:bCs/>
          <w:sz w:val="24"/>
          <w:szCs w:val="24"/>
          <w:lang w:val="es-ES_tradnl" w:eastAsia="es-ES"/>
        </w:rPr>
        <w:t xml:space="preserve">, la Corte Constitucional ha indicado que tal exigencia se concreta en la precisa indicación de la dimensión </w:t>
      </w:r>
      <w:r w:rsidRPr="00A656D7">
        <w:rPr>
          <w:rFonts w:eastAsia="Times New Roman"/>
          <w:sz w:val="24"/>
          <w:szCs w:val="24"/>
        </w:rPr>
        <w:t>positiva y/o negativa en que se manifestó el defecto en la providencia. Esto es, referirse (i) a las circunstancias en las que se valoran pruebas vulnerando reglas legales y principios constitucionales; o (</w:t>
      </w:r>
      <w:proofErr w:type="spellStart"/>
      <w:r w:rsidRPr="00A656D7">
        <w:rPr>
          <w:rFonts w:eastAsia="Times New Roman"/>
          <w:sz w:val="24"/>
          <w:szCs w:val="24"/>
        </w:rPr>
        <w:t>ii</w:t>
      </w:r>
      <w:proofErr w:type="spellEnd"/>
      <w:r w:rsidRPr="00A656D7">
        <w:rPr>
          <w:rFonts w:eastAsia="Times New Roman"/>
          <w:sz w:val="24"/>
          <w:szCs w:val="24"/>
        </w:rPr>
        <w:t>) a las omisiones en la valoración probatoria que pueden resultar determinantes para el caso. Dicha omisión debe ser arbitraria, irracional y/o caprichosa</w:t>
      </w:r>
      <w:r w:rsidRPr="00A656D7">
        <w:rPr>
          <w:rFonts w:eastAsia="Times New Roman"/>
          <w:bCs/>
          <w:sz w:val="24"/>
          <w:szCs w:val="24"/>
          <w:lang w:val="es-ES_tradnl" w:eastAsia="es-ES"/>
        </w:rPr>
        <w:t>.</w:t>
      </w:r>
      <w:r w:rsidR="00501438">
        <w:rPr>
          <w:rFonts w:eastAsia="Times New Roman"/>
          <w:bCs/>
          <w:sz w:val="24"/>
          <w:szCs w:val="24"/>
          <w:lang w:val="es-ES_tradnl" w:eastAsia="es-ES"/>
        </w:rPr>
        <w:t xml:space="preserve"> </w:t>
      </w:r>
      <w:r>
        <w:rPr>
          <w:rFonts w:eastAsia="Times New Roman"/>
          <w:bCs/>
          <w:sz w:val="24"/>
          <w:szCs w:val="24"/>
          <w:lang w:val="es-ES_tradnl" w:eastAsia="es-ES"/>
        </w:rPr>
        <w:t>R</w:t>
      </w:r>
      <w:proofErr w:type="spellStart"/>
      <w:r w:rsidR="0081338F">
        <w:rPr>
          <w:rFonts w:eastAsia="Arial Unicode MS"/>
          <w:sz w:val="24"/>
          <w:szCs w:val="24"/>
          <w:lang w:val="es-ES" w:eastAsia="es-ES"/>
        </w:rPr>
        <w:t>especto</w:t>
      </w:r>
      <w:proofErr w:type="spellEnd"/>
      <w:r w:rsidR="0081338F">
        <w:rPr>
          <w:rFonts w:eastAsia="Arial Unicode MS"/>
          <w:sz w:val="24"/>
          <w:szCs w:val="24"/>
          <w:lang w:val="es-ES" w:eastAsia="es-ES"/>
        </w:rPr>
        <w:t xml:space="preserve"> del </w:t>
      </w:r>
      <w:r w:rsidR="0081338F" w:rsidRPr="004362A2">
        <w:rPr>
          <w:rFonts w:eastAsia="Arial Unicode MS"/>
          <w:b/>
          <w:bCs/>
          <w:sz w:val="24"/>
          <w:szCs w:val="24"/>
          <w:lang w:val="es-ES" w:eastAsia="es-ES"/>
        </w:rPr>
        <w:t xml:space="preserve">defecto </w:t>
      </w:r>
      <w:r w:rsidR="0081338F">
        <w:rPr>
          <w:rFonts w:eastAsia="Arial Unicode MS"/>
          <w:b/>
          <w:bCs/>
          <w:sz w:val="24"/>
          <w:szCs w:val="24"/>
          <w:lang w:val="es-ES" w:eastAsia="es-ES"/>
        </w:rPr>
        <w:t>sustantivo</w:t>
      </w:r>
      <w:r w:rsidR="0081338F">
        <w:rPr>
          <w:rFonts w:eastAsia="Arial Unicode MS"/>
          <w:sz w:val="24"/>
          <w:szCs w:val="24"/>
          <w:lang w:val="es-ES" w:eastAsia="es-ES"/>
        </w:rPr>
        <w:t xml:space="preserve"> ha manifestado que</w:t>
      </w:r>
      <w:r w:rsidR="00501438">
        <w:rPr>
          <w:rFonts w:eastAsia="Arial Unicode MS"/>
          <w:bCs/>
          <w:sz w:val="24"/>
          <w:szCs w:val="24"/>
          <w:lang w:val="es-ES_tradnl" w:eastAsia="es-ES"/>
        </w:rPr>
        <w:t xml:space="preserve">, </w:t>
      </w:r>
      <w:r w:rsidR="0081338F">
        <w:rPr>
          <w:bCs/>
          <w:sz w:val="24"/>
          <w:szCs w:val="24"/>
        </w:rPr>
        <w:t>su configuración</w:t>
      </w:r>
      <w:r w:rsidR="0081338F" w:rsidRPr="003E358A">
        <w:rPr>
          <w:sz w:val="24"/>
          <w:szCs w:val="24"/>
        </w:rPr>
        <w:t xml:space="preserve"> se presenta, </w:t>
      </w:r>
      <w:r w:rsidR="0081338F" w:rsidRPr="00CD1F47">
        <w:rPr>
          <w:sz w:val="24"/>
          <w:szCs w:val="24"/>
        </w:rPr>
        <w:t>c</w:t>
      </w:r>
      <w:r w:rsidR="0081338F">
        <w:rPr>
          <w:sz w:val="24"/>
          <w:szCs w:val="24"/>
        </w:rPr>
        <w:t>uando los ca</w:t>
      </w:r>
      <w:r w:rsidR="0081338F" w:rsidRPr="00CD1F47">
        <w:rPr>
          <w:sz w:val="24"/>
          <w:szCs w:val="24"/>
        </w:rPr>
        <w:t>sos se decide</w:t>
      </w:r>
      <w:r w:rsidR="0081338F">
        <w:rPr>
          <w:sz w:val="24"/>
          <w:szCs w:val="24"/>
        </w:rPr>
        <w:t>n</w:t>
      </w:r>
      <w:r w:rsidR="0081338F" w:rsidRPr="00CD1F47">
        <w:rPr>
          <w:sz w:val="24"/>
          <w:szCs w:val="24"/>
        </w:rPr>
        <w:t xml:space="preserve"> con base en normas inexistentes o inconstitucionales o que presentan una evidente y grosera contradicción entre los fundamentos y la decisión</w:t>
      </w:r>
      <w:r w:rsidR="0081338F">
        <w:rPr>
          <w:sz w:val="24"/>
          <w:szCs w:val="24"/>
        </w:rPr>
        <w:t>, o “c</w:t>
      </w:r>
      <w:r w:rsidR="0081338F" w:rsidRPr="003E358A">
        <w:rPr>
          <w:sz w:val="24"/>
          <w:szCs w:val="24"/>
        </w:rPr>
        <w:t>uando</w:t>
      </w:r>
      <w:r w:rsidR="0081338F">
        <w:rPr>
          <w:sz w:val="24"/>
          <w:szCs w:val="24"/>
        </w:rPr>
        <w:t>,</w:t>
      </w:r>
      <w:r w:rsidR="0081338F" w:rsidRPr="003E358A">
        <w:rPr>
          <w:sz w:val="24"/>
          <w:szCs w:val="24"/>
        </w:rPr>
        <w:t xml:space="preserve"> pese a la autonomía judicial, la interpretación o aplicación de la norma al caso concreto, no se encuentra,</w:t>
      </w:r>
      <w:r w:rsidR="0081338F" w:rsidRPr="003E358A">
        <w:rPr>
          <w:i/>
          <w:iCs/>
          <w:sz w:val="24"/>
          <w:szCs w:val="24"/>
        </w:rPr>
        <w:t> prima facie</w:t>
      </w:r>
      <w:r w:rsidR="0081338F" w:rsidRPr="003E358A">
        <w:rPr>
          <w:sz w:val="24"/>
          <w:szCs w:val="24"/>
        </w:rPr>
        <w:t xml:space="preserve">, dentro del margen de interpretación razonable o el operador judicial hace una aplicación inaceptable de la norma al interpretarla de forma contraevidente -interpretación </w:t>
      </w:r>
      <w:r w:rsidR="0081338F" w:rsidRPr="003E358A">
        <w:rPr>
          <w:i/>
          <w:iCs/>
          <w:sz w:val="24"/>
          <w:szCs w:val="24"/>
        </w:rPr>
        <w:t xml:space="preserve">contra </w:t>
      </w:r>
      <w:proofErr w:type="spellStart"/>
      <w:r w:rsidR="0081338F" w:rsidRPr="003E358A">
        <w:rPr>
          <w:i/>
          <w:iCs/>
          <w:sz w:val="24"/>
          <w:szCs w:val="24"/>
        </w:rPr>
        <w:t>legem</w:t>
      </w:r>
      <w:proofErr w:type="spellEnd"/>
      <w:r w:rsidR="0081338F" w:rsidRPr="003E358A">
        <w:rPr>
          <w:sz w:val="24"/>
          <w:szCs w:val="24"/>
        </w:rPr>
        <w:t>-  o claramente perjudicial para los intereses legítimos de una de las partes o cuando en una decisión judicial se aplica una norma jurídica de manera manifiestamente errada, sacando del marco de la juridicidad y de la hermenéutica jurídica aceptable tal decisión judicial”</w:t>
      </w:r>
      <w:r w:rsidR="0081338F" w:rsidRPr="003E358A">
        <w:rPr>
          <w:rStyle w:val="Refdenotaalpie"/>
          <w:sz w:val="24"/>
          <w:szCs w:val="24"/>
        </w:rPr>
        <w:footnoteReference w:id="27"/>
      </w:r>
      <w:r w:rsidR="0081338F" w:rsidRPr="003E358A">
        <w:rPr>
          <w:sz w:val="24"/>
          <w:szCs w:val="24"/>
        </w:rPr>
        <w:t>.</w:t>
      </w:r>
    </w:p>
    <w:p w:rsidR="0081338F" w:rsidRDefault="0081338F" w:rsidP="0081338F">
      <w:pPr>
        <w:rPr>
          <w:sz w:val="24"/>
          <w:szCs w:val="24"/>
        </w:rPr>
      </w:pPr>
      <w:r>
        <w:rPr>
          <w:rFonts w:eastAsia="Arial Unicode MS"/>
          <w:bCs/>
          <w:sz w:val="24"/>
          <w:szCs w:val="24"/>
          <w:lang w:val="es-ES_tradnl" w:eastAsia="es-ES"/>
        </w:rPr>
        <w:lastRenderedPageBreak/>
        <w:t>E</w:t>
      </w:r>
      <w:r>
        <w:rPr>
          <w:rFonts w:eastAsia="Arial Unicode MS"/>
          <w:bCs/>
          <w:sz w:val="24"/>
          <w:szCs w:val="24"/>
          <w:lang w:eastAsia="es-ES"/>
        </w:rPr>
        <w:t xml:space="preserve">n términos </w:t>
      </w:r>
      <w:r>
        <w:rPr>
          <w:sz w:val="24"/>
          <w:szCs w:val="24"/>
        </w:rPr>
        <w:t xml:space="preserve">del defecto por </w:t>
      </w:r>
      <w:r w:rsidRPr="009565C3">
        <w:rPr>
          <w:b/>
          <w:bCs/>
          <w:sz w:val="24"/>
          <w:szCs w:val="24"/>
        </w:rPr>
        <w:t>desconocimiento del precedente</w:t>
      </w:r>
      <w:r>
        <w:rPr>
          <w:sz w:val="24"/>
          <w:szCs w:val="24"/>
        </w:rPr>
        <w:t xml:space="preserve">, </w:t>
      </w:r>
      <w:r w:rsidR="006162A7">
        <w:rPr>
          <w:sz w:val="24"/>
          <w:szCs w:val="24"/>
        </w:rPr>
        <w:t xml:space="preserve">la Corte </w:t>
      </w:r>
      <w:r>
        <w:rPr>
          <w:sz w:val="24"/>
          <w:szCs w:val="24"/>
        </w:rPr>
        <w:t>ha indicado que este, “</w:t>
      </w:r>
      <w:r w:rsidRPr="009A56C0">
        <w:rPr>
          <w:sz w:val="24"/>
          <w:szCs w:val="24"/>
        </w:rPr>
        <w:t>se configura cuando el funcionario judicial se aparta de las sentencias emitidos [sic] por los tribunales de cierre (precedente vertical) o los dictados por ellos mismos (precedente horizontal) al momento de resolver asuntos que presentan una situación fáctica similar a los decididos en aquellas providencias, sin exponer las razones jurídicas que justifiquen el cambio de jurisprudencia”</w:t>
      </w:r>
      <w:r w:rsidRPr="009A56C0">
        <w:rPr>
          <w:sz w:val="24"/>
          <w:szCs w:val="24"/>
          <w:vertAlign w:val="superscript"/>
        </w:rPr>
        <w:footnoteReference w:id="28"/>
      </w:r>
      <w:r w:rsidRPr="009A56C0">
        <w:rPr>
          <w:sz w:val="24"/>
          <w:szCs w:val="24"/>
        </w:rPr>
        <w:t xml:space="preserve">. Por tanto, la invocación de un precedente está determinado por la especialidad, de manera que sea el órgano de cierre que defina los criterios y reglas aplicables en casos semejantes, o, en el caso del precedente horizontal, los órganos judiciales deben resolver los asuntos que conocen a partir de un criterio de igualdad.  Por otro lado, la Corte ha dicho que, el </w:t>
      </w:r>
      <w:r w:rsidRPr="009A56C0">
        <w:rPr>
          <w:sz w:val="24"/>
          <w:szCs w:val="24"/>
          <w:lang w:val="es-ES"/>
        </w:rPr>
        <w:t>precedente constitucional no constituye una obligatoriedad absoluta, pues debido al principio de la autonomía judicial, el juez puede apartarse de aquellos, siempre y cuando presente </w:t>
      </w:r>
      <w:r w:rsidRPr="009A56C0">
        <w:rPr>
          <w:b/>
          <w:bCs/>
          <w:sz w:val="24"/>
          <w:szCs w:val="24"/>
          <w:lang w:val="es-ES"/>
        </w:rPr>
        <w:t>(i)</w:t>
      </w:r>
      <w:r w:rsidRPr="009A56C0">
        <w:rPr>
          <w:sz w:val="24"/>
          <w:szCs w:val="24"/>
          <w:lang w:val="es-ES"/>
        </w:rPr>
        <w:t> de forma explícita las </w:t>
      </w:r>
      <w:r w:rsidRPr="009A56C0">
        <w:rPr>
          <w:sz w:val="24"/>
          <w:szCs w:val="24"/>
        </w:rPr>
        <w:t>razones por las cuales se separa de aquellos, y </w:t>
      </w:r>
      <w:r w:rsidRPr="009A56C0">
        <w:rPr>
          <w:b/>
          <w:bCs/>
          <w:sz w:val="24"/>
          <w:szCs w:val="24"/>
        </w:rPr>
        <w:t>(</w:t>
      </w:r>
      <w:proofErr w:type="spellStart"/>
      <w:r w:rsidRPr="009A56C0">
        <w:rPr>
          <w:b/>
          <w:bCs/>
          <w:sz w:val="24"/>
          <w:szCs w:val="24"/>
        </w:rPr>
        <w:t>ii</w:t>
      </w:r>
      <w:proofErr w:type="spellEnd"/>
      <w:r w:rsidRPr="009A56C0">
        <w:rPr>
          <w:b/>
          <w:bCs/>
          <w:sz w:val="24"/>
          <w:szCs w:val="24"/>
        </w:rPr>
        <w:t>)</w:t>
      </w:r>
      <w:r w:rsidRPr="009A56C0">
        <w:rPr>
          <w:sz w:val="24"/>
          <w:szCs w:val="24"/>
        </w:rPr>
        <w:t xml:space="preserve"> demuestre con suficiencia que su interpretación aporta un mejor desarrollo a los derechos y principios constitucionales. </w:t>
      </w:r>
    </w:p>
    <w:p w:rsidR="002946EE" w:rsidRDefault="002946EE" w:rsidP="0081338F">
      <w:pPr>
        <w:rPr>
          <w:sz w:val="24"/>
          <w:szCs w:val="24"/>
        </w:rPr>
      </w:pPr>
    </w:p>
    <w:p w:rsidR="002946EE" w:rsidRPr="002946EE" w:rsidRDefault="002946EE" w:rsidP="002946EE">
      <w:pPr>
        <w:rPr>
          <w:rFonts w:eastAsia="Times New Roman"/>
          <w:sz w:val="24"/>
          <w:szCs w:val="24"/>
        </w:rPr>
      </w:pPr>
      <w:r>
        <w:rPr>
          <w:sz w:val="24"/>
          <w:szCs w:val="24"/>
        </w:rPr>
        <w:t xml:space="preserve">Finalmente, respecto de </w:t>
      </w:r>
      <w:r w:rsidRPr="002946EE">
        <w:rPr>
          <w:rFonts w:eastAsia="Times New Roman"/>
          <w:sz w:val="24"/>
          <w:szCs w:val="24"/>
        </w:rPr>
        <w:t xml:space="preserve">la </w:t>
      </w:r>
      <w:r w:rsidRPr="002946EE">
        <w:rPr>
          <w:rFonts w:eastAsia="Times New Roman"/>
          <w:b/>
          <w:bCs/>
          <w:sz w:val="24"/>
          <w:szCs w:val="24"/>
        </w:rPr>
        <w:t>violación directa de la Constitución</w:t>
      </w:r>
      <w:r>
        <w:rPr>
          <w:rFonts w:eastAsia="Times New Roman"/>
          <w:b/>
          <w:bCs/>
          <w:sz w:val="24"/>
          <w:szCs w:val="24"/>
        </w:rPr>
        <w:t xml:space="preserve"> </w:t>
      </w:r>
      <w:r w:rsidR="006162A7" w:rsidRPr="006162A7">
        <w:rPr>
          <w:rFonts w:eastAsia="Times New Roman"/>
          <w:sz w:val="24"/>
          <w:szCs w:val="24"/>
        </w:rPr>
        <w:t>la mencionada alta Corporación</w:t>
      </w:r>
      <w:r w:rsidR="006162A7">
        <w:rPr>
          <w:rFonts w:eastAsia="Times New Roman"/>
          <w:b/>
          <w:bCs/>
          <w:sz w:val="24"/>
          <w:szCs w:val="24"/>
        </w:rPr>
        <w:t xml:space="preserve"> </w:t>
      </w:r>
      <w:r w:rsidRPr="002946EE">
        <w:rPr>
          <w:rFonts w:eastAsia="Times New Roman"/>
          <w:sz w:val="24"/>
          <w:szCs w:val="24"/>
        </w:rPr>
        <w:t xml:space="preserve">ha explicado que </w:t>
      </w:r>
      <w:r w:rsidRPr="002946EE">
        <w:rPr>
          <w:rFonts w:eastAsia="Times New Roman"/>
          <w:iCs/>
          <w:sz w:val="24"/>
          <w:szCs w:val="24"/>
          <w:lang w:val="es-ES"/>
        </w:rPr>
        <w:t>“es una causal de tutela contra providencia judicial que se origina en la obligación que les asiste a todas las autoridades judiciales de velar por el cumplimiento del mandato consagrado en el artículo 4° de la Carta Política, según el cual ‘la Constitución es norma de normas. En caso de incompatibilidad entre la Constitución y la ley u otra norma jurídica, se aplicarán las disposiciones constitucionales”</w:t>
      </w:r>
      <w:r w:rsidRPr="002946EE">
        <w:rPr>
          <w:rFonts w:eastAsia="Times New Roman"/>
          <w:iCs/>
          <w:sz w:val="24"/>
          <w:szCs w:val="24"/>
          <w:vertAlign w:val="superscript"/>
          <w:lang w:val="es-ES"/>
        </w:rPr>
        <w:footnoteReference w:id="29"/>
      </w:r>
      <w:r w:rsidRPr="002946EE">
        <w:rPr>
          <w:rFonts w:eastAsia="Times New Roman"/>
          <w:iCs/>
          <w:sz w:val="24"/>
          <w:szCs w:val="24"/>
          <w:lang w:val="es-ES"/>
        </w:rPr>
        <w:t>.</w:t>
      </w:r>
    </w:p>
    <w:p w:rsidR="002946EE" w:rsidRDefault="002946EE" w:rsidP="0081338F">
      <w:pPr>
        <w:rPr>
          <w:sz w:val="24"/>
          <w:szCs w:val="24"/>
        </w:rPr>
      </w:pPr>
    </w:p>
    <w:p w:rsidR="007A1DDF" w:rsidRDefault="00BB57E6" w:rsidP="0081338F">
      <w:pPr>
        <w:rPr>
          <w:sz w:val="24"/>
          <w:szCs w:val="24"/>
        </w:rPr>
      </w:pPr>
      <w:r>
        <w:rPr>
          <w:sz w:val="24"/>
          <w:szCs w:val="24"/>
        </w:rPr>
        <w:t xml:space="preserve">2.4.1.1. </w:t>
      </w:r>
      <w:r w:rsidR="006162A7">
        <w:rPr>
          <w:sz w:val="24"/>
          <w:szCs w:val="24"/>
        </w:rPr>
        <w:t>En ese contexto, es preciso indicar que la Subsección B de la Sección Segunda de esta Corporación explicó en la sentencia objeto de tutela</w:t>
      </w:r>
      <w:r w:rsidR="00054AB9">
        <w:rPr>
          <w:sz w:val="24"/>
          <w:szCs w:val="24"/>
        </w:rPr>
        <w:t xml:space="preserve">, en primer lugar </w:t>
      </w:r>
      <w:r w:rsidR="006162A7">
        <w:rPr>
          <w:sz w:val="24"/>
          <w:szCs w:val="24"/>
        </w:rPr>
        <w:t>que</w:t>
      </w:r>
      <w:r w:rsidR="00054AB9">
        <w:rPr>
          <w:sz w:val="24"/>
          <w:szCs w:val="24"/>
        </w:rPr>
        <w:t xml:space="preserve">, de las pruebas allegadas al expediente el señor Cabrales Dávila laboró como docente oficial de carácter </w:t>
      </w:r>
      <w:r w:rsidR="00054AB9" w:rsidRPr="00102A8E">
        <w:rPr>
          <w:b/>
          <w:sz w:val="24"/>
          <w:szCs w:val="24"/>
        </w:rPr>
        <w:t>nacional</w:t>
      </w:r>
      <w:r w:rsidR="00054AB9">
        <w:rPr>
          <w:sz w:val="24"/>
          <w:szCs w:val="24"/>
        </w:rPr>
        <w:t xml:space="preserve"> a partir de los nombramientos del Ministerio de Educación Nacional en el lapso transcurrido entre el 7 de abril de 1975 al 30 de abril de 1980 y del 16 de abril de 1980 al 26 de enero de 1993, y los servicios fueron prestados en un Instituto Nacional de Educación Media Diversificada </w:t>
      </w:r>
      <w:r w:rsidR="001E60B2">
        <w:rPr>
          <w:sz w:val="24"/>
          <w:szCs w:val="24"/>
        </w:rPr>
        <w:t xml:space="preserve">- </w:t>
      </w:r>
      <w:r w:rsidR="00054AB9">
        <w:rPr>
          <w:sz w:val="24"/>
          <w:szCs w:val="24"/>
        </w:rPr>
        <w:t xml:space="preserve">INEM. </w:t>
      </w:r>
      <w:r w:rsidR="00AE6E5F">
        <w:rPr>
          <w:sz w:val="24"/>
          <w:szCs w:val="24"/>
        </w:rPr>
        <w:t>P</w:t>
      </w:r>
      <w:r w:rsidR="00054AB9">
        <w:rPr>
          <w:sz w:val="24"/>
          <w:szCs w:val="24"/>
        </w:rPr>
        <w:t xml:space="preserve">recisó que, la Sala en diferentes pronunciamientos ha indicado que </w:t>
      </w:r>
      <w:r w:rsidR="00300A03">
        <w:rPr>
          <w:sz w:val="24"/>
          <w:szCs w:val="24"/>
        </w:rPr>
        <w:t xml:space="preserve">la prestación de servicios docentes en Instituciones Nacionales de Educación Media Diversificada </w:t>
      </w:r>
      <w:r w:rsidR="001E60B2">
        <w:rPr>
          <w:sz w:val="24"/>
          <w:szCs w:val="24"/>
        </w:rPr>
        <w:t xml:space="preserve">- </w:t>
      </w:r>
      <w:r w:rsidR="00300A03">
        <w:rPr>
          <w:sz w:val="24"/>
          <w:szCs w:val="24"/>
        </w:rPr>
        <w:t>INEM no puede</w:t>
      </w:r>
      <w:r w:rsidR="00054AB9">
        <w:rPr>
          <w:sz w:val="24"/>
          <w:szCs w:val="24"/>
        </w:rPr>
        <w:t xml:space="preserve"> computarse para la pensión</w:t>
      </w:r>
      <w:r w:rsidR="007A1DDF">
        <w:rPr>
          <w:sz w:val="24"/>
          <w:szCs w:val="24"/>
        </w:rPr>
        <w:t xml:space="preserve"> de gracia</w:t>
      </w:r>
      <w:r w:rsidR="00054AB9">
        <w:rPr>
          <w:rStyle w:val="Refdenotaalpie"/>
          <w:sz w:val="24"/>
          <w:szCs w:val="24"/>
        </w:rPr>
        <w:footnoteReference w:id="30"/>
      </w:r>
      <w:r w:rsidR="007A1DDF">
        <w:rPr>
          <w:sz w:val="24"/>
          <w:szCs w:val="24"/>
        </w:rPr>
        <w:t>, por lo que</w:t>
      </w:r>
      <w:r w:rsidR="00245ED6">
        <w:rPr>
          <w:sz w:val="24"/>
          <w:szCs w:val="24"/>
        </w:rPr>
        <w:t>,</w:t>
      </w:r>
      <w:r w:rsidR="007A1DDF">
        <w:rPr>
          <w:sz w:val="24"/>
          <w:szCs w:val="24"/>
        </w:rPr>
        <w:t xml:space="preserve"> tal prestación solo se reconoce a los docentes cuya vinculación sea territorial y/o nacionalizada, descartando las vinculaciones de orden nacional o aquellas que sean acreditadas en el plenario como ejercidas en las ya mencionadas instituciones. </w:t>
      </w:r>
    </w:p>
    <w:p w:rsidR="00501438" w:rsidRDefault="00501438" w:rsidP="0081338F">
      <w:pPr>
        <w:rPr>
          <w:sz w:val="24"/>
          <w:szCs w:val="24"/>
        </w:rPr>
      </w:pPr>
    </w:p>
    <w:p w:rsidR="006B495C" w:rsidRDefault="007A1DDF" w:rsidP="0081338F">
      <w:pPr>
        <w:rPr>
          <w:sz w:val="24"/>
          <w:szCs w:val="24"/>
        </w:rPr>
      </w:pPr>
      <w:r>
        <w:rPr>
          <w:sz w:val="24"/>
          <w:szCs w:val="24"/>
        </w:rPr>
        <w:t xml:space="preserve">En consecuencia, para el caso concreto concluyó que solo eran viables para conceder la prestación solicitada, los tiempos </w:t>
      </w:r>
      <w:r w:rsidR="00501438">
        <w:rPr>
          <w:sz w:val="24"/>
          <w:szCs w:val="24"/>
        </w:rPr>
        <w:t xml:space="preserve">servidos como consecuencia </w:t>
      </w:r>
      <w:r>
        <w:rPr>
          <w:sz w:val="24"/>
          <w:szCs w:val="24"/>
        </w:rPr>
        <w:t xml:space="preserve">del nombramiento </w:t>
      </w:r>
      <w:r>
        <w:rPr>
          <w:sz w:val="24"/>
          <w:szCs w:val="24"/>
        </w:rPr>
        <w:lastRenderedPageBreak/>
        <w:t xml:space="preserve">efectuado por la autoridad territorial, </w:t>
      </w:r>
      <w:r w:rsidR="00245ED6">
        <w:rPr>
          <w:sz w:val="24"/>
          <w:szCs w:val="24"/>
        </w:rPr>
        <w:t>es decir</w:t>
      </w:r>
      <w:r>
        <w:rPr>
          <w:sz w:val="24"/>
          <w:szCs w:val="24"/>
        </w:rPr>
        <w:t>, los prestados del 19 de abril de 1986 al 31 de diciembre de 2009 y en ese orden</w:t>
      </w:r>
      <w:r w:rsidR="0059449D">
        <w:rPr>
          <w:sz w:val="24"/>
          <w:szCs w:val="24"/>
        </w:rPr>
        <w:t>,</w:t>
      </w:r>
      <w:r>
        <w:rPr>
          <w:sz w:val="24"/>
          <w:szCs w:val="24"/>
        </w:rPr>
        <w:t xml:space="preserve"> no cumplía el</w:t>
      </w:r>
      <w:r w:rsidR="00D052D2">
        <w:rPr>
          <w:sz w:val="24"/>
          <w:szCs w:val="24"/>
        </w:rPr>
        <w:t xml:space="preserve"> requisito del</w:t>
      </w:r>
      <w:r>
        <w:rPr>
          <w:sz w:val="24"/>
          <w:szCs w:val="24"/>
        </w:rPr>
        <w:t xml:space="preserve"> límite temporal</w:t>
      </w:r>
      <w:r w:rsidR="00827429">
        <w:rPr>
          <w:sz w:val="24"/>
          <w:szCs w:val="24"/>
        </w:rPr>
        <w:t xml:space="preserve"> establecido por la normatividad vigente</w:t>
      </w:r>
      <w:r>
        <w:rPr>
          <w:sz w:val="24"/>
          <w:szCs w:val="24"/>
        </w:rPr>
        <w:t xml:space="preserve">, esto es, que </w:t>
      </w:r>
      <w:r w:rsidR="00102A8E">
        <w:rPr>
          <w:sz w:val="24"/>
          <w:szCs w:val="24"/>
        </w:rPr>
        <w:t xml:space="preserve">estuviera vinculado como docente territorial o nacionalizado </w:t>
      </w:r>
      <w:r>
        <w:rPr>
          <w:sz w:val="24"/>
          <w:szCs w:val="24"/>
        </w:rPr>
        <w:t>antes del 31 de diciembre de 1980</w:t>
      </w:r>
      <w:r w:rsidR="00102A8E">
        <w:rPr>
          <w:sz w:val="24"/>
          <w:szCs w:val="24"/>
        </w:rPr>
        <w:t xml:space="preserve">. </w:t>
      </w:r>
    </w:p>
    <w:p w:rsidR="00102A8E" w:rsidRDefault="00102A8E" w:rsidP="0081338F">
      <w:pPr>
        <w:rPr>
          <w:sz w:val="24"/>
          <w:szCs w:val="24"/>
        </w:rPr>
      </w:pPr>
    </w:p>
    <w:p w:rsidR="006B495C" w:rsidRDefault="006B495C" w:rsidP="0081338F">
      <w:pPr>
        <w:rPr>
          <w:sz w:val="24"/>
          <w:szCs w:val="24"/>
        </w:rPr>
      </w:pPr>
      <w:r>
        <w:rPr>
          <w:sz w:val="24"/>
          <w:szCs w:val="24"/>
        </w:rPr>
        <w:t xml:space="preserve">En segundo lugar, la autoridad cuestionada sostuvo que </w:t>
      </w:r>
      <w:r w:rsidR="00496661">
        <w:rPr>
          <w:sz w:val="24"/>
          <w:szCs w:val="24"/>
        </w:rPr>
        <w:t xml:space="preserve">el tiempo de servicios y la vinculación se prueba con el contenido de los datos puntuales alrededor del tipo de nombramiento, esto es, la autoridad que lo hace, la institución educativa a la que prestó los servicios, su naturaleza y los extremos temporales conforme a los requisitos de que trata la Ley 114 de 1913 y lo dispuesto por la Ley 91 de 1989 en su artículo 15. </w:t>
      </w:r>
    </w:p>
    <w:p w:rsidR="00496661" w:rsidRDefault="00496661" w:rsidP="0081338F">
      <w:pPr>
        <w:rPr>
          <w:sz w:val="24"/>
          <w:szCs w:val="24"/>
        </w:rPr>
      </w:pPr>
    </w:p>
    <w:p w:rsidR="00496661" w:rsidRDefault="0081627B" w:rsidP="0081338F">
      <w:pPr>
        <w:rPr>
          <w:sz w:val="24"/>
          <w:szCs w:val="24"/>
        </w:rPr>
      </w:pPr>
      <w:r>
        <w:rPr>
          <w:sz w:val="24"/>
          <w:szCs w:val="24"/>
        </w:rPr>
        <w:t>Finalmente,</w:t>
      </w:r>
      <w:r w:rsidR="00496661">
        <w:rPr>
          <w:sz w:val="24"/>
          <w:szCs w:val="24"/>
        </w:rPr>
        <w:t xml:space="preserve"> también explicó que, </w:t>
      </w:r>
      <w:r>
        <w:rPr>
          <w:sz w:val="24"/>
          <w:szCs w:val="24"/>
        </w:rPr>
        <w:t>la línea jurisprudencial sobre el reconocimiento de la pensión de gracia destacó la importancia alrededor del tiempo de servicio como referente para su reconocimiento, sin importar si era continuo o discontinuo, su modo de vinculación, ni la necesidad que al 31 de diciembre de 1980 el docente se encontrara en servicio activo, sino que esta hubier</w:t>
      </w:r>
      <w:r w:rsidR="00AE6E5F">
        <w:rPr>
          <w:sz w:val="24"/>
          <w:szCs w:val="24"/>
        </w:rPr>
        <w:t>a</w:t>
      </w:r>
      <w:r>
        <w:rPr>
          <w:sz w:val="24"/>
          <w:szCs w:val="24"/>
        </w:rPr>
        <w:t xml:space="preserve"> sido con antelación al mencionado límite temporal. </w:t>
      </w:r>
      <w:r w:rsidR="005D679A">
        <w:rPr>
          <w:sz w:val="24"/>
          <w:szCs w:val="24"/>
        </w:rPr>
        <w:t>Reiteró,</w:t>
      </w:r>
      <w:r>
        <w:rPr>
          <w:sz w:val="24"/>
          <w:szCs w:val="24"/>
        </w:rPr>
        <w:t xml:space="preserve"> además que, la jurisprudencia ha sido clara en establecer que los tiempos en que los docentes desempeñaron sus labores en Instituciones Nacionales de Educación Media Diversificada INEM no pueden computarse para</w:t>
      </w:r>
      <w:r w:rsidR="00827429">
        <w:rPr>
          <w:sz w:val="24"/>
          <w:szCs w:val="24"/>
        </w:rPr>
        <w:t xml:space="preserve"> el reconocimiento de </w:t>
      </w:r>
      <w:r>
        <w:rPr>
          <w:sz w:val="24"/>
          <w:szCs w:val="24"/>
        </w:rPr>
        <w:t>la pensión de gracia, por cuanto dichos institutos dependen del Ministerio de Educación Nacional</w:t>
      </w:r>
      <w:r>
        <w:rPr>
          <w:rStyle w:val="Refdenotaalpie"/>
          <w:sz w:val="24"/>
          <w:szCs w:val="24"/>
        </w:rPr>
        <w:footnoteReference w:id="31"/>
      </w:r>
      <w:r w:rsidR="005D679A">
        <w:rPr>
          <w:sz w:val="24"/>
          <w:szCs w:val="24"/>
        </w:rPr>
        <w:t>.</w:t>
      </w:r>
    </w:p>
    <w:p w:rsidR="005D679A" w:rsidRPr="00613BAD" w:rsidRDefault="005D679A" w:rsidP="0081338F">
      <w:pPr>
        <w:rPr>
          <w:sz w:val="24"/>
          <w:szCs w:val="24"/>
        </w:rPr>
      </w:pPr>
    </w:p>
    <w:p w:rsidR="003B177D" w:rsidRPr="00C94284" w:rsidRDefault="005D679A" w:rsidP="00CF138B">
      <w:pPr>
        <w:spacing w:after="240"/>
        <w:rPr>
          <w:rFonts w:eastAsia="Times New Roman"/>
          <w:bCs/>
          <w:sz w:val="24"/>
          <w:szCs w:val="24"/>
        </w:rPr>
      </w:pPr>
      <w:r w:rsidRPr="00613BAD">
        <w:rPr>
          <w:sz w:val="24"/>
          <w:szCs w:val="24"/>
        </w:rPr>
        <w:t>En ese orden,</w:t>
      </w:r>
      <w:r>
        <w:rPr>
          <w:sz w:val="24"/>
          <w:szCs w:val="24"/>
        </w:rPr>
        <w:t xml:space="preserve"> el accionante planteó el debate en términos</w:t>
      </w:r>
      <w:r w:rsidR="003B177D">
        <w:rPr>
          <w:sz w:val="24"/>
          <w:szCs w:val="24"/>
        </w:rPr>
        <w:t xml:space="preserve"> de</w:t>
      </w:r>
      <w:r w:rsidR="00491DBD">
        <w:rPr>
          <w:sz w:val="24"/>
          <w:szCs w:val="24"/>
        </w:rPr>
        <w:t xml:space="preserve"> los defectos fáctico y sustantivo</w:t>
      </w:r>
      <w:r w:rsidR="003B177D">
        <w:rPr>
          <w:sz w:val="24"/>
          <w:szCs w:val="24"/>
        </w:rPr>
        <w:t xml:space="preserve"> </w:t>
      </w:r>
      <w:r w:rsidR="00BE44C9">
        <w:rPr>
          <w:sz w:val="24"/>
          <w:szCs w:val="24"/>
        </w:rPr>
        <w:t xml:space="preserve">por </w:t>
      </w:r>
      <w:r w:rsidR="003B177D">
        <w:rPr>
          <w:sz w:val="24"/>
          <w:szCs w:val="24"/>
        </w:rPr>
        <w:t>una indebida valoración probatoria de varias piezas procesales allegadas al expediente</w:t>
      </w:r>
      <w:r>
        <w:rPr>
          <w:sz w:val="24"/>
          <w:szCs w:val="24"/>
        </w:rPr>
        <w:t>,</w:t>
      </w:r>
      <w:r w:rsidR="00491DBD">
        <w:rPr>
          <w:sz w:val="24"/>
          <w:szCs w:val="24"/>
        </w:rPr>
        <w:t xml:space="preserve"> </w:t>
      </w:r>
      <w:r w:rsidR="00852927">
        <w:rPr>
          <w:sz w:val="24"/>
          <w:szCs w:val="24"/>
        </w:rPr>
        <w:t>que dieron lugar</w:t>
      </w:r>
      <w:r w:rsidR="00245ED6">
        <w:rPr>
          <w:sz w:val="24"/>
          <w:szCs w:val="24"/>
        </w:rPr>
        <w:t xml:space="preserve"> a concluir </w:t>
      </w:r>
      <w:r w:rsidR="00D052D2" w:rsidRPr="00245ED6">
        <w:rPr>
          <w:sz w:val="24"/>
          <w:szCs w:val="24"/>
        </w:rPr>
        <w:t xml:space="preserve">que sus nombramientos fueron de orden nacional </w:t>
      </w:r>
      <w:r w:rsidR="00245ED6">
        <w:rPr>
          <w:sz w:val="24"/>
          <w:szCs w:val="24"/>
        </w:rPr>
        <w:t>y en consecuencia</w:t>
      </w:r>
      <w:r w:rsidR="00D052D2" w:rsidRPr="00245ED6">
        <w:rPr>
          <w:sz w:val="24"/>
          <w:szCs w:val="24"/>
        </w:rPr>
        <w:t xml:space="preserve"> </w:t>
      </w:r>
      <w:r w:rsidR="00852927">
        <w:rPr>
          <w:sz w:val="24"/>
          <w:szCs w:val="24"/>
        </w:rPr>
        <w:t xml:space="preserve">a estimar </w:t>
      </w:r>
      <w:r w:rsidR="00D052D2" w:rsidRPr="00245ED6">
        <w:rPr>
          <w:sz w:val="24"/>
          <w:szCs w:val="24"/>
        </w:rPr>
        <w:t xml:space="preserve">el </w:t>
      </w:r>
      <w:r w:rsidR="00245ED6">
        <w:rPr>
          <w:sz w:val="24"/>
          <w:szCs w:val="24"/>
        </w:rPr>
        <w:t xml:space="preserve">incumplimiento del requisito del </w:t>
      </w:r>
      <w:r w:rsidR="00D052D2" w:rsidRPr="00245ED6">
        <w:rPr>
          <w:sz w:val="24"/>
          <w:szCs w:val="24"/>
        </w:rPr>
        <w:t>límite temporal</w:t>
      </w:r>
      <w:r w:rsidR="00245ED6" w:rsidRPr="00245ED6">
        <w:rPr>
          <w:sz w:val="24"/>
          <w:szCs w:val="24"/>
        </w:rPr>
        <w:t xml:space="preserve">, </w:t>
      </w:r>
      <w:r w:rsidR="00D052D2" w:rsidRPr="00245ED6">
        <w:rPr>
          <w:sz w:val="24"/>
          <w:szCs w:val="24"/>
        </w:rPr>
        <w:t xml:space="preserve">esto es, </w:t>
      </w:r>
      <w:r w:rsidR="00245ED6" w:rsidRPr="00245ED6">
        <w:rPr>
          <w:sz w:val="24"/>
          <w:szCs w:val="24"/>
        </w:rPr>
        <w:t>estar vinculado al servicio con anterioridad al 1 de enero de 1981</w:t>
      </w:r>
      <w:r w:rsidR="00245ED6">
        <w:rPr>
          <w:sz w:val="24"/>
          <w:szCs w:val="24"/>
        </w:rPr>
        <w:t>, consideraci</w:t>
      </w:r>
      <w:r w:rsidR="00852927">
        <w:rPr>
          <w:sz w:val="24"/>
          <w:szCs w:val="24"/>
        </w:rPr>
        <w:t>ones que —a su juicio—, fueron determinantes para negar</w:t>
      </w:r>
      <w:r w:rsidR="00245ED6" w:rsidRPr="00245ED6">
        <w:rPr>
          <w:sz w:val="24"/>
          <w:szCs w:val="24"/>
        </w:rPr>
        <w:t xml:space="preserve"> el reconocimiento de la pensión que reclama. </w:t>
      </w:r>
      <w:r w:rsidR="001E60B2">
        <w:rPr>
          <w:sz w:val="24"/>
          <w:szCs w:val="24"/>
        </w:rPr>
        <w:t>S</w:t>
      </w:r>
      <w:r>
        <w:rPr>
          <w:sz w:val="24"/>
          <w:szCs w:val="24"/>
        </w:rPr>
        <w:t xml:space="preserve">in </w:t>
      </w:r>
      <w:r w:rsidR="00142BD9">
        <w:rPr>
          <w:sz w:val="24"/>
          <w:szCs w:val="24"/>
        </w:rPr>
        <w:t>embargo,</w:t>
      </w:r>
      <w:r>
        <w:rPr>
          <w:sz w:val="24"/>
          <w:szCs w:val="24"/>
        </w:rPr>
        <w:t xml:space="preserve"> para la Sala es claro que </w:t>
      </w:r>
      <w:r w:rsidR="006C6BCF">
        <w:rPr>
          <w:sz w:val="24"/>
          <w:szCs w:val="24"/>
        </w:rPr>
        <w:t>la autoridad cuestionada estimó que estaba acreditado en el plenario que el señor Cabrales Dávila no cumplía el requisito del límite temporal en la medida que, durante varios lapsos de su vinculación laboral</w:t>
      </w:r>
      <w:r w:rsidR="00E17E4F">
        <w:rPr>
          <w:sz w:val="24"/>
          <w:szCs w:val="24"/>
        </w:rPr>
        <w:t>,</w:t>
      </w:r>
      <w:r w:rsidR="006C6BCF">
        <w:rPr>
          <w:sz w:val="24"/>
          <w:szCs w:val="24"/>
        </w:rPr>
        <w:t xml:space="preserve"> prestó sus servicios en instituciones de orden nacional (INEM), por lo que, estos no podían computarse para el reconocimiento de la pensión reclamada, en concordancia con la normatividad y la jurisprudencia relacionada al asunto. Así, </w:t>
      </w:r>
      <w:r>
        <w:rPr>
          <w:sz w:val="24"/>
          <w:szCs w:val="24"/>
        </w:rPr>
        <w:t xml:space="preserve">lo que pretende </w:t>
      </w:r>
      <w:r w:rsidR="006C6BCF">
        <w:rPr>
          <w:sz w:val="24"/>
          <w:szCs w:val="24"/>
        </w:rPr>
        <w:t xml:space="preserve">el accionante </w:t>
      </w:r>
      <w:r>
        <w:rPr>
          <w:sz w:val="24"/>
          <w:szCs w:val="24"/>
        </w:rPr>
        <w:t xml:space="preserve">es que el juez de tutela haga una lectura alternativa del caso concreto y dirima una aparente controversia fundada en una indebida valoración probatoria </w:t>
      </w:r>
      <w:r w:rsidR="00491DBD">
        <w:rPr>
          <w:sz w:val="24"/>
          <w:szCs w:val="24"/>
        </w:rPr>
        <w:t xml:space="preserve">y legal, </w:t>
      </w:r>
      <w:r>
        <w:rPr>
          <w:sz w:val="24"/>
          <w:szCs w:val="24"/>
        </w:rPr>
        <w:t>de tal forma que</w:t>
      </w:r>
      <w:r w:rsidR="002E3CAD">
        <w:rPr>
          <w:sz w:val="24"/>
          <w:szCs w:val="24"/>
        </w:rPr>
        <w:t xml:space="preserve"> la conclusión a la que llegó la autoridad </w:t>
      </w:r>
      <w:r w:rsidR="003B177D">
        <w:rPr>
          <w:sz w:val="24"/>
          <w:szCs w:val="24"/>
        </w:rPr>
        <w:t>cuestionada</w:t>
      </w:r>
      <w:r w:rsidR="005233EF">
        <w:rPr>
          <w:sz w:val="24"/>
          <w:szCs w:val="24"/>
        </w:rPr>
        <w:t xml:space="preserve"> sea desestimada y </w:t>
      </w:r>
      <w:r w:rsidR="00AE6E5F">
        <w:rPr>
          <w:sz w:val="24"/>
          <w:szCs w:val="24"/>
        </w:rPr>
        <w:t xml:space="preserve">en su lugar se ordene proferir </w:t>
      </w:r>
      <w:r w:rsidR="005233EF">
        <w:rPr>
          <w:sz w:val="24"/>
          <w:szCs w:val="24"/>
        </w:rPr>
        <w:t>una decisión entorno a sus pretensiones</w:t>
      </w:r>
      <w:r w:rsidR="00491DBD">
        <w:rPr>
          <w:sz w:val="24"/>
          <w:szCs w:val="24"/>
        </w:rPr>
        <w:t xml:space="preserve">, </w:t>
      </w:r>
      <w:r w:rsidR="00491DBD" w:rsidRPr="00491DBD">
        <w:rPr>
          <w:rFonts w:eastAsia="Times New Roman"/>
          <w:bCs/>
          <w:sz w:val="24"/>
          <w:szCs w:val="24"/>
        </w:rPr>
        <w:t>como si la tutela constituyera una tercera instancia</w:t>
      </w:r>
      <w:r w:rsidR="00491DBD">
        <w:rPr>
          <w:rFonts w:eastAsia="Times New Roman"/>
          <w:bCs/>
          <w:sz w:val="24"/>
          <w:szCs w:val="24"/>
        </w:rPr>
        <w:t>, desconociendo así el carácter subsidiario de esta</w:t>
      </w:r>
      <w:r w:rsidR="00491DBD" w:rsidRPr="00491DBD">
        <w:rPr>
          <w:rFonts w:eastAsia="Times New Roman"/>
          <w:bCs/>
          <w:sz w:val="24"/>
          <w:szCs w:val="24"/>
        </w:rPr>
        <w:t xml:space="preserve">. </w:t>
      </w:r>
    </w:p>
    <w:p w:rsidR="005D679A" w:rsidRDefault="005233EF" w:rsidP="0081338F">
      <w:pPr>
        <w:rPr>
          <w:sz w:val="24"/>
          <w:szCs w:val="24"/>
          <w:lang w:val="es-ES" w:eastAsia="en-US"/>
        </w:rPr>
      </w:pPr>
      <w:r>
        <w:rPr>
          <w:sz w:val="24"/>
          <w:szCs w:val="24"/>
        </w:rPr>
        <w:t>En ese mismo sentido</w:t>
      </w:r>
      <w:r w:rsidR="003B177D">
        <w:rPr>
          <w:sz w:val="24"/>
          <w:szCs w:val="24"/>
          <w:lang w:val="es-ES" w:eastAsia="en-US"/>
        </w:rPr>
        <w:t xml:space="preserve">, la configuración del defecto por desconocimiento del precedente exige que el accionante vincule la falta de aplicación de una regla jurisprudencial con la violación de una garantía fundamental, o, en otros términos, que explique con suficiencia el por qué el precedente con identidad fáctica y jurídica era aplicable en su caso y de que forma la inobservancia de tales reglas jurisprudenciales afectaron sus garantías fundamentales. En contraste, el accionante se limitó a enunciar el precedente que — a su juicio— fue desconocido, sin explicar cómo los </w:t>
      </w:r>
      <w:r w:rsidR="003B177D">
        <w:rPr>
          <w:sz w:val="24"/>
          <w:szCs w:val="24"/>
          <w:lang w:val="es-ES" w:eastAsia="en-US"/>
        </w:rPr>
        <w:lastRenderedPageBreak/>
        <w:t>fallos enunciados eran aplicables al caso concreto y como tal desconocimiento, afectó sus garantías fundamentales.</w:t>
      </w:r>
    </w:p>
    <w:p w:rsidR="003B177D" w:rsidRDefault="003B177D" w:rsidP="0081338F">
      <w:pPr>
        <w:rPr>
          <w:sz w:val="24"/>
          <w:szCs w:val="24"/>
          <w:lang w:val="es-ES" w:eastAsia="en-US"/>
        </w:rPr>
      </w:pPr>
    </w:p>
    <w:p w:rsidR="003B177D" w:rsidRDefault="003B177D" w:rsidP="0081338F">
      <w:pPr>
        <w:rPr>
          <w:sz w:val="24"/>
          <w:szCs w:val="24"/>
        </w:rPr>
      </w:pPr>
      <w:r>
        <w:rPr>
          <w:sz w:val="24"/>
          <w:szCs w:val="24"/>
          <w:lang w:val="es-ES" w:eastAsia="en-US"/>
        </w:rPr>
        <w:t xml:space="preserve">Por otro lado, respecto de la violación al derecho a la igualdad </w:t>
      </w:r>
      <w:r w:rsidR="00491DBD">
        <w:rPr>
          <w:sz w:val="24"/>
          <w:szCs w:val="24"/>
        </w:rPr>
        <w:t xml:space="preserve">es preciso reiterar que, la sola mención de las providencias que a juicio del accionante fueron desconocidas y tienen similitud con </w:t>
      </w:r>
      <w:r w:rsidR="00AE6E5F">
        <w:rPr>
          <w:sz w:val="24"/>
          <w:szCs w:val="24"/>
        </w:rPr>
        <w:t>su c</w:t>
      </w:r>
      <w:r w:rsidR="00491DBD">
        <w:rPr>
          <w:sz w:val="24"/>
          <w:szCs w:val="24"/>
        </w:rPr>
        <w:t>aso concreto, sin que se demuestre que tal inobservancia tuvo como consecuencia una afectación desproporcionada de una garantía fundamental, no es suficiente para determinar la procedencia de la acción de tutela contra providencias judiciales ni la configuración del defecto por violación directa de la Constitución, en los términos establecidos por la Corte Constitucional. En ese escenario tal requisito no se traduce en una demostración efectiva, pero si exige que el accionante explique o aporte elementos suficientes</w:t>
      </w:r>
      <w:r w:rsidR="00491DBD" w:rsidRPr="003F6F57">
        <w:rPr>
          <w:sz w:val="24"/>
          <w:szCs w:val="24"/>
          <w:lang w:val="es-ES"/>
        </w:rPr>
        <w:t>: (i) su existencia, (</w:t>
      </w:r>
      <w:proofErr w:type="spellStart"/>
      <w:r w:rsidR="00491DBD" w:rsidRPr="003F6F57">
        <w:rPr>
          <w:sz w:val="24"/>
          <w:szCs w:val="24"/>
          <w:lang w:val="es-ES"/>
        </w:rPr>
        <w:t>ii</w:t>
      </w:r>
      <w:proofErr w:type="spellEnd"/>
      <w:r w:rsidR="00491DBD" w:rsidRPr="003F6F57">
        <w:rPr>
          <w:sz w:val="24"/>
          <w:szCs w:val="24"/>
          <w:lang w:val="es-ES"/>
        </w:rPr>
        <w:t>) su carácter desproporcionado y (</w:t>
      </w:r>
      <w:proofErr w:type="spellStart"/>
      <w:r w:rsidR="00491DBD" w:rsidRPr="003F6F57">
        <w:rPr>
          <w:sz w:val="24"/>
          <w:szCs w:val="24"/>
          <w:lang w:val="es-ES"/>
        </w:rPr>
        <w:t>iii</w:t>
      </w:r>
      <w:proofErr w:type="spellEnd"/>
      <w:r w:rsidR="00491DBD" w:rsidRPr="003F6F57">
        <w:rPr>
          <w:sz w:val="24"/>
          <w:szCs w:val="24"/>
          <w:lang w:val="es-ES"/>
        </w:rPr>
        <w:t>) su carácter arbitrario, para entender acreditado el requisito de relevancia constitucional</w:t>
      </w:r>
      <w:r w:rsidR="00491DBD">
        <w:rPr>
          <w:sz w:val="24"/>
          <w:szCs w:val="24"/>
        </w:rPr>
        <w:t xml:space="preserve">. Así, los argumentos aquí expuestos no explican de qué forma la autoridad cuestionada incurrió en un defecto por violación directa de la constitución por inobservancia del precedente jurisprudencial y que se traduzca en vulneración del derecho a la igualdad, dado que </w:t>
      </w:r>
      <w:r w:rsidR="00E17E4F">
        <w:rPr>
          <w:sz w:val="24"/>
          <w:szCs w:val="24"/>
        </w:rPr>
        <w:t xml:space="preserve">el accionante </w:t>
      </w:r>
      <w:r w:rsidR="00491DBD">
        <w:rPr>
          <w:sz w:val="24"/>
          <w:szCs w:val="24"/>
        </w:rPr>
        <w:t>no expuso la similitud de los asuntos a los que hizo referencia, con su caso, y de qué forma fueron inobservados. Por lo tanto, este cargo no cumple con la carga argumentativa requerida para abordar su estudio.</w:t>
      </w:r>
    </w:p>
    <w:p w:rsidR="00E11370" w:rsidRDefault="00E11370" w:rsidP="0081338F">
      <w:pPr>
        <w:rPr>
          <w:sz w:val="24"/>
          <w:szCs w:val="24"/>
        </w:rPr>
      </w:pPr>
    </w:p>
    <w:p w:rsidR="00E11370" w:rsidRDefault="002915D6" w:rsidP="00C94284">
      <w:pPr>
        <w:spacing w:after="240"/>
        <w:rPr>
          <w:sz w:val="24"/>
          <w:szCs w:val="24"/>
        </w:rPr>
      </w:pPr>
      <w:r>
        <w:rPr>
          <w:sz w:val="24"/>
          <w:szCs w:val="24"/>
        </w:rPr>
        <w:t xml:space="preserve">Finalmente es importante </w:t>
      </w:r>
      <w:r w:rsidR="00F05252">
        <w:rPr>
          <w:sz w:val="24"/>
          <w:szCs w:val="24"/>
        </w:rPr>
        <w:t>indicar</w:t>
      </w:r>
      <w:r>
        <w:rPr>
          <w:sz w:val="24"/>
          <w:szCs w:val="24"/>
        </w:rPr>
        <w:t xml:space="preserve"> que</w:t>
      </w:r>
      <w:r w:rsidR="00F05252">
        <w:rPr>
          <w:sz w:val="24"/>
          <w:szCs w:val="24"/>
        </w:rPr>
        <w:t>,</w:t>
      </w:r>
      <w:r>
        <w:rPr>
          <w:sz w:val="24"/>
          <w:szCs w:val="24"/>
        </w:rPr>
        <w:t xml:space="preserve"> revisado el </w:t>
      </w:r>
      <w:r w:rsidR="00662DF1">
        <w:rPr>
          <w:sz w:val="24"/>
          <w:szCs w:val="24"/>
        </w:rPr>
        <w:t xml:space="preserve">expediente </w:t>
      </w:r>
      <w:r>
        <w:rPr>
          <w:sz w:val="24"/>
          <w:szCs w:val="24"/>
        </w:rPr>
        <w:t xml:space="preserve">que contiene el trámite </w:t>
      </w:r>
      <w:r w:rsidR="00662DF1">
        <w:rPr>
          <w:sz w:val="24"/>
          <w:szCs w:val="24"/>
        </w:rPr>
        <w:t xml:space="preserve">del proceso ordinario, </w:t>
      </w:r>
      <w:r>
        <w:rPr>
          <w:sz w:val="24"/>
          <w:szCs w:val="24"/>
        </w:rPr>
        <w:t xml:space="preserve">no se observa actuación o pronunciamiento alguno del </w:t>
      </w:r>
      <w:r w:rsidR="00E11370">
        <w:rPr>
          <w:sz w:val="24"/>
          <w:szCs w:val="24"/>
        </w:rPr>
        <w:t xml:space="preserve">accionante </w:t>
      </w:r>
      <w:r>
        <w:rPr>
          <w:sz w:val="24"/>
          <w:szCs w:val="24"/>
        </w:rPr>
        <w:t>relacionada con los argumentos en que la UGPP sustentó la apelación,</w:t>
      </w:r>
      <w:r w:rsidR="00E11370">
        <w:rPr>
          <w:sz w:val="24"/>
          <w:szCs w:val="24"/>
        </w:rPr>
        <w:t xml:space="preserve"> de tal forma que sus inconformidades fueran consideradas por el juez natural del proceso al dictar el fallo, por lo que, la Sala no considera de recibo que sus cuestionamientos sean evaluados en esta </w:t>
      </w:r>
      <w:r w:rsidR="00D009C5">
        <w:rPr>
          <w:sz w:val="24"/>
          <w:szCs w:val="24"/>
        </w:rPr>
        <w:t>acción</w:t>
      </w:r>
      <w:r w:rsidR="00E11370">
        <w:rPr>
          <w:sz w:val="24"/>
          <w:szCs w:val="24"/>
        </w:rPr>
        <w:t xml:space="preserve"> constitucional </w:t>
      </w:r>
      <w:r w:rsidR="00DD6669">
        <w:rPr>
          <w:sz w:val="24"/>
          <w:szCs w:val="24"/>
        </w:rPr>
        <w:t xml:space="preserve">como si se tratara de una tercera instancia, </w:t>
      </w:r>
      <w:r w:rsidR="00E11370">
        <w:rPr>
          <w:sz w:val="24"/>
          <w:szCs w:val="24"/>
        </w:rPr>
        <w:t>cuando tuvo la oportunidad de plantearlos en el trámite del proceso ordinario</w:t>
      </w:r>
      <w:r w:rsidR="00E11370">
        <w:rPr>
          <w:rStyle w:val="Refdenotaalpie"/>
          <w:sz w:val="24"/>
          <w:szCs w:val="24"/>
        </w:rPr>
        <w:footnoteReference w:id="32"/>
      </w:r>
      <w:r w:rsidR="00E11370">
        <w:rPr>
          <w:sz w:val="24"/>
          <w:szCs w:val="24"/>
        </w:rPr>
        <w:t xml:space="preserve">. </w:t>
      </w:r>
    </w:p>
    <w:p w:rsidR="00BE44C9" w:rsidRPr="00BE44C9" w:rsidRDefault="00BF28CB" w:rsidP="00BE44C9">
      <w:pPr>
        <w:contextualSpacing/>
        <w:rPr>
          <w:rFonts w:eastAsia="Times New Roman"/>
          <w:sz w:val="24"/>
          <w:szCs w:val="24"/>
          <w:lang w:val="es-ES"/>
        </w:rPr>
      </w:pPr>
      <w:r>
        <w:rPr>
          <w:b/>
          <w:bCs/>
          <w:sz w:val="24"/>
          <w:szCs w:val="24"/>
          <w:lang w:val="es-ES_tradnl"/>
        </w:rPr>
        <w:t>2.</w:t>
      </w:r>
      <w:r w:rsidR="00BE44C9">
        <w:rPr>
          <w:b/>
          <w:bCs/>
          <w:sz w:val="24"/>
          <w:szCs w:val="24"/>
          <w:lang w:val="es-ES_tradnl"/>
        </w:rPr>
        <w:t>5</w:t>
      </w:r>
      <w:r>
        <w:rPr>
          <w:b/>
          <w:bCs/>
          <w:sz w:val="24"/>
          <w:szCs w:val="24"/>
          <w:lang w:val="es-ES_tradnl"/>
        </w:rPr>
        <w:t xml:space="preserve">. </w:t>
      </w:r>
      <w:r w:rsidR="002915D6">
        <w:rPr>
          <w:bCs/>
          <w:sz w:val="24"/>
          <w:szCs w:val="24"/>
          <w:lang w:val="es-ES_tradnl"/>
        </w:rPr>
        <w:t>L</w:t>
      </w:r>
      <w:r w:rsidR="002915D6">
        <w:rPr>
          <w:rFonts w:eastAsia="Times New Roman"/>
          <w:sz w:val="24"/>
          <w:szCs w:val="24"/>
        </w:rPr>
        <w:t xml:space="preserve">a </w:t>
      </w:r>
      <w:r w:rsidR="00BE44C9" w:rsidRPr="00BE44C9">
        <w:rPr>
          <w:rFonts w:eastAsia="Times New Roman"/>
          <w:sz w:val="24"/>
          <w:szCs w:val="24"/>
        </w:rPr>
        <w:t xml:space="preserve">acción de tutela fue concebida como un mecanismo de carácter excepcional, </w:t>
      </w:r>
      <w:r w:rsidR="00BE44C9" w:rsidRPr="00BE44C9">
        <w:rPr>
          <w:rFonts w:eastAsia="Times New Roman"/>
          <w:sz w:val="24"/>
          <w:szCs w:val="24"/>
          <w:lang w:val="es-ES"/>
        </w:rPr>
        <w:t xml:space="preserve">para evitar la amenaza o vulneración de un derecho constitucional fundamental y entre sus características se cuentan su naturaleza residual y subsidiaria, por lo que, su procedencia está limitada a determinar la vulneración de los derechos fundamentales invocados por la parte accionante respecto de una posible agresión proveniente de una autoridad judicial a partir de una decisión proferida por esta, sin que ello implique un nuevo estudio del caso o la constitución de un juicio ordinario, como si fuera una instancia adicional. </w:t>
      </w:r>
    </w:p>
    <w:p w:rsidR="002B56BC" w:rsidRDefault="002B56BC" w:rsidP="00990A72">
      <w:pPr>
        <w:overflowPunct w:val="0"/>
        <w:autoSpaceDE w:val="0"/>
        <w:autoSpaceDN w:val="0"/>
        <w:adjustRightInd w:val="0"/>
        <w:contextualSpacing/>
        <w:jc w:val="center"/>
        <w:rPr>
          <w:rFonts w:eastAsia="Verdana"/>
          <w:b/>
          <w:bCs/>
          <w:sz w:val="24"/>
          <w:szCs w:val="24"/>
        </w:rPr>
      </w:pPr>
    </w:p>
    <w:p w:rsidR="002B56BC" w:rsidRDefault="002B56BC" w:rsidP="00990A72">
      <w:pPr>
        <w:overflowPunct w:val="0"/>
        <w:autoSpaceDE w:val="0"/>
        <w:autoSpaceDN w:val="0"/>
        <w:adjustRightInd w:val="0"/>
        <w:contextualSpacing/>
        <w:jc w:val="center"/>
        <w:rPr>
          <w:rFonts w:eastAsia="Verdana"/>
          <w:b/>
          <w:bCs/>
          <w:sz w:val="24"/>
          <w:szCs w:val="24"/>
        </w:rPr>
      </w:pPr>
    </w:p>
    <w:p w:rsidR="00990A72" w:rsidRPr="00990A72" w:rsidRDefault="00990A72" w:rsidP="00990A72">
      <w:pPr>
        <w:overflowPunct w:val="0"/>
        <w:autoSpaceDE w:val="0"/>
        <w:autoSpaceDN w:val="0"/>
        <w:adjustRightInd w:val="0"/>
        <w:contextualSpacing/>
        <w:jc w:val="center"/>
        <w:rPr>
          <w:b/>
          <w:bCs/>
          <w:sz w:val="24"/>
          <w:szCs w:val="24"/>
          <w:lang w:val="es-ES_tradnl"/>
        </w:rPr>
      </w:pPr>
      <w:r>
        <w:rPr>
          <w:rFonts w:eastAsia="Verdana"/>
          <w:b/>
          <w:bCs/>
          <w:sz w:val="24"/>
          <w:szCs w:val="24"/>
        </w:rPr>
        <w:lastRenderedPageBreak/>
        <w:t>III.DECISIÓN</w:t>
      </w:r>
    </w:p>
    <w:p w:rsidR="00BF28CB" w:rsidRPr="00766FA2" w:rsidRDefault="00BF28CB" w:rsidP="00BF28CB">
      <w:pPr>
        <w:contextualSpacing/>
        <w:rPr>
          <w:sz w:val="24"/>
          <w:szCs w:val="24"/>
          <w:lang w:val="es-ES_tradnl"/>
        </w:rPr>
      </w:pPr>
    </w:p>
    <w:p w:rsidR="00BF28CB" w:rsidRPr="00766FA2" w:rsidRDefault="00BF28CB" w:rsidP="00BF28CB">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rsidR="00BF28CB" w:rsidRPr="00766FA2" w:rsidRDefault="00BF28CB" w:rsidP="00BF28CB">
      <w:pPr>
        <w:tabs>
          <w:tab w:val="left" w:pos="3109"/>
        </w:tabs>
        <w:rPr>
          <w:sz w:val="24"/>
          <w:szCs w:val="24"/>
        </w:rPr>
      </w:pPr>
    </w:p>
    <w:p w:rsidR="00DC2A3C" w:rsidRPr="00DC2A3C" w:rsidRDefault="00DC2A3C" w:rsidP="00DC2A3C">
      <w:pPr>
        <w:tabs>
          <w:tab w:val="left" w:pos="3109"/>
        </w:tabs>
        <w:jc w:val="center"/>
        <w:rPr>
          <w:b/>
          <w:sz w:val="24"/>
          <w:szCs w:val="24"/>
          <w:lang w:val="es-ES_tradnl"/>
        </w:rPr>
      </w:pPr>
      <w:r w:rsidRPr="00DC2A3C">
        <w:rPr>
          <w:b/>
          <w:sz w:val="24"/>
          <w:szCs w:val="24"/>
          <w:lang w:val="es-ES_tradnl"/>
        </w:rPr>
        <w:t>FALLA</w:t>
      </w:r>
    </w:p>
    <w:p w:rsidR="00DC2A3C" w:rsidRPr="00DC2A3C" w:rsidRDefault="00DC2A3C" w:rsidP="00DC2A3C">
      <w:pPr>
        <w:tabs>
          <w:tab w:val="left" w:pos="3109"/>
        </w:tabs>
        <w:rPr>
          <w:iCs/>
          <w:sz w:val="24"/>
          <w:szCs w:val="24"/>
          <w:lang w:val="es-ES_tradnl"/>
        </w:rPr>
      </w:pPr>
    </w:p>
    <w:p w:rsidR="00DC2A3C" w:rsidRPr="00BE44C9" w:rsidRDefault="00DC2A3C" w:rsidP="00DC2A3C">
      <w:pPr>
        <w:tabs>
          <w:tab w:val="left" w:pos="3109"/>
        </w:tabs>
        <w:rPr>
          <w:b/>
          <w:iCs/>
          <w:sz w:val="24"/>
          <w:szCs w:val="24"/>
        </w:rPr>
      </w:pPr>
      <w:r w:rsidRPr="00BE44C9">
        <w:rPr>
          <w:b/>
          <w:iCs/>
          <w:sz w:val="24"/>
          <w:szCs w:val="24"/>
        </w:rPr>
        <w:t xml:space="preserve">PRIMERO: DECLARAR IMPROCEDENTE </w:t>
      </w:r>
      <w:r w:rsidRPr="00BE44C9">
        <w:rPr>
          <w:iCs/>
          <w:sz w:val="24"/>
          <w:szCs w:val="24"/>
        </w:rPr>
        <w:t xml:space="preserve">la solicitud de amparo presentada por </w:t>
      </w:r>
      <w:r w:rsidR="00BE44C9" w:rsidRPr="00BE44C9">
        <w:rPr>
          <w:iCs/>
          <w:sz w:val="24"/>
          <w:szCs w:val="24"/>
        </w:rPr>
        <w:t>Raúl Cabrales Dávila</w:t>
      </w:r>
      <w:r w:rsidRPr="00BE44C9">
        <w:rPr>
          <w:iCs/>
          <w:sz w:val="24"/>
          <w:szCs w:val="24"/>
          <w:lang w:val="es-ES_tradnl"/>
        </w:rPr>
        <w:t xml:space="preserve"> </w:t>
      </w:r>
      <w:r w:rsidRPr="00BE44C9">
        <w:rPr>
          <w:iCs/>
          <w:sz w:val="24"/>
          <w:szCs w:val="24"/>
        </w:rPr>
        <w:t xml:space="preserve">en contra </w:t>
      </w:r>
      <w:r w:rsidR="0016217D" w:rsidRPr="00BE44C9">
        <w:rPr>
          <w:iCs/>
          <w:sz w:val="24"/>
          <w:szCs w:val="24"/>
        </w:rPr>
        <w:t>de la</w:t>
      </w:r>
      <w:r w:rsidR="001D128C" w:rsidRPr="00BE44C9">
        <w:rPr>
          <w:sz w:val="24"/>
          <w:szCs w:val="24"/>
          <w:lang w:val="es-ES"/>
        </w:rPr>
        <w:t xml:space="preserve"> Subsección </w:t>
      </w:r>
      <w:r w:rsidR="00BE44C9" w:rsidRPr="00BE44C9">
        <w:rPr>
          <w:sz w:val="24"/>
          <w:szCs w:val="24"/>
          <w:lang w:val="es-ES"/>
        </w:rPr>
        <w:t>B</w:t>
      </w:r>
      <w:r w:rsidR="001D128C" w:rsidRPr="00BE44C9">
        <w:rPr>
          <w:sz w:val="24"/>
          <w:szCs w:val="24"/>
          <w:lang w:val="es-ES"/>
        </w:rPr>
        <w:t xml:space="preserve"> de la Sección Segunda del Consejo de Estado</w:t>
      </w:r>
      <w:r w:rsidR="00B30110" w:rsidRPr="00BE44C9">
        <w:rPr>
          <w:iCs/>
          <w:sz w:val="24"/>
          <w:szCs w:val="24"/>
          <w:lang w:val="es-ES_tradnl"/>
        </w:rPr>
        <w:t xml:space="preserve">, </w:t>
      </w:r>
      <w:bookmarkStart w:id="4" w:name="_GoBack"/>
      <w:bookmarkEnd w:id="4"/>
      <w:r w:rsidR="00B100CE" w:rsidRPr="00BE44C9">
        <w:rPr>
          <w:iCs/>
          <w:sz w:val="24"/>
          <w:szCs w:val="24"/>
        </w:rPr>
        <w:t>por</w:t>
      </w:r>
      <w:r w:rsidRPr="00BE44C9">
        <w:rPr>
          <w:iCs/>
          <w:sz w:val="24"/>
          <w:szCs w:val="24"/>
        </w:rPr>
        <w:t xml:space="preserve"> los motivos expuestos en las consideraciones de esta providencia</w:t>
      </w:r>
    </w:p>
    <w:p w:rsidR="00DC2A3C" w:rsidRPr="00DC2A3C" w:rsidRDefault="00DC2A3C" w:rsidP="00DC2A3C">
      <w:pPr>
        <w:tabs>
          <w:tab w:val="left" w:pos="3109"/>
        </w:tabs>
        <w:rPr>
          <w:iCs/>
          <w:sz w:val="24"/>
          <w:szCs w:val="24"/>
        </w:rPr>
      </w:pPr>
    </w:p>
    <w:p w:rsidR="00DC2A3C" w:rsidRPr="00DC2A3C" w:rsidRDefault="00DC2A3C" w:rsidP="00DC2A3C">
      <w:pPr>
        <w:tabs>
          <w:tab w:val="left" w:pos="3109"/>
        </w:tabs>
        <w:rPr>
          <w:iCs/>
          <w:sz w:val="24"/>
          <w:szCs w:val="24"/>
        </w:rPr>
      </w:pPr>
      <w:r w:rsidRPr="00DC2A3C">
        <w:rPr>
          <w:b/>
          <w:iCs/>
          <w:sz w:val="24"/>
          <w:szCs w:val="24"/>
        </w:rPr>
        <w:t>SEGUNDO: NOTIFICAR</w:t>
      </w:r>
      <w:r w:rsidRPr="00DC2A3C">
        <w:rPr>
          <w:iCs/>
          <w:sz w:val="24"/>
          <w:szCs w:val="24"/>
        </w:rPr>
        <w:t xml:space="preserve"> a las partes e intervinientes en la forma prevista en el artículo 30 del Decreto Ley 2591 de 1991.</w:t>
      </w:r>
    </w:p>
    <w:p w:rsidR="00DC2A3C" w:rsidRPr="00DC2A3C" w:rsidRDefault="00DC2A3C" w:rsidP="00DC2A3C">
      <w:pPr>
        <w:tabs>
          <w:tab w:val="left" w:pos="3109"/>
        </w:tabs>
        <w:rPr>
          <w:iCs/>
          <w:sz w:val="24"/>
          <w:szCs w:val="24"/>
        </w:rPr>
      </w:pPr>
    </w:p>
    <w:p w:rsidR="00DC2A3C" w:rsidRPr="00DC2A3C" w:rsidRDefault="00662DF1" w:rsidP="00DC2A3C">
      <w:pPr>
        <w:tabs>
          <w:tab w:val="left" w:pos="3109"/>
        </w:tabs>
        <w:rPr>
          <w:iCs/>
          <w:sz w:val="24"/>
          <w:szCs w:val="24"/>
        </w:rPr>
      </w:pPr>
      <w:r>
        <w:rPr>
          <w:b/>
          <w:iCs/>
          <w:sz w:val="24"/>
          <w:szCs w:val="24"/>
        </w:rPr>
        <w:t>TERCERO</w:t>
      </w:r>
      <w:r w:rsidR="00DC2A3C" w:rsidRPr="00DC2A3C">
        <w:rPr>
          <w:b/>
          <w:iCs/>
          <w:sz w:val="24"/>
          <w:szCs w:val="24"/>
        </w:rPr>
        <w:t>: REMITIR</w:t>
      </w:r>
      <w:r w:rsidR="00DC2A3C" w:rsidRPr="00DC2A3C">
        <w:rPr>
          <w:iCs/>
          <w:sz w:val="24"/>
          <w:szCs w:val="24"/>
        </w:rPr>
        <w:t xml:space="preserve"> la presente providencia, si no fuere impugnada, a la Corte Constitucional para su eventual revisión.</w:t>
      </w:r>
    </w:p>
    <w:p w:rsidR="00DC2A3C" w:rsidRPr="00DC2A3C" w:rsidRDefault="00DC2A3C" w:rsidP="00DC2A3C">
      <w:pPr>
        <w:tabs>
          <w:tab w:val="left" w:pos="3109"/>
        </w:tabs>
        <w:rPr>
          <w:iCs/>
          <w:sz w:val="24"/>
          <w:szCs w:val="24"/>
        </w:rPr>
      </w:pPr>
    </w:p>
    <w:p w:rsidR="00DC2A3C" w:rsidRPr="00DC2A3C" w:rsidRDefault="00C94284" w:rsidP="00DC2A3C">
      <w:pPr>
        <w:tabs>
          <w:tab w:val="left" w:pos="3109"/>
        </w:tabs>
        <w:rPr>
          <w:b/>
          <w:iCs/>
          <w:sz w:val="24"/>
          <w:szCs w:val="24"/>
        </w:rPr>
      </w:pPr>
      <w:r w:rsidRPr="00DC2A3C">
        <w:rPr>
          <w:b/>
          <w:iCs/>
          <w:sz w:val="24"/>
          <w:szCs w:val="24"/>
        </w:rPr>
        <w:t>Notifíquese y cúmplase</w:t>
      </w:r>
      <w:r>
        <w:rPr>
          <w:b/>
          <w:iCs/>
          <w:sz w:val="24"/>
          <w:szCs w:val="24"/>
        </w:rPr>
        <w:t>,</w:t>
      </w:r>
    </w:p>
    <w:p w:rsidR="00DC2A3C" w:rsidRDefault="00DC2A3C" w:rsidP="00DC2A3C">
      <w:pPr>
        <w:tabs>
          <w:tab w:val="left" w:pos="3109"/>
        </w:tabs>
        <w:rPr>
          <w:b/>
          <w:iCs/>
          <w:sz w:val="24"/>
          <w:szCs w:val="24"/>
        </w:rPr>
      </w:pPr>
    </w:p>
    <w:p w:rsidR="00DC2A3C" w:rsidRPr="00DC2A3C" w:rsidRDefault="00DC2A3C" w:rsidP="00DC2A3C">
      <w:pPr>
        <w:tabs>
          <w:tab w:val="left" w:pos="3109"/>
        </w:tabs>
        <w:rPr>
          <w:iCs/>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NICOLÁS YEPES CORRALES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Presidente de Sala</w:t>
      </w:r>
    </w:p>
    <w:p w:rsidR="00DC2A3C" w:rsidRPr="00DC2A3C" w:rsidRDefault="00DC2A3C"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bCs/>
          <w:sz w:val="24"/>
          <w:szCs w:val="24"/>
          <w:lang w:val="es-ES"/>
        </w:rPr>
      </w:pPr>
      <w:r>
        <w:rPr>
          <w:b/>
          <w:bCs/>
          <w:sz w:val="24"/>
          <w:szCs w:val="24"/>
          <w:lang w:val="es-ES"/>
        </w:rPr>
        <w:t>JAIME ENRIQUE RODRÍGUEZ NAVAS</w:t>
      </w:r>
    </w:p>
    <w:p w:rsidR="00DC2A3C" w:rsidRPr="00DC2A3C" w:rsidRDefault="00DC2A3C" w:rsidP="00DC2A3C">
      <w:pPr>
        <w:tabs>
          <w:tab w:val="left" w:pos="3109"/>
        </w:tabs>
        <w:jc w:val="center"/>
        <w:rPr>
          <w:b/>
          <w:sz w:val="24"/>
          <w:szCs w:val="24"/>
          <w:lang w:val="es-ES_tradnl"/>
        </w:rPr>
      </w:pPr>
      <w:r w:rsidRPr="00DC2A3C">
        <w:rPr>
          <w:b/>
          <w:sz w:val="24"/>
          <w:szCs w:val="24"/>
          <w:lang w:val="es-ES_tradnl"/>
        </w:rPr>
        <w:t>Magistrado</w:t>
      </w:r>
    </w:p>
    <w:p w:rsidR="00DC2A3C" w:rsidRDefault="00DC2A3C" w:rsidP="00DC2A3C">
      <w:pPr>
        <w:tabs>
          <w:tab w:val="left" w:pos="3109"/>
        </w:tabs>
        <w:jc w:val="center"/>
        <w:rPr>
          <w:b/>
          <w:sz w:val="24"/>
          <w:szCs w:val="24"/>
          <w:lang w:val="es-ES_tradnl"/>
        </w:rPr>
      </w:pPr>
    </w:p>
    <w:p w:rsidR="004E30F5" w:rsidRDefault="004E30F5" w:rsidP="00DC2A3C">
      <w:pPr>
        <w:tabs>
          <w:tab w:val="left" w:pos="3109"/>
        </w:tabs>
        <w:jc w:val="center"/>
        <w:rPr>
          <w:b/>
          <w:sz w:val="24"/>
          <w:szCs w:val="24"/>
          <w:lang w:val="es-ES_tradnl"/>
        </w:rPr>
      </w:pPr>
    </w:p>
    <w:p w:rsidR="00DC2A3C" w:rsidRPr="00DC2A3C" w:rsidRDefault="00255568" w:rsidP="00DC2A3C">
      <w:pPr>
        <w:tabs>
          <w:tab w:val="left" w:pos="3109"/>
        </w:tabs>
        <w:jc w:val="center"/>
        <w:rPr>
          <w:b/>
          <w:sz w:val="24"/>
          <w:szCs w:val="24"/>
          <w:lang w:val="es-ES_tradnl"/>
        </w:rPr>
      </w:pPr>
      <w:r>
        <w:rPr>
          <w:b/>
          <w:sz w:val="24"/>
          <w:szCs w:val="24"/>
          <w:lang w:val="es-ES_tradnl"/>
        </w:rPr>
        <w:t>GUILLERMO SÁNCHEZ LUQUE</w:t>
      </w:r>
    </w:p>
    <w:p w:rsidR="00E425BA" w:rsidRDefault="00DC2A3C" w:rsidP="00DC2A3C">
      <w:pPr>
        <w:tabs>
          <w:tab w:val="left" w:pos="3109"/>
        </w:tabs>
        <w:jc w:val="center"/>
        <w:rPr>
          <w:b/>
          <w:sz w:val="24"/>
          <w:szCs w:val="24"/>
          <w:lang w:val="es-ES_tradnl"/>
        </w:rPr>
      </w:pPr>
      <w:r w:rsidRPr="00DC2A3C">
        <w:rPr>
          <w:b/>
          <w:sz w:val="24"/>
          <w:szCs w:val="24"/>
          <w:lang w:val="es-ES_tradnl"/>
        </w:rPr>
        <w:t>Magistrado</w:t>
      </w:r>
    </w:p>
    <w:p w:rsidR="009B77BE" w:rsidRDefault="00124396" w:rsidP="00DC2A3C">
      <w:pPr>
        <w:tabs>
          <w:tab w:val="left" w:pos="3109"/>
        </w:tabs>
        <w:jc w:val="center"/>
        <w:rPr>
          <w:b/>
          <w:sz w:val="24"/>
          <w:szCs w:val="24"/>
          <w:lang w:val="es-ES_tradnl"/>
        </w:rPr>
      </w:pPr>
      <w:r w:rsidRPr="00124396">
        <w:rPr>
          <w:b/>
          <w:sz w:val="24"/>
          <w:szCs w:val="24"/>
        </w:rPr>
        <w:t>Aclaración de voto Cfr. Rad. 11001-03-15-000-2019-01299-00</w:t>
      </w:r>
    </w:p>
    <w:p w:rsidR="00124396" w:rsidRDefault="00124396" w:rsidP="009B77BE">
      <w:pPr>
        <w:tabs>
          <w:tab w:val="left" w:pos="3109"/>
        </w:tabs>
        <w:jc w:val="left"/>
        <w:rPr>
          <w:bCs/>
          <w:i/>
          <w:iCs/>
          <w:sz w:val="18"/>
          <w:szCs w:val="18"/>
          <w:lang w:val="es-ES_tradnl"/>
        </w:rPr>
      </w:pPr>
    </w:p>
    <w:p w:rsidR="00124396" w:rsidRDefault="00124396" w:rsidP="009B77BE">
      <w:pPr>
        <w:tabs>
          <w:tab w:val="left" w:pos="3109"/>
        </w:tabs>
        <w:jc w:val="left"/>
        <w:rPr>
          <w:bCs/>
          <w:i/>
          <w:iCs/>
          <w:sz w:val="18"/>
          <w:szCs w:val="18"/>
          <w:lang w:val="es-ES_tradnl"/>
        </w:rPr>
      </w:pPr>
    </w:p>
    <w:p w:rsidR="009B77BE" w:rsidRPr="00C94284" w:rsidRDefault="009B77BE" w:rsidP="009B77BE">
      <w:pPr>
        <w:tabs>
          <w:tab w:val="left" w:pos="3109"/>
        </w:tabs>
        <w:jc w:val="left"/>
        <w:rPr>
          <w:bCs/>
          <w:iCs/>
          <w:szCs w:val="18"/>
          <w:lang w:val="es-ES_tradnl"/>
        </w:rPr>
      </w:pPr>
      <w:r w:rsidRPr="00C94284">
        <w:rPr>
          <w:bCs/>
          <w:iCs/>
          <w:szCs w:val="18"/>
          <w:lang w:val="es-ES_tradnl"/>
        </w:rPr>
        <w:t>DSR</w:t>
      </w:r>
    </w:p>
    <w:sectPr w:rsidR="009B77BE" w:rsidRPr="00C94284" w:rsidSect="00B6429B">
      <w:headerReference w:type="default" r:id="rId13"/>
      <w:footerReference w:type="default" r:id="rId14"/>
      <w:headerReference w:type="first" r:id="rId15"/>
      <w:footerReference w:type="first" r:id="rId16"/>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20" w:rsidRDefault="00AD0620" w:rsidP="00117091">
      <w:r>
        <w:separator/>
      </w:r>
    </w:p>
  </w:endnote>
  <w:endnote w:type="continuationSeparator" w:id="0">
    <w:p w:rsidR="00AD0620" w:rsidRDefault="00AD062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CF138B" w:rsidRPr="00CF138B">
            <w:rPr>
              <w:noProof/>
              <w:lang w:val="es-ES"/>
            </w:rPr>
            <w:t>2</w:t>
          </w:r>
          <w:r w:rsidRPr="00B6429B">
            <w:fldChar w:fldCharType="end"/>
          </w:r>
        </w:p>
      </w:tc>
    </w:tr>
  </w:tbl>
  <w:p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7668" w:rsidTr="00B6429B">
      <w:trPr>
        <w:jc w:val="right"/>
      </w:trPr>
      <w:tc>
        <w:tcPr>
          <w:tcW w:w="4795" w:type="dxa"/>
          <w:vAlign w:val="center"/>
        </w:tcPr>
        <w:p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CF138B" w:rsidRPr="00CF138B">
            <w:rPr>
              <w:noProof/>
              <w:lang w:val="es-ES"/>
            </w:rPr>
            <w:t>1</w:t>
          </w:r>
          <w:r w:rsidRPr="00B6429B">
            <w:fldChar w:fldCharType="end"/>
          </w:r>
        </w:p>
      </w:tc>
    </w:tr>
  </w:tbl>
  <w:p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20" w:rsidRDefault="00AD0620" w:rsidP="00117091">
      <w:r>
        <w:separator/>
      </w:r>
    </w:p>
  </w:footnote>
  <w:footnote w:type="continuationSeparator" w:id="0">
    <w:p w:rsidR="00AD0620" w:rsidRDefault="00AD0620" w:rsidP="00117091">
      <w:r>
        <w:continuationSeparator/>
      </w:r>
    </w:p>
  </w:footnote>
  <w:footnote w:id="1">
    <w:p w:rsidR="00F5767C" w:rsidRDefault="00F5767C" w:rsidP="00F5767C">
      <w:pPr>
        <w:pStyle w:val="Textonotapie"/>
      </w:pPr>
      <w:r>
        <w:rPr>
          <w:rStyle w:val="Refdenotaalpie"/>
        </w:rPr>
        <w:footnoteRef/>
      </w:r>
      <w:r>
        <w:t xml:space="preserve"> Folio 1 del archivo electrónico ubicado en el índice 2 del aplicativo SAMAI, identificado con certificado:</w:t>
      </w:r>
      <w:r w:rsidRPr="00F5767C">
        <w:rPr>
          <w:rFonts w:eastAsia="Times New Roman"/>
          <w:sz w:val="24"/>
          <w:szCs w:val="24"/>
        </w:rPr>
        <w:t xml:space="preserve"> </w:t>
      </w:r>
      <w:r w:rsidRPr="00F5767C">
        <w:t>B48374E1CFAE6767 CC6796B996A987D0 5EFB3A49036DFBA7 45E7D770965DF9CC</w:t>
      </w:r>
      <w:r>
        <w:t>.</w:t>
      </w:r>
    </w:p>
  </w:footnote>
  <w:footnote w:id="2">
    <w:p w:rsidR="00D52648" w:rsidRDefault="00D52648" w:rsidP="00A02E90">
      <w:pPr>
        <w:pStyle w:val="Textonotapie"/>
      </w:pPr>
      <w:r>
        <w:rPr>
          <w:rStyle w:val="Refdenotaalpie"/>
        </w:rPr>
        <w:footnoteRef/>
      </w:r>
      <w:r>
        <w:t xml:space="preserve"> </w:t>
      </w:r>
      <w:r w:rsidR="00815063">
        <w:t>Ar</w:t>
      </w:r>
      <w:r>
        <w:t>chivo electrónico</w:t>
      </w:r>
      <w:r w:rsidR="00815063">
        <w:t xml:space="preserve"> ubicado en el índice 2 del aplicativo SAMAI</w:t>
      </w:r>
      <w:r w:rsidR="00D82B1F">
        <w:t xml:space="preserve">, </w:t>
      </w:r>
      <w:r>
        <w:t>identificado con certificado:</w:t>
      </w:r>
      <w:r w:rsidR="003603AD" w:rsidRPr="003603AD">
        <w:t xml:space="preserve"> </w:t>
      </w:r>
      <w:r w:rsidR="00815063" w:rsidRPr="00815063">
        <w:t>0D9A89EABA1AD2C9 92F9F1F719B76929 0619AAB35E173895 D6327B5E5F5E6BC9</w:t>
      </w:r>
      <w:r w:rsidR="00815063">
        <w:t>.</w:t>
      </w:r>
    </w:p>
  </w:footnote>
  <w:footnote w:id="3">
    <w:p w:rsidR="00206DE1" w:rsidRDefault="00206DE1">
      <w:pPr>
        <w:pStyle w:val="Textonotapie"/>
      </w:pPr>
      <w:r>
        <w:rPr>
          <w:rStyle w:val="Refdenotaalpie"/>
        </w:rPr>
        <w:footnoteRef/>
      </w:r>
      <w:r>
        <w:t xml:space="preserve"> Consejo de Estado, sentencia del 7 de diciembre de 2016, expediente 25000-23-42-000-2013-04645-01(3793-14).</w:t>
      </w:r>
    </w:p>
  </w:footnote>
  <w:footnote w:id="4">
    <w:p w:rsidR="002E61F8" w:rsidRDefault="002E61F8">
      <w:pPr>
        <w:pStyle w:val="Textonotapie"/>
      </w:pPr>
      <w:r>
        <w:rPr>
          <w:rStyle w:val="Refdenotaalpie"/>
        </w:rPr>
        <w:footnoteRef/>
      </w:r>
      <w:r>
        <w:t xml:space="preserve"> Página </w:t>
      </w:r>
      <w:r w:rsidR="000E77E1">
        <w:t>20</w:t>
      </w:r>
      <w:r>
        <w:t xml:space="preserve"> </w:t>
      </w:r>
      <w:r w:rsidR="00B2524B">
        <w:t>del archivo electrónico</w:t>
      </w:r>
      <w:r w:rsidR="000E77E1">
        <w:t xml:space="preserve"> ubicado en el índice 2 del aplicativo SAMAI, identificad</w:t>
      </w:r>
      <w:r w:rsidR="00B2524B">
        <w:t>o con certificado:</w:t>
      </w:r>
      <w:r w:rsidR="000E77E1" w:rsidRPr="000E77E1">
        <w:t xml:space="preserve"> </w:t>
      </w:r>
      <w:r w:rsidR="000E77E1" w:rsidRPr="00815063">
        <w:t>0D9A89EABA1AD2C9 92F9F1F719B76929 0619AAB35E173895 D6327B5E5F5E6BC9</w:t>
      </w:r>
      <w:r w:rsidR="00B2524B">
        <w:t xml:space="preserve">. </w:t>
      </w:r>
      <w:r w:rsidR="00B2524B" w:rsidRPr="00B2524B">
        <w:t>Esta es una trascripción literal. Los errores, erratas, mayúsculas y énfasis forman parte del texto original.</w:t>
      </w:r>
    </w:p>
  </w:footnote>
  <w:footnote w:id="5">
    <w:p w:rsidR="00A17065" w:rsidRDefault="00A17065">
      <w:pPr>
        <w:pStyle w:val="Textonotapie"/>
      </w:pPr>
      <w:r>
        <w:rPr>
          <w:rStyle w:val="Refdenotaalpie"/>
        </w:rPr>
        <w:footnoteRef/>
      </w:r>
      <w:r>
        <w:t xml:space="preserve"> Archivo electrónico ubicado en el índice 2 del aplicativo SAMAI, identificado con certificado: </w:t>
      </w:r>
      <w:r w:rsidRPr="00A17065">
        <w:t>1B543499DA14BF9D 21951DCF3B9566D1 7F5F45378E048D16 E4A4374C1FDB3687</w:t>
      </w:r>
      <w:r>
        <w:t>.</w:t>
      </w:r>
    </w:p>
  </w:footnote>
  <w:footnote w:id="6">
    <w:p w:rsidR="006332F4" w:rsidRDefault="006332F4">
      <w:pPr>
        <w:pStyle w:val="Textonotapie"/>
      </w:pPr>
      <w:r>
        <w:rPr>
          <w:rStyle w:val="Refdenotaalpie"/>
        </w:rPr>
        <w:footnoteRef/>
      </w:r>
      <w:r>
        <w:t xml:space="preserve"> Folios 2 y 3 del archivo electrónico ubicado en el índice 2 del aplicativo SAMAI, identificado con certificado: </w:t>
      </w:r>
      <w:r w:rsidRPr="006332F4">
        <w:t>B543499DA14BF9D 21951DCF3B9566D1 7F5F45378E048D16 E4A4374C1FDB3687</w:t>
      </w:r>
      <w:r>
        <w:t>.</w:t>
      </w:r>
    </w:p>
  </w:footnote>
  <w:footnote w:id="7">
    <w:p w:rsidR="00D43033" w:rsidRDefault="00D43033">
      <w:pPr>
        <w:pStyle w:val="Textonotapie"/>
      </w:pPr>
      <w:r>
        <w:rPr>
          <w:rStyle w:val="Refdenotaalpie"/>
        </w:rPr>
        <w:footnoteRef/>
      </w:r>
      <w:r>
        <w:t xml:space="preserve"> Al respecto la Subsección citó apartes de las sentencias del 17 de noviembre de 2016, expediente 2114-2016, del 1 de diciembre de 2016, expediente 0783-14 y del 14 de septiembre de 2017, expediente 0071-14.</w:t>
      </w:r>
      <w:r w:rsidR="00D368A1">
        <w:t xml:space="preserve"> Folios 1 y 12 del archivo electrónico que contiene la sentencia objeto de tutela, ubicado en el índice 2 del aplicativo SAMAI, identificado con certificado </w:t>
      </w:r>
      <w:r w:rsidR="00D368A1" w:rsidRPr="00D368A1">
        <w:t>1B543499DA14BF9D 21951DCF3B9566D1 7F5F45378E048D16 E4A4374C1FDB3687</w:t>
      </w:r>
      <w:r w:rsidR="00D368A1">
        <w:t>.</w:t>
      </w:r>
    </w:p>
  </w:footnote>
  <w:footnote w:id="8">
    <w:p w:rsidR="009F77E0" w:rsidRDefault="009F77E0" w:rsidP="00A02E90">
      <w:pPr>
        <w:pStyle w:val="Textonotapie"/>
      </w:pPr>
      <w:r>
        <w:rPr>
          <w:rStyle w:val="Refdenotaalpie"/>
        </w:rPr>
        <w:footnoteRef/>
      </w:r>
      <w:r>
        <w:t xml:space="preserve">  </w:t>
      </w:r>
      <w:r w:rsidR="00FC758A">
        <w:t xml:space="preserve">Folio </w:t>
      </w:r>
      <w:r w:rsidR="00FE1D35">
        <w:t>28</w:t>
      </w:r>
      <w:r w:rsidR="00485087">
        <w:t xml:space="preserve"> del archivo electrónico que contiene el escrito de tutela</w:t>
      </w:r>
      <w:r w:rsidR="00FE1D35">
        <w:t>, ubicado en el índice 2 del aplicativo SAMAI</w:t>
      </w:r>
      <w:r w:rsidR="00485087">
        <w:t>, identificado con certificado:</w:t>
      </w:r>
      <w:r w:rsidR="00FE1D35" w:rsidRPr="00FE1D35">
        <w:t xml:space="preserve"> D78BB5912101AADC BF77DF310BE82F96 C55BAA62C764D7E3 B2F4CD6CA42BF296</w:t>
      </w:r>
      <w:r w:rsidR="00485087">
        <w:t>.</w:t>
      </w:r>
    </w:p>
  </w:footnote>
  <w:footnote w:id="9">
    <w:p w:rsidR="00FC758A" w:rsidRDefault="00FC758A">
      <w:pPr>
        <w:pStyle w:val="Textonotapie"/>
      </w:pPr>
      <w:r>
        <w:rPr>
          <w:rStyle w:val="Refdenotaalpie"/>
        </w:rPr>
        <w:footnoteRef/>
      </w:r>
      <w:r>
        <w:t xml:space="preserve"> Folio 4 del archivo electrónico que contiene el escrito de tutela, ubicado en el índice 2 del aplicativo SAMAI, identificado con certificado:</w:t>
      </w:r>
      <w:r w:rsidRPr="00FE1D35">
        <w:t xml:space="preserve"> D78BB5912101AADC BF77DF310BE82F96 C55BAA62C764D7E3 B2F4CD6CA42BF296</w:t>
      </w:r>
      <w:r>
        <w:t>.</w:t>
      </w:r>
      <w:r w:rsidRPr="00FC758A">
        <w:t xml:space="preserve"> Esta es una trascripción literal. Los errores, erratas, mayúsculas y énfasis forman parte del texto original.</w:t>
      </w:r>
    </w:p>
  </w:footnote>
  <w:footnote w:id="10">
    <w:p w:rsidR="00FC758A" w:rsidRDefault="00FC758A">
      <w:pPr>
        <w:pStyle w:val="Textonotapie"/>
      </w:pPr>
      <w:r>
        <w:rPr>
          <w:rStyle w:val="Refdenotaalpie"/>
        </w:rPr>
        <w:footnoteRef/>
      </w:r>
      <w:r>
        <w:t xml:space="preserve"> Ibid.</w:t>
      </w:r>
    </w:p>
  </w:footnote>
  <w:footnote w:id="11">
    <w:p w:rsidR="00E87218" w:rsidRDefault="00E87218">
      <w:pPr>
        <w:pStyle w:val="Textonotapie"/>
      </w:pPr>
      <w:r>
        <w:rPr>
          <w:rStyle w:val="Refdenotaalpie"/>
        </w:rPr>
        <w:footnoteRef/>
      </w:r>
      <w:r>
        <w:t xml:space="preserve"> Folio 5 del archivo electrónico que contiene el escrito de tutela, ubicado en el índice 2 del aplicativo SAMAI, identificado con certificado </w:t>
      </w:r>
      <w:r w:rsidRPr="00E87218">
        <w:t>D78BB5912101AADC BF77DF310BE82F96 C55BAA62C764D7E3 B2F4CD6CA42BF296</w:t>
      </w:r>
      <w:r>
        <w:t>.</w:t>
      </w:r>
      <w:r w:rsidR="007D6985">
        <w:t xml:space="preserve"> </w:t>
      </w:r>
      <w:r w:rsidR="007D6985" w:rsidRPr="007D6985">
        <w:t>Esta es una trascripción literal. Los errores, erratas, mayúsculas y énfasis forman parte del texto original.</w:t>
      </w:r>
    </w:p>
  </w:footnote>
  <w:footnote w:id="12">
    <w:p w:rsidR="00A80CA2" w:rsidRDefault="00A80CA2" w:rsidP="00A02E90">
      <w:pPr>
        <w:pStyle w:val="Textonotapie"/>
      </w:pPr>
      <w:r w:rsidRPr="00A80CA2">
        <w:rPr>
          <w:rStyle w:val="Refdenotaalpie"/>
        </w:rPr>
        <w:footnoteRef/>
      </w:r>
      <w:r w:rsidRPr="00A80CA2">
        <w:t xml:space="preserve"> Archivo electrónico</w:t>
      </w:r>
      <w:r w:rsidR="00C16053">
        <w:t xml:space="preserve"> ubicado en el índice 4 del aplicativo SAMAI</w:t>
      </w:r>
      <w:r w:rsidRPr="00A80CA2">
        <w:t>, identificado con certificado</w:t>
      </w:r>
      <w:r w:rsidR="00A1204A">
        <w:t>:</w:t>
      </w:r>
      <w:r w:rsidR="00C16053" w:rsidRPr="00C16053">
        <w:t xml:space="preserve"> B40648E6C9490351 B60F8A6D2C4D599B E7FA0891BBD40238 C7FBFB8101E0F63F</w:t>
      </w:r>
      <w:r w:rsidR="00A77C28">
        <w:t>.</w:t>
      </w:r>
    </w:p>
  </w:footnote>
  <w:footnote w:id="13">
    <w:p w:rsidR="00B13072" w:rsidRDefault="00B13072" w:rsidP="00B13072">
      <w:pPr>
        <w:pStyle w:val="Textonotapie"/>
      </w:pPr>
      <w:r>
        <w:rPr>
          <w:rStyle w:val="Refdenotaalpie"/>
        </w:rPr>
        <w:footnoteRef/>
      </w:r>
      <w:r>
        <w:t xml:space="preserve"> Archivo</w:t>
      </w:r>
      <w:r w:rsidR="009807CF">
        <w:t>s</w:t>
      </w:r>
      <w:r>
        <w:t xml:space="preserve"> electrónico</w:t>
      </w:r>
      <w:r w:rsidR="009807CF">
        <w:t>s ubicados en el índice 12 del aplicativo SAMAI,</w:t>
      </w:r>
      <w:r>
        <w:t xml:space="preserve"> identificado</w:t>
      </w:r>
      <w:r w:rsidR="009807CF">
        <w:t>s</w:t>
      </w:r>
      <w:r>
        <w:t xml:space="preserve"> con certificado</w:t>
      </w:r>
      <w:r w:rsidR="009807CF">
        <w:t>s</w:t>
      </w:r>
      <w:r>
        <w:t>:</w:t>
      </w:r>
      <w:r w:rsidR="009807CF" w:rsidRPr="009807CF">
        <w:t xml:space="preserve"> 5F88814B857FDEA6 FD67E0373D444ADA BD5D961A7E7C47A8 F2CBC93A53DD307F</w:t>
      </w:r>
      <w:r w:rsidR="009807CF">
        <w:t xml:space="preserve">, </w:t>
      </w:r>
      <w:r w:rsidR="009807CF" w:rsidRPr="009807CF">
        <w:t>9983226C85203234 0A671A29A899BDB2 2A092B01F9F06DE5 66C32AB8417DD858</w:t>
      </w:r>
      <w:r w:rsidR="009807CF">
        <w:t xml:space="preserve">, </w:t>
      </w:r>
      <w:r w:rsidR="009807CF" w:rsidRPr="009807CF">
        <w:t>FDD7A6607D774E9D FEB5E75F724C1E09 58ECED480EA0598D ADE3EB29AC62C797</w:t>
      </w:r>
      <w:r w:rsidR="009807CF">
        <w:t xml:space="preserve"> y </w:t>
      </w:r>
      <w:r w:rsidR="009807CF" w:rsidRPr="009807CF">
        <w:t>2FE73652D8308BD0 DED5236FC8DC8BAB F1AA20B556BB848A A0EE286A0DD9BA19</w:t>
      </w:r>
      <w:r>
        <w:t>.</w:t>
      </w:r>
    </w:p>
  </w:footnote>
  <w:footnote w:id="14">
    <w:p w:rsidR="00B13072" w:rsidRDefault="00B13072">
      <w:pPr>
        <w:pStyle w:val="Textonotapie"/>
      </w:pPr>
      <w:r>
        <w:rPr>
          <w:rStyle w:val="Refdenotaalpie"/>
        </w:rPr>
        <w:footnoteRef/>
      </w:r>
      <w:r>
        <w:t xml:space="preserve"> </w:t>
      </w:r>
      <w:r w:rsidRPr="00A80CA2">
        <w:t>Archivo</w:t>
      </w:r>
      <w:r w:rsidR="00C447F1">
        <w:t>s</w:t>
      </w:r>
      <w:r w:rsidRPr="00A80CA2">
        <w:t xml:space="preserve"> electrónico</w:t>
      </w:r>
      <w:r w:rsidR="00C447F1">
        <w:t>s ubicados en el índice 15 del aplicativo SAMAI</w:t>
      </w:r>
      <w:r w:rsidRPr="00A80CA2">
        <w:t>, identificado</w:t>
      </w:r>
      <w:r w:rsidR="00C447F1">
        <w:t>s</w:t>
      </w:r>
      <w:r w:rsidRPr="00A80CA2">
        <w:t xml:space="preserve"> con certificado</w:t>
      </w:r>
      <w:r w:rsidR="00C447F1">
        <w:t>s</w:t>
      </w:r>
      <w:r>
        <w:t xml:space="preserve">: </w:t>
      </w:r>
      <w:r w:rsidR="00C447F1" w:rsidRPr="00C447F1">
        <w:t>1AACF70E21C2952F A1F72D55FD77738B CC4204825DCBFB46 7285E69ED71D1850</w:t>
      </w:r>
      <w:r w:rsidR="00C447F1">
        <w:t xml:space="preserve">, </w:t>
      </w:r>
      <w:r w:rsidR="00C447F1" w:rsidRPr="00C447F1">
        <w:t>19A8B2010FF1B485 1326660E38DF1585 9CF2D5954E7C6651 5DA24A17D57FC9FB</w:t>
      </w:r>
      <w:r w:rsidR="00C447F1">
        <w:t xml:space="preserve">, </w:t>
      </w:r>
      <w:r w:rsidR="00C447F1" w:rsidRPr="00C447F1">
        <w:t>1FD444EB6D54DB25 FEA26238F99E304C 2E4C7E5DF2CDC819 77CE0A8209D1B8BB</w:t>
      </w:r>
      <w:r w:rsidR="00C447F1">
        <w:t xml:space="preserve">, </w:t>
      </w:r>
      <w:r w:rsidR="00C447F1" w:rsidRPr="00C447F1">
        <w:t>89FA64EBDBBC9C05 42046AFB734768D3 EEF495DD8D3BB1E8 A39D8784A91113E0</w:t>
      </w:r>
      <w:r w:rsidR="00C447F1">
        <w:t xml:space="preserve"> y </w:t>
      </w:r>
      <w:r w:rsidR="00C447F1" w:rsidRPr="00C447F1">
        <w:t>7137F559191DF52A 3A62247FF483AE83 E14391C50405C21C 388D6DC5A80D1E39</w:t>
      </w:r>
      <w:r w:rsidR="00C447F1">
        <w:t>.</w:t>
      </w:r>
    </w:p>
  </w:footnote>
  <w:footnote w:id="15">
    <w:p w:rsidR="00EF6474" w:rsidRDefault="00EF6474">
      <w:pPr>
        <w:pStyle w:val="Textonotapie"/>
      </w:pPr>
      <w:r>
        <w:rPr>
          <w:rStyle w:val="Refdenotaalpie"/>
        </w:rPr>
        <w:footnoteRef/>
      </w:r>
      <w:r>
        <w:t xml:space="preserve"> Archivos electrónicos ubicados en el índice 7 del aplicativo SAMAI, identificados con certificados </w:t>
      </w:r>
      <w:r w:rsidRPr="00EF6474">
        <w:t>17C512F9C9414B2C 1A02F9466A52FCD1 954BC081DC79BA20 D07CC4EF7236CD32</w:t>
      </w:r>
      <w:r>
        <w:t xml:space="preserve"> y </w:t>
      </w:r>
      <w:r w:rsidRPr="00EF6474">
        <w:t>7EDB2EE9D395FF79 8698C6C70AE4EAEE D8285693738AC6AE B9CAF5BB0A99EB64</w:t>
      </w:r>
      <w:r>
        <w:t xml:space="preserve">. Ver también archivo electrónico ubicado en el índice 16 del aplicativo SAMAI, identificado con certificado: </w:t>
      </w:r>
      <w:r w:rsidRPr="00EF6474">
        <w:t>C697D4873318A984 8E2AF838CB5EC1D2 5888B8A4760E8366 23094D3C293D21FB</w:t>
      </w:r>
      <w:r>
        <w:t>.</w:t>
      </w:r>
    </w:p>
  </w:footnote>
  <w:footnote w:id="16">
    <w:p w:rsidR="00487668" w:rsidRPr="00D275E3" w:rsidRDefault="00487668" w:rsidP="00D275E3">
      <w:pPr>
        <w:rPr>
          <w:sz w:val="20"/>
          <w:szCs w:val="20"/>
        </w:rPr>
      </w:pPr>
      <w:r w:rsidRPr="00D275E3">
        <w:rPr>
          <w:rStyle w:val="Refdenotaalpie"/>
          <w:sz w:val="20"/>
          <w:szCs w:val="20"/>
        </w:rPr>
        <w:footnoteRef/>
      </w:r>
      <w:r w:rsidRPr="00D275E3">
        <w:rPr>
          <w:sz w:val="20"/>
          <w:szCs w:val="20"/>
        </w:rPr>
        <w:t xml:space="preserve"> </w:t>
      </w:r>
      <w:r w:rsidRPr="00D275E3">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D275E3">
        <w:rPr>
          <w:rFonts w:eastAsia="Times New Roman"/>
          <w:bCs/>
          <w:sz w:val="20"/>
          <w:szCs w:val="20"/>
          <w:lang w:eastAsia="es-ES"/>
        </w:rPr>
        <w:t>ii</w:t>
      </w:r>
      <w:proofErr w:type="spellEnd"/>
      <w:r w:rsidRPr="00D275E3">
        <w:rPr>
          <w:rFonts w:eastAsia="Times New Roman"/>
          <w:bCs/>
          <w:sz w:val="20"/>
          <w:szCs w:val="20"/>
          <w:lang w:eastAsia="es-ES"/>
        </w:rPr>
        <w:t>) que en la solicitud de tutela se expresen de manera clara los hechos y los fundamentos de la afectación de derechos que se imputa a la decisión judicial; (</w:t>
      </w:r>
      <w:proofErr w:type="spellStart"/>
      <w:r w:rsidRPr="00D275E3">
        <w:rPr>
          <w:rFonts w:eastAsia="Times New Roman"/>
          <w:bCs/>
          <w:sz w:val="20"/>
          <w:szCs w:val="20"/>
          <w:lang w:eastAsia="es-ES"/>
        </w:rPr>
        <w:t>iii</w:t>
      </w:r>
      <w:proofErr w:type="spellEnd"/>
      <w:r w:rsidRPr="00D275E3">
        <w:rPr>
          <w:rFonts w:eastAsia="Times New Roman"/>
          <w:bCs/>
          <w:sz w:val="20"/>
          <w:szCs w:val="20"/>
          <w:lang w:eastAsia="es-ES"/>
        </w:rPr>
        <w:t>) que la cuestión que se discute tenga relevancia constitucional; (</w:t>
      </w:r>
      <w:proofErr w:type="spellStart"/>
      <w:r w:rsidRPr="00D275E3">
        <w:rPr>
          <w:rFonts w:eastAsia="Times New Roman"/>
          <w:bCs/>
          <w:sz w:val="20"/>
          <w:szCs w:val="20"/>
          <w:lang w:eastAsia="es-ES"/>
        </w:rPr>
        <w:t>iv</w:t>
      </w:r>
      <w:proofErr w:type="spellEnd"/>
      <w:r w:rsidRPr="00D275E3">
        <w:rPr>
          <w:rFonts w:eastAsia="Times New Roman"/>
          <w:bCs/>
          <w:sz w:val="20"/>
          <w:szCs w:val="20"/>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D275E3">
        <w:rPr>
          <w:rFonts w:eastAsia="Times New Roman"/>
          <w:bCs/>
          <w:sz w:val="20"/>
          <w:szCs w:val="20"/>
          <w:lang w:eastAsia="es-ES"/>
        </w:rPr>
        <w:t>vii</w:t>
      </w:r>
      <w:proofErr w:type="spellEnd"/>
      <w:r w:rsidRPr="00D275E3">
        <w:rPr>
          <w:rFonts w:eastAsia="Times New Roman"/>
          <w:bCs/>
          <w:sz w:val="20"/>
          <w:szCs w:val="20"/>
          <w:lang w:eastAsia="es-ES"/>
        </w:rPr>
        <w:t>) no procede elevar una solicitud de amparo contra decisiones proferidas dentro de procesos de tutela.</w:t>
      </w:r>
    </w:p>
  </w:footnote>
  <w:footnote w:id="17">
    <w:p w:rsidR="00487668" w:rsidRPr="00D275E3" w:rsidRDefault="00487668" w:rsidP="00D275E3">
      <w:pPr>
        <w:pStyle w:val="Textonotapie"/>
      </w:pPr>
      <w:r w:rsidRPr="00D275E3">
        <w:rPr>
          <w:rStyle w:val="Refdenotaalpie"/>
        </w:rPr>
        <w:footnoteRef/>
      </w:r>
      <w:r w:rsidRPr="00D275E3">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w:t>
      </w:r>
    </w:p>
    <w:p w:rsidR="00487668" w:rsidRPr="003B184C" w:rsidRDefault="00487668" w:rsidP="00A02E90">
      <w:pPr>
        <w:pStyle w:val="Textonotapie"/>
      </w:pPr>
      <w:r w:rsidRPr="00584E1D">
        <w:t>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8">
    <w:p w:rsidR="009565C3" w:rsidRDefault="009565C3" w:rsidP="009565C3">
      <w:pPr>
        <w:pStyle w:val="Textonotapie"/>
      </w:pPr>
      <w:r>
        <w:rPr>
          <w:rStyle w:val="Refdenotaalpie"/>
        </w:rPr>
        <w:footnoteRef/>
      </w:r>
      <w:r>
        <w:t xml:space="preserve"> </w:t>
      </w:r>
      <w:r w:rsidRPr="00FA2DE2">
        <w:t>“[L]os fundamentos de una decisión de tutela contra una sentencia judicial deben aclarar con transparencia la relevancia </w:t>
      </w:r>
      <w:proofErr w:type="spellStart"/>
      <w:r w:rsidRPr="00FA2DE2">
        <w:rPr>
          <w:i/>
          <w:iCs/>
        </w:rPr>
        <w:t>iusfundamental</w:t>
      </w:r>
      <w:proofErr w:type="spellEnd"/>
      <w:r w:rsidRPr="00FA2DE2">
        <w:t>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 </w:t>
      </w:r>
    </w:p>
  </w:footnote>
  <w:footnote w:id="19">
    <w:p w:rsidR="009565C3" w:rsidRDefault="009565C3" w:rsidP="009565C3">
      <w:pPr>
        <w:pStyle w:val="Textonotapie"/>
      </w:pPr>
      <w:r>
        <w:rPr>
          <w:rStyle w:val="Refdenotaalpie"/>
        </w:rPr>
        <w:footnoteRef/>
      </w:r>
      <w:r>
        <w:t xml:space="preserve"> “</w:t>
      </w:r>
      <w:r>
        <w:rPr>
          <w:rStyle w:val="normaltextrun"/>
          <w:color w:val="000000"/>
          <w:shd w:val="clear" w:color="auto" w:fill="FFFFFF"/>
        </w:rPr>
        <w:t>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r>
        <w:rPr>
          <w:rStyle w:val="eop"/>
          <w:color w:val="000000"/>
          <w:shd w:val="clear" w:color="auto" w:fill="FFFFFF"/>
        </w:rPr>
        <w:t> </w:t>
      </w:r>
    </w:p>
  </w:footnote>
  <w:footnote w:id="20">
    <w:p w:rsidR="009565C3" w:rsidRDefault="009565C3" w:rsidP="009565C3">
      <w:pPr>
        <w:pStyle w:val="Textonotapie"/>
      </w:pPr>
      <w:r>
        <w:rPr>
          <w:rStyle w:val="Refdenotaalpie"/>
        </w:rPr>
        <w:footnoteRef/>
      </w:r>
      <w:r>
        <w:t xml:space="preserve"> C</w:t>
      </w:r>
      <w:r>
        <w:rPr>
          <w:rStyle w:val="normaltextrun"/>
          <w:color w:val="000000"/>
          <w:shd w:val="clear" w:color="auto" w:fill="FFFFFF"/>
        </w:rPr>
        <w:t xml:space="preserve">onsejo de Estado, Sala de lo Contencioso Administrativo, Sección Tercera, Subsección C. Sentencias del 21 de febrero de 2020, expediente </w:t>
      </w:r>
      <w:proofErr w:type="spellStart"/>
      <w:r>
        <w:rPr>
          <w:rStyle w:val="normaltextrun"/>
          <w:color w:val="000000"/>
          <w:shd w:val="clear" w:color="auto" w:fill="FFFFFF"/>
        </w:rPr>
        <w:t>n.°</w:t>
      </w:r>
      <w:proofErr w:type="spellEnd"/>
      <w:r>
        <w:rPr>
          <w:rStyle w:val="normaltextrun"/>
          <w:color w:val="000000"/>
          <w:shd w:val="clear" w:color="auto" w:fill="FFFFFF"/>
        </w:rPr>
        <w:t xml:space="preserve"> 2019-5066-00; 4 de mayo de 2020, expediente </w:t>
      </w:r>
      <w:proofErr w:type="spellStart"/>
      <w:r>
        <w:rPr>
          <w:rStyle w:val="normaltextrun"/>
          <w:color w:val="000000"/>
          <w:shd w:val="clear" w:color="auto" w:fill="FFFFFF"/>
        </w:rPr>
        <w:t>n.°</w:t>
      </w:r>
      <w:proofErr w:type="spellEnd"/>
      <w:r>
        <w:rPr>
          <w:rStyle w:val="normaltextrun"/>
          <w:color w:val="000000"/>
          <w:shd w:val="clear" w:color="auto" w:fill="FFFFFF"/>
        </w:rPr>
        <w:t xml:space="preserve"> 2020-836-00.</w:t>
      </w:r>
      <w:r>
        <w:rPr>
          <w:rStyle w:val="eop"/>
          <w:color w:val="000000"/>
          <w:shd w:val="clear" w:color="auto" w:fill="FFFFFF"/>
        </w:rPr>
        <w:t> </w:t>
      </w:r>
    </w:p>
  </w:footnote>
  <w:footnote w:id="21">
    <w:p w:rsidR="009565C3" w:rsidRDefault="009565C3" w:rsidP="009565C3">
      <w:pPr>
        <w:pStyle w:val="Textonotapie"/>
      </w:pPr>
      <w:r>
        <w:rPr>
          <w:rStyle w:val="Refdenotaalpie"/>
        </w:rPr>
        <w:footnoteRef/>
      </w:r>
      <w:r>
        <w:t xml:space="preserve"> </w:t>
      </w:r>
      <w:proofErr w:type="spellStart"/>
      <w:r>
        <w:rPr>
          <w:rStyle w:val="normaltextrun"/>
          <w:color w:val="000000"/>
          <w:shd w:val="clear" w:color="auto" w:fill="FFFFFF"/>
          <w:lang w:val="fr-FR"/>
        </w:rPr>
        <w:t>Cfr</w:t>
      </w:r>
      <w:proofErr w:type="spellEnd"/>
      <w:r>
        <w:rPr>
          <w:rStyle w:val="normaltextrun"/>
          <w:color w:val="000000"/>
          <w:shd w:val="clear" w:color="auto" w:fill="FFFFFF"/>
          <w:lang w:val="fr-FR"/>
        </w:rPr>
        <w:t>. Corte </w:t>
      </w:r>
      <w:proofErr w:type="spellStart"/>
      <w:r>
        <w:rPr>
          <w:rStyle w:val="normaltextrun"/>
          <w:color w:val="000000"/>
          <w:shd w:val="clear" w:color="auto" w:fill="FFFFFF"/>
          <w:lang w:val="fr-FR"/>
        </w:rPr>
        <w:t>Constitucional</w:t>
      </w:r>
      <w:proofErr w:type="spellEnd"/>
      <w:r>
        <w:rPr>
          <w:rStyle w:val="normaltextrun"/>
          <w:color w:val="000000"/>
          <w:shd w:val="clear" w:color="auto" w:fill="FFFFFF"/>
          <w:lang w:val="fr-FR"/>
        </w:rPr>
        <w:t>. Sentencias T-335 de 2000, T-1044 de 2007, T-658 de 2008, T-505 de 2009, T-610 de 2009, T-896 de 2010, T-040 de 2011, T-338 de 2012, T-512 de 2012, T-543 de 2012, T-1061 de 2012, T-931 de 2013, T-182 de 2014 y T-406 de 2014, </w:t>
      </w:r>
      <w:proofErr w:type="spellStart"/>
      <w:r>
        <w:rPr>
          <w:rStyle w:val="normaltextrun"/>
          <w:color w:val="000000"/>
          <w:shd w:val="clear" w:color="auto" w:fill="FFFFFF"/>
          <w:lang w:val="fr-FR"/>
        </w:rPr>
        <w:t>citadas</w:t>
      </w:r>
      <w:proofErr w:type="spellEnd"/>
      <w:r>
        <w:rPr>
          <w:rStyle w:val="normaltextrun"/>
          <w:color w:val="000000"/>
          <w:shd w:val="clear" w:color="auto" w:fill="FFFFFF"/>
          <w:lang w:val="fr-FR"/>
        </w:rPr>
        <w:t> en la sentencia T-422 de 2018.</w:t>
      </w:r>
      <w:r>
        <w:rPr>
          <w:rStyle w:val="eop"/>
          <w:color w:val="000000"/>
          <w:shd w:val="clear" w:color="auto" w:fill="FFFFFF"/>
        </w:rPr>
        <w:t> </w:t>
      </w:r>
    </w:p>
  </w:footnote>
  <w:footnote w:id="22">
    <w:p w:rsidR="009565C3" w:rsidRDefault="009565C3" w:rsidP="009565C3">
      <w:pPr>
        <w:pStyle w:val="Textonotapie"/>
      </w:pPr>
      <w:r>
        <w:rPr>
          <w:rStyle w:val="Refdenotaalpie"/>
        </w:rPr>
        <w:footnoteRef/>
      </w:r>
      <w:r>
        <w:t xml:space="preserve"> “</w:t>
      </w:r>
      <w:r w:rsidRPr="005D02E3">
        <w:rPr>
          <w:rStyle w:val="normaltextrun"/>
          <w:color w:val="000000"/>
          <w:shd w:val="clear" w:color="auto" w:fill="FFFFFF"/>
        </w:rPr>
        <w:t>[T]</w:t>
      </w:r>
      <w:proofErr w:type="spellStart"/>
      <w:r w:rsidRPr="005D02E3">
        <w:rPr>
          <w:rStyle w:val="normaltextrun"/>
          <w:color w:val="000000"/>
          <w:shd w:val="clear" w:color="auto" w:fill="FFFFFF"/>
        </w:rPr>
        <w:t>eniendo</w:t>
      </w:r>
      <w:proofErr w:type="spellEnd"/>
      <w:r w:rsidRPr="005D02E3">
        <w:rPr>
          <w:rStyle w:val="normaltextrun"/>
          <w:color w:val="000000"/>
          <w:shd w:val="clear" w:color="auto" w:fill="FFFFFF"/>
        </w:rPr>
        <w:t> en cuenta que la tutela contra providencias judiciales no da lugar a una tercera instancia, ni puede reemplazar los recursos ordinarios, es necesario que la causa que origina la presentación de la acción suponga el desconocimiento de un derecho fundamental” Corte Constitucional. Sentencia T-422 de 2018.</w:t>
      </w:r>
      <w:r>
        <w:rPr>
          <w:rStyle w:val="eop"/>
          <w:color w:val="000000"/>
          <w:shd w:val="clear" w:color="auto" w:fill="FFFFFF"/>
        </w:rPr>
        <w:t xml:space="preserve"> </w:t>
      </w:r>
    </w:p>
  </w:footnote>
  <w:footnote w:id="23">
    <w:p w:rsidR="009565C3" w:rsidRDefault="009565C3" w:rsidP="009565C3">
      <w:pPr>
        <w:pStyle w:val="Textonotapie"/>
      </w:pPr>
      <w:r>
        <w:rPr>
          <w:rStyle w:val="Refdenotaalpie"/>
        </w:rPr>
        <w:footnoteRef/>
      </w:r>
      <w:r>
        <w:t xml:space="preserve"> </w:t>
      </w:r>
      <w:r>
        <w:rPr>
          <w:rStyle w:val="normaltextrun"/>
          <w:color w:val="000000"/>
          <w:shd w:val="clear" w:color="auto" w:fill="FFFFFF"/>
        </w:rPr>
        <w:t>Corte Constitucional, sentencia T-102 de 16 de febrero de 2006. En igual sentido: T-075-18, T-451-18, T-422-18 y T-248-18.</w:t>
      </w:r>
      <w:r>
        <w:rPr>
          <w:rStyle w:val="eop"/>
          <w:color w:val="000000"/>
          <w:shd w:val="clear" w:color="auto" w:fill="FFFFFF"/>
        </w:rPr>
        <w:t> </w:t>
      </w:r>
    </w:p>
  </w:footnote>
  <w:footnote w:id="24">
    <w:p w:rsidR="009565C3" w:rsidRDefault="009565C3" w:rsidP="009565C3">
      <w:pPr>
        <w:pStyle w:val="Textonotapie"/>
      </w:pPr>
      <w:r>
        <w:rPr>
          <w:rStyle w:val="Refdenotaalpie"/>
        </w:rPr>
        <w:footnoteRef/>
      </w:r>
      <w:r>
        <w:t xml:space="preserve"> </w:t>
      </w:r>
      <w:r>
        <w:rPr>
          <w:rStyle w:val="normaltextrun"/>
          <w:color w:val="000000"/>
          <w:shd w:val="clear" w:color="auto" w:fill="FFFFFF"/>
        </w:rPr>
        <w:t>Cfr. </w:t>
      </w:r>
      <w:r>
        <w:rPr>
          <w:rStyle w:val="normaltextrun"/>
          <w:color w:val="000000"/>
          <w:shd w:val="clear" w:color="auto" w:fill="FFFFFF"/>
          <w:lang w:val="es-ES"/>
        </w:rPr>
        <w:t>sentencia C-590 de 2005.</w:t>
      </w:r>
    </w:p>
  </w:footnote>
  <w:footnote w:id="25">
    <w:p w:rsidR="009565C3" w:rsidRPr="0066343E" w:rsidRDefault="009565C3" w:rsidP="009565C3">
      <w:pPr>
        <w:pStyle w:val="Textonotapie"/>
      </w:pPr>
      <w:r w:rsidRPr="0066343E">
        <w:rPr>
          <w:rStyle w:val="Refdenotaalpie"/>
        </w:rPr>
        <w:footnoteRef/>
      </w:r>
      <w:r w:rsidRPr="0066343E">
        <w:t xml:space="preserve"> Cita original: “Ver sentencia T-336/04”.</w:t>
      </w:r>
    </w:p>
  </w:footnote>
  <w:footnote w:id="26">
    <w:p w:rsidR="009565C3" w:rsidRPr="0066343E" w:rsidRDefault="009565C3" w:rsidP="009565C3">
      <w:pPr>
        <w:pStyle w:val="Textonotapie"/>
      </w:pPr>
      <w:r w:rsidRPr="0066343E">
        <w:rPr>
          <w:rStyle w:val="Refdenotaalpie"/>
        </w:rPr>
        <w:footnoteRef/>
      </w:r>
      <w:r w:rsidRPr="0066343E">
        <w:t xml:space="preserve"> Sentencia de la Corte Constitucional </w:t>
      </w:r>
      <w:bookmarkStart w:id="1" w:name="_Hlk83553384"/>
      <w:r w:rsidRPr="0066343E">
        <w:t>T-066 de 2019</w:t>
      </w:r>
      <w:bookmarkEnd w:id="1"/>
      <w:r w:rsidRPr="0066343E">
        <w:t>, que, a su vez reitera la T-336 de 2004. </w:t>
      </w:r>
    </w:p>
  </w:footnote>
  <w:footnote w:id="27">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Refdenotaalpie"/>
          <w:rFonts w:ascii="Arial" w:hAnsi="Arial" w:cs="Arial"/>
          <w:sz w:val="20"/>
          <w:szCs w:val="20"/>
        </w:rPr>
        <w:footnoteRef/>
      </w:r>
      <w:r w:rsidRPr="0066343E">
        <w:rPr>
          <w:rFonts w:ascii="Arial" w:hAnsi="Arial" w:cs="Arial"/>
          <w:sz w:val="20"/>
          <w:szCs w:val="20"/>
        </w:rPr>
        <w:t xml:space="preserve"> </w:t>
      </w:r>
      <w:r w:rsidRPr="0066343E">
        <w:rPr>
          <w:rStyle w:val="normaltextrun"/>
          <w:rFonts w:ascii="Arial" w:hAnsi="Arial" w:cs="Arial"/>
          <w:sz w:val="20"/>
          <w:szCs w:val="20"/>
          <w:lang w:val="es-ES"/>
        </w:rPr>
        <w:t>En las sentencias T-343 de 2011, T-138 de 2011, T-792 de 2010, T-364 de 2009, T-808 de 2007 y T-086 de 2007, la Corte Constitucional se ha referido al defecto </w:t>
      </w:r>
      <w:r w:rsidRPr="0066343E">
        <w:rPr>
          <w:rStyle w:val="findhit"/>
          <w:rFonts w:ascii="Arial" w:hAnsi="Arial" w:cs="Arial"/>
          <w:sz w:val="20"/>
          <w:szCs w:val="20"/>
          <w:lang w:val="es-ES"/>
        </w:rPr>
        <w:t>sustantivo</w:t>
      </w:r>
      <w:r w:rsidRPr="0066343E">
        <w:rPr>
          <w:rStyle w:val="normaltextrun"/>
          <w:rFonts w:ascii="Arial" w:hAnsi="Arial" w:cs="Arial"/>
          <w:sz w:val="20"/>
          <w:szCs w:val="20"/>
          <w:lang w:val="es-ES"/>
        </w:rPr>
        <w:t> en el siguiente sentido: </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bookmarkStart w:id="2" w:name="_Hlk65354117"/>
      <w:r w:rsidRPr="0066343E">
        <w:rPr>
          <w:rStyle w:val="normaltextrun"/>
          <w:rFonts w:ascii="Arial" w:hAnsi="Arial" w:cs="Arial"/>
          <w:b/>
          <w:bCs/>
          <w:sz w:val="20"/>
          <w:szCs w:val="20"/>
          <w:lang w:val="es-ES"/>
        </w:rPr>
        <w:t>“(i)Cuando la decisión judicial tiene como fundamento una norma que no es aplicable, ya que</w:t>
      </w:r>
      <w:r w:rsidRPr="0066343E">
        <w:rPr>
          <w:rStyle w:val="normaltextrun"/>
          <w:rFonts w:ascii="Arial" w:hAnsi="Arial" w:cs="Arial"/>
          <w:sz w:val="20"/>
          <w:szCs w:val="20"/>
          <w:lang w:val="es-ES"/>
        </w:rPr>
        <w:t xml:space="preserve"> </w:t>
      </w:r>
      <w:bookmarkEnd w:id="2"/>
      <w:r w:rsidRPr="0066343E">
        <w:rPr>
          <w:rStyle w:val="normaltextrun"/>
          <w:rFonts w:ascii="Arial" w:hAnsi="Arial" w:cs="Arial"/>
          <w:sz w:val="20"/>
          <w:szCs w:val="20"/>
          <w:lang w:val="es-ES"/>
        </w:rPr>
        <w:t>(i) no es pertinente, (</w:t>
      </w:r>
      <w:proofErr w:type="spellStart"/>
      <w:r w:rsidRPr="0066343E">
        <w:rPr>
          <w:rStyle w:val="normaltextrun"/>
          <w:rFonts w:ascii="Arial" w:hAnsi="Arial" w:cs="Arial"/>
          <w:sz w:val="20"/>
          <w:szCs w:val="20"/>
          <w:lang w:val="es-ES"/>
        </w:rPr>
        <w:t>ii</w:t>
      </w:r>
      <w:proofErr w:type="spellEnd"/>
      <w:r w:rsidRPr="0066343E">
        <w:rPr>
          <w:rStyle w:val="normaltextrun"/>
          <w:rFonts w:ascii="Arial" w:hAnsi="Arial" w:cs="Arial"/>
          <w:sz w:val="20"/>
          <w:szCs w:val="20"/>
          <w:lang w:val="es-ES"/>
        </w:rPr>
        <w:t>) ha perdido su vigencia por haber sido derogada, (</w:t>
      </w:r>
      <w:proofErr w:type="spellStart"/>
      <w:r w:rsidRPr="0066343E">
        <w:rPr>
          <w:rStyle w:val="normaltextrun"/>
          <w:rFonts w:ascii="Arial" w:hAnsi="Arial" w:cs="Arial"/>
          <w:sz w:val="20"/>
          <w:szCs w:val="20"/>
          <w:lang w:val="es-ES"/>
        </w:rPr>
        <w:t>iii</w:t>
      </w:r>
      <w:proofErr w:type="spellEnd"/>
      <w:r w:rsidRPr="0066343E">
        <w:rPr>
          <w:rStyle w:val="normaltextrun"/>
          <w:rFonts w:ascii="Arial" w:hAnsi="Arial" w:cs="Arial"/>
          <w:sz w:val="20"/>
          <w:szCs w:val="20"/>
          <w:lang w:val="es-ES"/>
        </w:rPr>
        <w:t>) es inexistente, (</w:t>
      </w:r>
      <w:proofErr w:type="spellStart"/>
      <w:r w:rsidRPr="0066343E">
        <w:rPr>
          <w:rStyle w:val="normaltextrun"/>
          <w:rFonts w:ascii="Arial" w:hAnsi="Arial" w:cs="Arial"/>
          <w:sz w:val="20"/>
          <w:szCs w:val="20"/>
          <w:lang w:val="es-ES"/>
        </w:rPr>
        <w:t>iv</w:t>
      </w:r>
      <w:proofErr w:type="spellEnd"/>
      <w:r w:rsidRPr="0066343E">
        <w:rPr>
          <w:rStyle w:val="normaltextrun"/>
          <w:rFonts w:ascii="Arial" w:hAnsi="Arial" w:cs="Arial"/>
          <w:sz w:val="20"/>
          <w:szCs w:val="20"/>
          <w:lang w:val="es-ES"/>
        </w:rPr>
        <w:t>) ha sido declarada contraria a la Constitución, (</w:t>
      </w:r>
      <w:r w:rsidRPr="0066343E">
        <w:rPr>
          <w:rStyle w:val="normaltextrun"/>
          <w:rFonts w:ascii="Arial" w:hAnsi="Arial" w:cs="Arial"/>
          <w:b/>
          <w:bCs/>
          <w:sz w:val="20"/>
          <w:szCs w:val="20"/>
          <w:lang w:val="es-ES"/>
        </w:rPr>
        <w:t>v) a pesar de que la norma en cuestión está vigente y es constitucional, no resulta adecuada su aplicación a la situación fáctica objeto de estudio,</w:t>
      </w:r>
      <w:r w:rsidRPr="0066343E">
        <w:rPr>
          <w:rStyle w:val="normaltextrun"/>
          <w:rFonts w:ascii="Arial" w:hAnsi="Arial" w:cs="Arial"/>
          <w:sz w:val="20"/>
          <w:szCs w:val="20"/>
          <w:lang w:val="es-ES"/>
        </w:rPr>
        <w:t xml:space="preserve"> así ocurre por ejemplo cuando se le reconocen efectos distintos a los señalados por el legislador. </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b/>
          <w:bCs/>
          <w:sz w:val="20"/>
          <w:szCs w:val="20"/>
        </w:rPr>
      </w:pPr>
      <w:r w:rsidRPr="0066343E">
        <w:rPr>
          <w:rStyle w:val="normaltextrun"/>
          <w:rFonts w:ascii="Arial" w:hAnsi="Arial" w:cs="Arial"/>
          <w:b/>
          <w:bCs/>
          <w:sz w:val="20"/>
          <w:szCs w:val="20"/>
          <w:lang w:val="es-ES"/>
        </w:rPr>
        <w:t>(</w:t>
      </w:r>
      <w:proofErr w:type="spellStart"/>
      <w:r w:rsidRPr="0066343E">
        <w:rPr>
          <w:rStyle w:val="normaltextrun"/>
          <w:rFonts w:ascii="Arial" w:hAnsi="Arial" w:cs="Arial"/>
          <w:b/>
          <w:bCs/>
          <w:sz w:val="20"/>
          <w:szCs w:val="20"/>
          <w:lang w:val="es-ES"/>
        </w:rPr>
        <w:t>ii</w:t>
      </w:r>
      <w:proofErr w:type="spellEnd"/>
      <w:r w:rsidRPr="0066343E">
        <w:rPr>
          <w:rStyle w:val="normaltextrun"/>
          <w:rFonts w:ascii="Arial" w:hAnsi="Arial" w:cs="Arial"/>
          <w:b/>
          <w:bCs/>
          <w:sz w:val="20"/>
          <w:szCs w:val="20"/>
          <w:lang w:val="es-ES"/>
        </w:rPr>
        <w:t>). Cuando pese a la autonomía judicial, la interpretación o aplicación de la norma al caso concreto, no se encuentra, prima facie, dentro del margen de interpretación razonable o el operador judicial hace una aplicación inaceptable de la norma al interpretarla de forma contraevidente -interpretación contra </w:t>
      </w:r>
      <w:proofErr w:type="spellStart"/>
      <w:r w:rsidRPr="0066343E">
        <w:rPr>
          <w:rStyle w:val="normaltextrun"/>
          <w:rFonts w:ascii="Arial" w:hAnsi="Arial" w:cs="Arial"/>
          <w:b/>
          <w:bCs/>
          <w:sz w:val="20"/>
          <w:szCs w:val="20"/>
          <w:lang w:val="es-ES"/>
        </w:rPr>
        <w:t>legem</w:t>
      </w:r>
      <w:proofErr w:type="spellEnd"/>
      <w:r w:rsidRPr="0066343E">
        <w:rPr>
          <w:rStyle w:val="normaltextrun"/>
          <w:rFonts w:ascii="Arial" w:hAnsi="Arial" w:cs="Arial"/>
          <w:b/>
          <w:bCs/>
          <w:sz w:val="20"/>
          <w:szCs w:val="20"/>
          <w:lang w:val="es-ES"/>
        </w:rPr>
        <w:t>- o claramente perjudicial para los intereses legítimos de una de las partes o cuando en una decisión judicial se aplica una norma jurídica de manera manifiestamente errada, sacando del marco de la juridicidad y de la hermenéutica jurídica aceptable tal decisión judicial.</w:t>
      </w:r>
      <w:r w:rsidRPr="0066343E">
        <w:rPr>
          <w:rStyle w:val="eop"/>
          <w:rFonts w:ascii="Arial" w:hAnsi="Arial" w:cs="Arial"/>
          <w:b/>
          <w:bCs/>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normaltextrun"/>
          <w:rFonts w:ascii="Arial" w:hAnsi="Arial" w:cs="Arial"/>
          <w:sz w:val="20"/>
          <w:szCs w:val="20"/>
          <w:lang w:val="es-ES"/>
        </w:rPr>
        <w:t>(</w:t>
      </w:r>
      <w:proofErr w:type="spellStart"/>
      <w:r w:rsidRPr="0066343E">
        <w:rPr>
          <w:rStyle w:val="normaltextrun"/>
          <w:rFonts w:ascii="Arial" w:hAnsi="Arial" w:cs="Arial"/>
          <w:sz w:val="20"/>
          <w:szCs w:val="20"/>
          <w:lang w:val="es-ES"/>
        </w:rPr>
        <w:t>iii</w:t>
      </w:r>
      <w:proofErr w:type="spellEnd"/>
      <w:r w:rsidRPr="0066343E">
        <w:rPr>
          <w:rStyle w:val="normaltextrun"/>
          <w:rFonts w:ascii="Arial" w:hAnsi="Arial" w:cs="Arial"/>
          <w:sz w:val="20"/>
          <w:szCs w:val="20"/>
          <w:lang w:val="es-ES"/>
        </w:rPr>
        <w:t>). Cuando no toma en cuenta sentencias que han definido su alcance con efectos erga omnes.</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normaltextrun"/>
          <w:rFonts w:ascii="Arial" w:hAnsi="Arial" w:cs="Arial"/>
          <w:sz w:val="20"/>
          <w:szCs w:val="20"/>
          <w:lang w:val="es-ES"/>
        </w:rPr>
        <w:t>(</w:t>
      </w:r>
      <w:proofErr w:type="spellStart"/>
      <w:r w:rsidRPr="0066343E">
        <w:rPr>
          <w:rStyle w:val="normaltextrun"/>
          <w:rFonts w:ascii="Arial" w:hAnsi="Arial" w:cs="Arial"/>
          <w:sz w:val="20"/>
          <w:szCs w:val="20"/>
          <w:lang w:val="es-ES"/>
        </w:rPr>
        <w:t>iv</w:t>
      </w:r>
      <w:proofErr w:type="spellEnd"/>
      <w:r w:rsidRPr="0066343E">
        <w:rPr>
          <w:rStyle w:val="normaltextrun"/>
          <w:rFonts w:ascii="Arial" w:hAnsi="Arial" w:cs="Arial"/>
          <w:sz w:val="20"/>
          <w:szCs w:val="20"/>
          <w:lang w:val="es-ES"/>
        </w:rPr>
        <w:t>) Cuando la disposición aplicada se muestra injustificadamente regresiva o contraria a la Constitución. </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normaltextrun"/>
          <w:rFonts w:ascii="Arial" w:hAnsi="Arial" w:cs="Arial"/>
          <w:sz w:val="20"/>
          <w:szCs w:val="20"/>
          <w:lang w:val="es-ES"/>
        </w:rPr>
        <w:t>(v) Cuando un poder concedido al juez por el ordenamiento se utiliza para un fin no previsto en la disposición.</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normaltextrun"/>
          <w:rFonts w:ascii="Arial" w:hAnsi="Arial" w:cs="Arial"/>
          <w:sz w:val="20"/>
          <w:szCs w:val="20"/>
          <w:lang w:val="es-ES"/>
        </w:rPr>
        <w:t>(vi) Cuando la decisión se funda en una interpretación no sistemática de la norma, omitiendo el análisis de otras disposiciones aplicables al caso.</w:t>
      </w:r>
      <w:r w:rsidRPr="0066343E">
        <w:rPr>
          <w:rStyle w:val="eop"/>
          <w:rFonts w:ascii="Arial" w:hAnsi="Arial" w:cs="Arial"/>
          <w:sz w:val="20"/>
          <w:szCs w:val="20"/>
        </w:rPr>
        <w:t> </w:t>
      </w:r>
    </w:p>
    <w:p w:rsidR="0081338F" w:rsidRPr="0066343E" w:rsidRDefault="0081338F" w:rsidP="0081338F">
      <w:pPr>
        <w:pStyle w:val="paragraph"/>
        <w:spacing w:before="0" w:beforeAutospacing="0" w:after="0" w:afterAutospacing="0"/>
        <w:jc w:val="both"/>
        <w:textAlignment w:val="baseline"/>
        <w:rPr>
          <w:rFonts w:ascii="Arial" w:hAnsi="Arial" w:cs="Arial"/>
          <w:sz w:val="20"/>
          <w:szCs w:val="20"/>
        </w:rPr>
      </w:pPr>
      <w:r w:rsidRPr="0066343E">
        <w:rPr>
          <w:rStyle w:val="normaltextrun"/>
          <w:rFonts w:ascii="Arial" w:hAnsi="Arial" w:cs="Arial"/>
          <w:sz w:val="20"/>
          <w:szCs w:val="20"/>
          <w:lang w:val="es-ES"/>
        </w:rPr>
        <w:t>(</w:t>
      </w:r>
      <w:proofErr w:type="spellStart"/>
      <w:r w:rsidRPr="0066343E">
        <w:rPr>
          <w:rStyle w:val="normaltextrun"/>
          <w:rFonts w:ascii="Arial" w:hAnsi="Arial" w:cs="Arial"/>
          <w:sz w:val="20"/>
          <w:szCs w:val="20"/>
          <w:lang w:val="es-ES"/>
        </w:rPr>
        <w:t>vii</w:t>
      </w:r>
      <w:proofErr w:type="spellEnd"/>
      <w:r w:rsidRPr="0066343E">
        <w:rPr>
          <w:rStyle w:val="normaltextrun"/>
          <w:rFonts w:ascii="Arial" w:hAnsi="Arial" w:cs="Arial"/>
          <w:sz w:val="20"/>
          <w:szCs w:val="20"/>
          <w:lang w:val="es-ES"/>
        </w:rPr>
        <w:t>) Cuando el operador judicial con una insuficiente sustentación o justificación de la actuación afecta derechos fundamentales.  </w:t>
      </w:r>
      <w:r w:rsidRPr="0066343E">
        <w:rPr>
          <w:rStyle w:val="eop"/>
          <w:rFonts w:ascii="Arial" w:hAnsi="Arial" w:cs="Arial"/>
          <w:sz w:val="20"/>
          <w:szCs w:val="20"/>
        </w:rPr>
        <w:t> </w:t>
      </w:r>
    </w:p>
    <w:p w:rsidR="0081338F" w:rsidRPr="00905F86" w:rsidRDefault="0081338F" w:rsidP="0081338F">
      <w:pPr>
        <w:pStyle w:val="paragraph"/>
        <w:spacing w:before="0" w:beforeAutospacing="0" w:after="0" w:afterAutospacing="0"/>
        <w:jc w:val="both"/>
        <w:textAlignment w:val="baseline"/>
        <w:rPr>
          <w:rFonts w:ascii="Arial" w:hAnsi="Arial" w:cs="Arial"/>
          <w:sz w:val="16"/>
          <w:szCs w:val="16"/>
        </w:rPr>
      </w:pPr>
      <w:r w:rsidRPr="0066343E">
        <w:rPr>
          <w:rStyle w:val="normaltextrun"/>
          <w:rFonts w:ascii="Arial" w:hAnsi="Arial" w:cs="Arial"/>
          <w:sz w:val="20"/>
          <w:szCs w:val="20"/>
          <w:lang w:val="es-ES"/>
        </w:rPr>
        <w:t>(</w:t>
      </w:r>
      <w:proofErr w:type="spellStart"/>
      <w:r w:rsidRPr="0066343E">
        <w:rPr>
          <w:rStyle w:val="normaltextrun"/>
          <w:rFonts w:ascii="Arial" w:hAnsi="Arial" w:cs="Arial"/>
          <w:sz w:val="20"/>
          <w:szCs w:val="20"/>
          <w:lang w:val="es-ES"/>
        </w:rPr>
        <w:t>viii</w:t>
      </w:r>
      <w:proofErr w:type="spellEnd"/>
      <w:r w:rsidRPr="0066343E">
        <w:rPr>
          <w:rStyle w:val="normaltextrun"/>
          <w:rFonts w:ascii="Arial" w:hAnsi="Arial" w:cs="Arial"/>
          <w:sz w:val="20"/>
          <w:szCs w:val="20"/>
          <w:lang w:val="es-ES"/>
        </w:rPr>
        <w:t>) Cuando se desconoce el precedente judicial sin ofrecer un mínimo razonable de argumentación que hubiere permitido una decisión diferente de acogerse la jurisprudencia</w:t>
      </w:r>
      <w:r w:rsidRPr="0066343E">
        <w:rPr>
          <w:rStyle w:val="normaltextrun"/>
          <w:rFonts w:ascii="Arial" w:hAnsi="Arial" w:cs="Arial"/>
          <w:sz w:val="20"/>
          <w:szCs w:val="20"/>
          <w:shd w:val="clear" w:color="auto" w:fill="FFFFFF"/>
          <w:lang w:val="es-ES"/>
        </w:rPr>
        <w:t>.” </w:t>
      </w:r>
      <w:r w:rsidRPr="0066343E">
        <w:rPr>
          <w:rStyle w:val="normaltextrun"/>
          <w:rFonts w:ascii="Arial" w:hAnsi="Arial" w:cs="Arial"/>
          <w:sz w:val="20"/>
          <w:szCs w:val="20"/>
          <w:lang w:val="es-ES"/>
        </w:rPr>
        <w:t>(Resaltado fuera del texto original).</w:t>
      </w:r>
    </w:p>
  </w:footnote>
  <w:footnote w:id="28">
    <w:p w:rsidR="0081338F" w:rsidRPr="002D6FE8" w:rsidRDefault="0081338F" w:rsidP="0081338F">
      <w:pPr>
        <w:pStyle w:val="Textonotapie"/>
      </w:pPr>
      <w:r w:rsidRPr="002D6FE8">
        <w:rPr>
          <w:rStyle w:val="Refdenotaalpie"/>
        </w:rPr>
        <w:footnoteRef/>
      </w:r>
      <w:r w:rsidRPr="002D6FE8">
        <w:t xml:space="preserve"> </w:t>
      </w:r>
      <w:r>
        <w:t>Cita original: “</w:t>
      </w:r>
      <w:r w:rsidRPr="002D6FE8">
        <w:t>Sentencia T-459 de 2017</w:t>
      </w:r>
      <w:r>
        <w:t>”</w:t>
      </w:r>
      <w:r w:rsidRPr="002D6FE8">
        <w:t>.</w:t>
      </w:r>
    </w:p>
  </w:footnote>
  <w:footnote w:id="29">
    <w:p w:rsidR="002946EE" w:rsidRDefault="002946EE" w:rsidP="002946EE">
      <w:pPr>
        <w:pStyle w:val="Textonotapie"/>
      </w:pPr>
      <w:r w:rsidRPr="008A4206">
        <w:rPr>
          <w:vertAlign w:val="superscript"/>
        </w:rPr>
        <w:footnoteRef/>
      </w:r>
      <w:r w:rsidRPr="008A4206">
        <w:t xml:space="preserve"> Corte Constitucional, sentencia SU-918 de 2013.</w:t>
      </w:r>
    </w:p>
  </w:footnote>
  <w:footnote w:id="30">
    <w:p w:rsidR="00054AB9" w:rsidRDefault="00054AB9">
      <w:pPr>
        <w:pStyle w:val="Textonotapie"/>
      </w:pPr>
      <w:r>
        <w:rPr>
          <w:rStyle w:val="Refdenotaalpie"/>
        </w:rPr>
        <w:footnoteRef/>
      </w:r>
      <w:r>
        <w:t xml:space="preserve"> Al respecto la Subsección citó apartes de las sentencias del 17 de noviembre de 2016, expediente 2114-2016, del 1 de diciembre de 2016, expediente 0783-14 y del 14 de septiembre de 2017, expediente 0071-14.</w:t>
      </w:r>
    </w:p>
  </w:footnote>
  <w:footnote w:id="31">
    <w:p w:rsidR="0081627B" w:rsidRDefault="0081627B">
      <w:pPr>
        <w:pStyle w:val="Textonotapie"/>
      </w:pPr>
      <w:r>
        <w:rPr>
          <w:rStyle w:val="Refdenotaalpie"/>
        </w:rPr>
        <w:footnoteRef/>
      </w:r>
      <w:r>
        <w:t xml:space="preserve"> Consejo de Estado, Sección Segunda, Subsección B, expediente 0783-14, sentencia del 1 de diciembre de 2016 y Sección Segunda, Subsección A sentencia del 14 de septiembre de 2017, expediente 0071-14. </w:t>
      </w:r>
    </w:p>
  </w:footnote>
  <w:footnote w:id="32">
    <w:p w:rsidR="00E11370" w:rsidRPr="00474A0B" w:rsidRDefault="00E11370">
      <w:pPr>
        <w:pStyle w:val="Textonotapie"/>
      </w:pPr>
      <w:r>
        <w:rPr>
          <w:rStyle w:val="Refdenotaalpie"/>
        </w:rPr>
        <w:footnoteRef/>
      </w:r>
      <w:r>
        <w:t xml:space="preserve"> </w:t>
      </w:r>
      <w:bookmarkStart w:id="3" w:name="247"/>
      <w:r w:rsidRPr="00474A0B">
        <w:t>“</w:t>
      </w:r>
      <w:r w:rsidRPr="00474A0B">
        <w:rPr>
          <w:b/>
          <w:bCs/>
        </w:rPr>
        <w:t>ARTÍCULO 247. TRÁMITE DEL RECURSO DE APELACIÓN CONTRA SENTENCIAS.</w:t>
      </w:r>
      <w:bookmarkEnd w:id="3"/>
      <w:r w:rsidRPr="00474A0B">
        <w:t> &lt;Artículo modificado por el artículo </w:t>
      </w:r>
      <w:hyperlink r:id="rId1" w:anchor="67" w:history="1">
        <w:r w:rsidRPr="00474A0B">
          <w:rPr>
            <w:rStyle w:val="Hipervnculo"/>
            <w:color w:val="auto"/>
            <w:u w:val="none"/>
          </w:rPr>
          <w:t>67</w:t>
        </w:r>
      </w:hyperlink>
      <w:r w:rsidRPr="00474A0B">
        <w:t> de la Ley 2080 de 2021. El nuevo texto es el siguiente:&gt; El recurso de apelación contra las sentencias proferidas en primera instancia se tramitará de acuerdo con el siguiente procedimiento: (…)</w:t>
      </w:r>
    </w:p>
    <w:p w:rsidR="00E11370" w:rsidRDefault="00E11370">
      <w:pPr>
        <w:pStyle w:val="Textonotapie"/>
      </w:pPr>
      <w:r w:rsidRPr="00E11370">
        <w:t>4. Desde la notificación del auto que concede la apelación y hasta la ejecutoria del que la admite en segunda instancia, los sujetos procesales podrán pronunciarse en relación con el recurso de apelación formula</w:t>
      </w:r>
      <w:r w:rsidR="00CF138B">
        <w:t xml:space="preserve">do por los demás intervinientes </w:t>
      </w:r>
      <w:r>
        <w:t>(…)”.</w:t>
      </w:r>
      <w:r w:rsidR="00C81564">
        <w:t xml:space="preserve"> Ver archivos electrónicos ubicados en los índices 3, 6</w:t>
      </w:r>
      <w:r w:rsidR="004E0C43">
        <w:t xml:space="preserve">, </w:t>
      </w:r>
      <w:r w:rsidR="00C81564">
        <w:t>7</w:t>
      </w:r>
      <w:r w:rsidR="004E0C43">
        <w:t xml:space="preserve"> y 9</w:t>
      </w:r>
      <w:r w:rsidR="00C81564">
        <w:t xml:space="preserve"> del expediente digital que contiene el proceso ordinario </w:t>
      </w:r>
      <w:r w:rsidR="00474A0B">
        <w:t xml:space="preserve">de nulidad y restablecimiento del derecho </w:t>
      </w:r>
      <w:r w:rsidR="00DD6669">
        <w:t>de</w:t>
      </w:r>
      <w:r w:rsidR="00474A0B">
        <w:t xml:space="preserve"> segunda instancia </w:t>
      </w:r>
      <w:r w:rsidR="00C81564">
        <w:t xml:space="preserve">identificado con radicado número </w:t>
      </w:r>
      <w:r w:rsidR="00474A0B" w:rsidRPr="00474A0B">
        <w:t>25000-23-42-000-2018-02605-0</w:t>
      </w:r>
      <w:r w:rsidR="00474A0B">
        <w:t xml:space="preserve">1 </w:t>
      </w:r>
      <w:r w:rsidR="00C81564">
        <w:t xml:space="preserve">en el aplicativo SAMAI, identificados con certificados </w:t>
      </w:r>
      <w:r w:rsidR="00C81564" w:rsidRPr="00C81564">
        <w:t>11198A9EAF263A12 7525EDAA1417B334 B1BEEA701D6E03B1 EAF58573E9913936</w:t>
      </w:r>
      <w:r w:rsidR="004E0C43">
        <w:t xml:space="preserve">, </w:t>
      </w:r>
      <w:r w:rsidR="00C81564" w:rsidRPr="00C81564">
        <w:t>037FCBADE1DE3E35 41DF2218793692DF 0BF006E8B3377B1A EBBD05A746401AC0</w:t>
      </w:r>
      <w:r w:rsidR="004E0C43">
        <w:t xml:space="preserve"> y </w:t>
      </w:r>
      <w:r w:rsidR="004E0C43" w:rsidRPr="004E0C43">
        <w:t>776A9B7DA459EB42 B85DD962D6F4A40E A0D5EA3683A7B801 9A56EBBE3B9C3963</w:t>
      </w:r>
      <w:r w:rsidR="00C815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68" w:rsidRPr="008F2BC8" w:rsidRDefault="00C94284">
    <w:pPr>
      <w:pStyle w:val="Encabezado"/>
    </w:pPr>
    <w:r w:rsidRPr="008F2BC8">
      <w:rPr>
        <w:noProof/>
        <w:lang w:eastAsia="es-CO"/>
      </w:rPr>
      <w:drawing>
        <wp:anchor distT="0" distB="0" distL="114300" distR="114300" simplePos="0" relativeHeight="251657216"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8F2BC8" w:rsidRDefault="00487668">
    <w:pPr>
      <w:pStyle w:val="Encabezado"/>
    </w:pPr>
  </w:p>
  <w:p w:rsidR="00487668" w:rsidRPr="008F2BC8" w:rsidRDefault="00C94284">
    <w:pPr>
      <w:pStyle w:val="Encabezado"/>
    </w:pPr>
    <w:r w:rsidRPr="008F2BC8">
      <w:rPr>
        <w:noProof/>
        <w:sz w:val="20"/>
        <w:szCs w:val="20"/>
        <w:lang w:eastAsia="es-CO"/>
      </w:rPr>
      <mc:AlternateContent>
        <mc:Choice Requires="wps">
          <w:drawing>
            <wp:anchor distT="0" distB="0" distL="114300" distR="114300" simplePos="0" relativeHeight="251656192" behindDoc="0" locked="0" layoutInCell="1" allowOverlap="1">
              <wp:simplePos x="0" y="0"/>
              <wp:positionH relativeFrom="column">
                <wp:posOffset>1379855</wp:posOffset>
              </wp:positionH>
              <wp:positionV relativeFrom="paragraph">
                <wp:posOffset>60325</wp:posOffset>
              </wp:positionV>
              <wp:extent cx="5400040" cy="0"/>
              <wp:effectExtent l="21590" t="20320" r="1714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4794D0" id="_x0000_t32" coordsize="21600,21600" o:spt="32" o:oned="t" path="m,l21600,21600e" filled="f">
              <v:path arrowok="t" fillok="f" o:connecttype="none"/>
              <o:lock v:ext="edit" shapetype="t"/>
            </v:shapetype>
            <v:shape id="AutoShape 3"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CweX2/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487668" w:rsidRPr="00A02E90" w:rsidRDefault="00487668" w:rsidP="0054069D">
    <w:pPr>
      <w:pStyle w:val="Encabezado"/>
      <w:jc w:val="right"/>
      <w:rPr>
        <w:i/>
        <w:iCs/>
        <w:sz w:val="20"/>
        <w:szCs w:val="20"/>
      </w:rPr>
    </w:pPr>
    <w:r w:rsidRPr="00A02E90">
      <w:rPr>
        <w:i/>
        <w:iCs/>
        <w:sz w:val="20"/>
        <w:szCs w:val="20"/>
      </w:rPr>
      <w:t>Radicado: 11001-03-15-000-202</w:t>
    </w:r>
    <w:r w:rsidR="009243EC" w:rsidRPr="00A02E90">
      <w:rPr>
        <w:i/>
        <w:iCs/>
        <w:sz w:val="20"/>
        <w:szCs w:val="20"/>
      </w:rPr>
      <w:t>2</w:t>
    </w:r>
    <w:r w:rsidRPr="00A02E90">
      <w:rPr>
        <w:i/>
        <w:iCs/>
        <w:sz w:val="20"/>
        <w:szCs w:val="20"/>
      </w:rPr>
      <w:t>-</w:t>
    </w:r>
    <w:r w:rsidR="009243EC" w:rsidRPr="00A02E90">
      <w:rPr>
        <w:i/>
        <w:iCs/>
        <w:sz w:val="20"/>
        <w:szCs w:val="20"/>
      </w:rPr>
      <w:t>0</w:t>
    </w:r>
    <w:r w:rsidR="00755191">
      <w:rPr>
        <w:i/>
        <w:iCs/>
        <w:sz w:val="20"/>
        <w:szCs w:val="20"/>
      </w:rPr>
      <w:t>5642</w:t>
    </w:r>
    <w:r w:rsidRPr="00A02E90">
      <w:rPr>
        <w:i/>
        <w:iCs/>
        <w:sz w:val="20"/>
        <w:szCs w:val="20"/>
      </w:rPr>
      <w:t>-00</w:t>
    </w:r>
  </w:p>
  <w:p w:rsidR="00487668" w:rsidRPr="00A02E90" w:rsidRDefault="00487668" w:rsidP="008F2BC8">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Accionante</w:t>
    </w:r>
    <w:bookmarkStart w:id="5" w:name="_Hlk97220063"/>
    <w:bookmarkStart w:id="6" w:name="_Hlk97220064"/>
    <w:r w:rsidRPr="00A02E90">
      <w:rPr>
        <w:i/>
        <w:iCs/>
        <w:sz w:val="20"/>
        <w:szCs w:val="20"/>
      </w:rPr>
      <w:t xml:space="preserve">: </w:t>
    </w:r>
    <w:bookmarkEnd w:id="5"/>
    <w:bookmarkEnd w:id="6"/>
    <w:r w:rsidR="00755191">
      <w:rPr>
        <w:i/>
        <w:iCs/>
        <w:sz w:val="20"/>
        <w:szCs w:val="20"/>
      </w:rPr>
      <w:t>Raúl Cabrales Dávila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90" w:rsidRPr="008F2BC8" w:rsidRDefault="00C94284" w:rsidP="00A02E90">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60325</wp:posOffset>
              </wp:positionV>
              <wp:extent cx="5400040" cy="0"/>
              <wp:effectExtent l="21590" t="15240" r="17145"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64D100"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rsidR="00A02E90" w:rsidRPr="00A02E90" w:rsidRDefault="00A02E90" w:rsidP="00A02E90">
    <w:pPr>
      <w:pStyle w:val="Encabezado"/>
      <w:jc w:val="right"/>
      <w:rPr>
        <w:i/>
        <w:iCs/>
        <w:sz w:val="20"/>
        <w:szCs w:val="20"/>
      </w:rPr>
    </w:pPr>
    <w:r w:rsidRPr="00A02E90">
      <w:rPr>
        <w:i/>
        <w:iCs/>
        <w:sz w:val="20"/>
        <w:szCs w:val="20"/>
      </w:rPr>
      <w:t>Radicado: 11001-03-15-000-2022-0</w:t>
    </w:r>
    <w:r w:rsidR="00F5767C">
      <w:rPr>
        <w:i/>
        <w:iCs/>
        <w:sz w:val="20"/>
        <w:szCs w:val="20"/>
      </w:rPr>
      <w:t>5642</w:t>
    </w:r>
    <w:r w:rsidRPr="00A02E90">
      <w:rPr>
        <w:i/>
        <w:iCs/>
        <w:sz w:val="20"/>
        <w:szCs w:val="20"/>
      </w:rPr>
      <w:t>-00</w:t>
    </w:r>
  </w:p>
  <w:p w:rsidR="00A02E90" w:rsidRPr="00A02E90" w:rsidRDefault="00A02E90" w:rsidP="00A02E90">
    <w:pPr>
      <w:pStyle w:val="Encabezado"/>
      <w:tabs>
        <w:tab w:val="clear" w:pos="4252"/>
        <w:tab w:val="center" w:pos="3828"/>
      </w:tabs>
      <w:jc w:val="right"/>
      <w:rPr>
        <w:i/>
        <w:iCs/>
        <w:sz w:val="20"/>
        <w:szCs w:val="20"/>
      </w:rPr>
    </w:pPr>
    <w:r w:rsidRPr="00A02E90">
      <w:rPr>
        <w:i/>
        <w:iCs/>
        <w:sz w:val="20"/>
        <w:szCs w:val="20"/>
      </w:rPr>
      <w:tab/>
    </w:r>
    <w:r w:rsidRPr="00A02E90">
      <w:rPr>
        <w:i/>
        <w:iCs/>
        <w:sz w:val="20"/>
        <w:szCs w:val="20"/>
      </w:rPr>
      <w:tab/>
      <w:t xml:space="preserve">Accionante: </w:t>
    </w:r>
    <w:r w:rsidR="00F5767C">
      <w:rPr>
        <w:i/>
        <w:iCs/>
        <w:sz w:val="20"/>
        <w:szCs w:val="20"/>
      </w:rPr>
      <w:t>Raúl Cabrales Dávila</w:t>
    </w:r>
  </w:p>
  <w:p w:rsidR="00487668" w:rsidRPr="00A15ACE" w:rsidRDefault="00C94284" w:rsidP="00F1441F">
    <w:pPr>
      <w:pStyle w:val="Encabezado"/>
      <w:rPr>
        <w:color w:val="767171"/>
      </w:rPr>
    </w:pPr>
    <w:r>
      <w:rPr>
        <w:noProof/>
        <w:lang w:eastAsia="es-CO"/>
      </w:rPr>
      <w:drawing>
        <wp:anchor distT="0" distB="0" distL="114300" distR="114300" simplePos="0" relativeHeight="251658240" behindDoc="0" locked="0" layoutInCell="1" allowOverlap="1">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68" w:rsidRPr="007F276C" w:rsidRDefault="00487668" w:rsidP="00632FF0">
    <w:pPr>
      <w:pStyle w:val="Cuadrculamedia21"/>
    </w:pPr>
    <w:r w:rsidRPr="007F276C">
      <w:t>CONSEJO DE ESTADO</w:t>
    </w:r>
  </w:p>
  <w:p w:rsidR="00487668" w:rsidRPr="007F276C" w:rsidRDefault="00487668" w:rsidP="00632FF0">
    <w:pPr>
      <w:pStyle w:val="Cuadrculamedia21"/>
    </w:pPr>
    <w:r w:rsidRPr="007F276C">
      <w:t>SALA DE LO CONTENCIOSO ADMINISTRATIVO</w:t>
    </w:r>
  </w:p>
  <w:p w:rsidR="00A02E90" w:rsidRDefault="00487668" w:rsidP="00632FF0">
    <w:pPr>
      <w:pStyle w:val="Cuadrculamedia21"/>
    </w:pPr>
    <w:r w:rsidRPr="007F276C">
      <w:t>SECCIÓN TERCERA</w:t>
    </w:r>
  </w:p>
  <w:p w:rsidR="00487668" w:rsidRPr="007F276C" w:rsidRDefault="00487668" w:rsidP="00632FF0">
    <w:pPr>
      <w:pStyle w:val="Cuadrculamedia21"/>
    </w:pPr>
    <w:r w:rsidRPr="007F276C">
      <w:t>SUBSECCIÓN C</w:t>
    </w:r>
  </w:p>
  <w:p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B80388D"/>
    <w:multiLevelType w:val="multilevel"/>
    <w:tmpl w:val="8E0E4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3"/>
  </w:num>
  <w:num w:numId="7">
    <w:abstractNumId w:val="8"/>
  </w:num>
  <w:num w:numId="8">
    <w:abstractNumId w:val="4"/>
  </w:num>
  <w:num w:numId="9">
    <w:abstractNumId w:val="7"/>
  </w:num>
  <w:num w:numId="10">
    <w:abstractNumId w:val="0"/>
  </w:num>
  <w:num w:numId="11">
    <w:abstractNumId w:val="9"/>
  </w:num>
  <w:num w:numId="12">
    <w:abstractNumId w:val="10"/>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6BB"/>
    <w:rsid w:val="00005041"/>
    <w:rsid w:val="00005EA5"/>
    <w:rsid w:val="00006D3C"/>
    <w:rsid w:val="000106D3"/>
    <w:rsid w:val="00017CB3"/>
    <w:rsid w:val="00017CF0"/>
    <w:rsid w:val="000210C9"/>
    <w:rsid w:val="00022AB8"/>
    <w:rsid w:val="00023BA3"/>
    <w:rsid w:val="00025F2A"/>
    <w:rsid w:val="0003218E"/>
    <w:rsid w:val="000339D1"/>
    <w:rsid w:val="00040DFC"/>
    <w:rsid w:val="0004245A"/>
    <w:rsid w:val="0004392F"/>
    <w:rsid w:val="00043FEC"/>
    <w:rsid w:val="00044EDE"/>
    <w:rsid w:val="000457E1"/>
    <w:rsid w:val="00046426"/>
    <w:rsid w:val="000500FF"/>
    <w:rsid w:val="00050C42"/>
    <w:rsid w:val="00052DB1"/>
    <w:rsid w:val="000532C4"/>
    <w:rsid w:val="00053D14"/>
    <w:rsid w:val="00054AB9"/>
    <w:rsid w:val="00056A9A"/>
    <w:rsid w:val="000572B4"/>
    <w:rsid w:val="000578D4"/>
    <w:rsid w:val="0006102E"/>
    <w:rsid w:val="00061B93"/>
    <w:rsid w:val="00062443"/>
    <w:rsid w:val="00062982"/>
    <w:rsid w:val="00062D6A"/>
    <w:rsid w:val="0007138A"/>
    <w:rsid w:val="000717E4"/>
    <w:rsid w:val="000728E0"/>
    <w:rsid w:val="00073869"/>
    <w:rsid w:val="00074933"/>
    <w:rsid w:val="00075C3B"/>
    <w:rsid w:val="00076CC4"/>
    <w:rsid w:val="00080E08"/>
    <w:rsid w:val="00083B8F"/>
    <w:rsid w:val="00084808"/>
    <w:rsid w:val="00085770"/>
    <w:rsid w:val="00090A6A"/>
    <w:rsid w:val="00092365"/>
    <w:rsid w:val="00094E7B"/>
    <w:rsid w:val="00095CA3"/>
    <w:rsid w:val="00096FEC"/>
    <w:rsid w:val="000A2069"/>
    <w:rsid w:val="000A29B4"/>
    <w:rsid w:val="000A511D"/>
    <w:rsid w:val="000A59A9"/>
    <w:rsid w:val="000B3585"/>
    <w:rsid w:val="000B3D62"/>
    <w:rsid w:val="000B771E"/>
    <w:rsid w:val="000C089F"/>
    <w:rsid w:val="000C24E8"/>
    <w:rsid w:val="000C2B43"/>
    <w:rsid w:val="000C3815"/>
    <w:rsid w:val="000C59BB"/>
    <w:rsid w:val="000C5DB7"/>
    <w:rsid w:val="000C7B4F"/>
    <w:rsid w:val="000D0E41"/>
    <w:rsid w:val="000D1D9C"/>
    <w:rsid w:val="000D4791"/>
    <w:rsid w:val="000D501C"/>
    <w:rsid w:val="000D5563"/>
    <w:rsid w:val="000E0D62"/>
    <w:rsid w:val="000E2D62"/>
    <w:rsid w:val="000E3B37"/>
    <w:rsid w:val="000E638B"/>
    <w:rsid w:val="000E674F"/>
    <w:rsid w:val="000E6ADE"/>
    <w:rsid w:val="000E77E1"/>
    <w:rsid w:val="000E7DD6"/>
    <w:rsid w:val="000E7E36"/>
    <w:rsid w:val="000F116D"/>
    <w:rsid w:val="000F1EB8"/>
    <w:rsid w:val="000F3BB1"/>
    <w:rsid w:val="000F4977"/>
    <w:rsid w:val="000F4994"/>
    <w:rsid w:val="000F7516"/>
    <w:rsid w:val="00100CBD"/>
    <w:rsid w:val="00101CAF"/>
    <w:rsid w:val="0010200E"/>
    <w:rsid w:val="0010255B"/>
    <w:rsid w:val="00102A8E"/>
    <w:rsid w:val="00105352"/>
    <w:rsid w:val="00105A9B"/>
    <w:rsid w:val="001069EE"/>
    <w:rsid w:val="00107650"/>
    <w:rsid w:val="00115FDF"/>
    <w:rsid w:val="00116D1A"/>
    <w:rsid w:val="00117091"/>
    <w:rsid w:val="00121C89"/>
    <w:rsid w:val="00123112"/>
    <w:rsid w:val="00123E58"/>
    <w:rsid w:val="0012410F"/>
    <w:rsid w:val="00124396"/>
    <w:rsid w:val="00125C8E"/>
    <w:rsid w:val="0012691C"/>
    <w:rsid w:val="00127C92"/>
    <w:rsid w:val="001300B7"/>
    <w:rsid w:val="00131347"/>
    <w:rsid w:val="001314F6"/>
    <w:rsid w:val="00133F91"/>
    <w:rsid w:val="00135F64"/>
    <w:rsid w:val="001376E0"/>
    <w:rsid w:val="00137C16"/>
    <w:rsid w:val="0014093D"/>
    <w:rsid w:val="00142470"/>
    <w:rsid w:val="0014251B"/>
    <w:rsid w:val="00142BD9"/>
    <w:rsid w:val="00142D39"/>
    <w:rsid w:val="00145BFA"/>
    <w:rsid w:val="0015261F"/>
    <w:rsid w:val="0015393C"/>
    <w:rsid w:val="00155E78"/>
    <w:rsid w:val="001571AE"/>
    <w:rsid w:val="0016217D"/>
    <w:rsid w:val="00163D47"/>
    <w:rsid w:val="00164218"/>
    <w:rsid w:val="00166AF6"/>
    <w:rsid w:val="00167D7A"/>
    <w:rsid w:val="00167F33"/>
    <w:rsid w:val="00177834"/>
    <w:rsid w:val="001818F0"/>
    <w:rsid w:val="001871FB"/>
    <w:rsid w:val="00187D6D"/>
    <w:rsid w:val="0019115B"/>
    <w:rsid w:val="00193AD8"/>
    <w:rsid w:val="00193C3F"/>
    <w:rsid w:val="00194CD0"/>
    <w:rsid w:val="001953E0"/>
    <w:rsid w:val="00196201"/>
    <w:rsid w:val="001974BD"/>
    <w:rsid w:val="001A11AB"/>
    <w:rsid w:val="001A6568"/>
    <w:rsid w:val="001B1752"/>
    <w:rsid w:val="001B2086"/>
    <w:rsid w:val="001B291F"/>
    <w:rsid w:val="001B2B62"/>
    <w:rsid w:val="001B366C"/>
    <w:rsid w:val="001B4CDA"/>
    <w:rsid w:val="001C1197"/>
    <w:rsid w:val="001C208B"/>
    <w:rsid w:val="001C2B53"/>
    <w:rsid w:val="001C3967"/>
    <w:rsid w:val="001C3C1F"/>
    <w:rsid w:val="001D0C82"/>
    <w:rsid w:val="001D128C"/>
    <w:rsid w:val="001D37D3"/>
    <w:rsid w:val="001D3A9C"/>
    <w:rsid w:val="001D46D4"/>
    <w:rsid w:val="001D4D53"/>
    <w:rsid w:val="001D4E62"/>
    <w:rsid w:val="001D5085"/>
    <w:rsid w:val="001D5284"/>
    <w:rsid w:val="001D5816"/>
    <w:rsid w:val="001D6B97"/>
    <w:rsid w:val="001D6FAA"/>
    <w:rsid w:val="001E1B2F"/>
    <w:rsid w:val="001E556F"/>
    <w:rsid w:val="001E60B2"/>
    <w:rsid w:val="001E7758"/>
    <w:rsid w:val="001F5705"/>
    <w:rsid w:val="001F633B"/>
    <w:rsid w:val="001F77D1"/>
    <w:rsid w:val="00200E2F"/>
    <w:rsid w:val="00201170"/>
    <w:rsid w:val="00201EC3"/>
    <w:rsid w:val="00206066"/>
    <w:rsid w:val="00206DE1"/>
    <w:rsid w:val="00212973"/>
    <w:rsid w:val="002141FD"/>
    <w:rsid w:val="00214D23"/>
    <w:rsid w:val="00216CBD"/>
    <w:rsid w:val="00217004"/>
    <w:rsid w:val="002230E3"/>
    <w:rsid w:val="002232C9"/>
    <w:rsid w:val="0022445F"/>
    <w:rsid w:val="00226235"/>
    <w:rsid w:val="002279AE"/>
    <w:rsid w:val="002321D0"/>
    <w:rsid w:val="00233F4C"/>
    <w:rsid w:val="002344BB"/>
    <w:rsid w:val="0023490B"/>
    <w:rsid w:val="002409A5"/>
    <w:rsid w:val="00241720"/>
    <w:rsid w:val="00244A70"/>
    <w:rsid w:val="00244AB8"/>
    <w:rsid w:val="00244AF1"/>
    <w:rsid w:val="0024589F"/>
    <w:rsid w:val="00245ED6"/>
    <w:rsid w:val="00246239"/>
    <w:rsid w:val="002477CB"/>
    <w:rsid w:val="0025031F"/>
    <w:rsid w:val="00252780"/>
    <w:rsid w:val="00253F22"/>
    <w:rsid w:val="00254098"/>
    <w:rsid w:val="00255568"/>
    <w:rsid w:val="002558F9"/>
    <w:rsid w:val="0026512F"/>
    <w:rsid w:val="0026676B"/>
    <w:rsid w:val="002712D1"/>
    <w:rsid w:val="0027215E"/>
    <w:rsid w:val="00272D09"/>
    <w:rsid w:val="002743E9"/>
    <w:rsid w:val="00275D11"/>
    <w:rsid w:val="00281090"/>
    <w:rsid w:val="0028114B"/>
    <w:rsid w:val="002816EC"/>
    <w:rsid w:val="00281874"/>
    <w:rsid w:val="0028665C"/>
    <w:rsid w:val="0028766A"/>
    <w:rsid w:val="002915D6"/>
    <w:rsid w:val="002927EB"/>
    <w:rsid w:val="00293B93"/>
    <w:rsid w:val="00294381"/>
    <w:rsid w:val="002946EE"/>
    <w:rsid w:val="002947C0"/>
    <w:rsid w:val="0029508D"/>
    <w:rsid w:val="0029692B"/>
    <w:rsid w:val="00296DA2"/>
    <w:rsid w:val="0029733B"/>
    <w:rsid w:val="00297C26"/>
    <w:rsid w:val="002A0032"/>
    <w:rsid w:val="002A271C"/>
    <w:rsid w:val="002A399B"/>
    <w:rsid w:val="002A3AAE"/>
    <w:rsid w:val="002A43C3"/>
    <w:rsid w:val="002A4456"/>
    <w:rsid w:val="002A522E"/>
    <w:rsid w:val="002A5BF4"/>
    <w:rsid w:val="002A5FA2"/>
    <w:rsid w:val="002A6C86"/>
    <w:rsid w:val="002A7F31"/>
    <w:rsid w:val="002B0A48"/>
    <w:rsid w:val="002B2800"/>
    <w:rsid w:val="002B2813"/>
    <w:rsid w:val="002B3582"/>
    <w:rsid w:val="002B4ADA"/>
    <w:rsid w:val="002B4F1D"/>
    <w:rsid w:val="002B56BC"/>
    <w:rsid w:val="002B6116"/>
    <w:rsid w:val="002B7CC6"/>
    <w:rsid w:val="002C12BC"/>
    <w:rsid w:val="002C2AE4"/>
    <w:rsid w:val="002C2D4A"/>
    <w:rsid w:val="002C3528"/>
    <w:rsid w:val="002C4C50"/>
    <w:rsid w:val="002D0B70"/>
    <w:rsid w:val="002D480B"/>
    <w:rsid w:val="002D4C70"/>
    <w:rsid w:val="002E1534"/>
    <w:rsid w:val="002E1978"/>
    <w:rsid w:val="002E3CAD"/>
    <w:rsid w:val="002E54EC"/>
    <w:rsid w:val="002E61F8"/>
    <w:rsid w:val="002F0414"/>
    <w:rsid w:val="002F1F0F"/>
    <w:rsid w:val="002F4032"/>
    <w:rsid w:val="002F4767"/>
    <w:rsid w:val="002F5C48"/>
    <w:rsid w:val="002F79F7"/>
    <w:rsid w:val="00300A03"/>
    <w:rsid w:val="00301FA1"/>
    <w:rsid w:val="003020C0"/>
    <w:rsid w:val="003020F1"/>
    <w:rsid w:val="00304F52"/>
    <w:rsid w:val="0030517E"/>
    <w:rsid w:val="003073BB"/>
    <w:rsid w:val="0031042D"/>
    <w:rsid w:val="0031514A"/>
    <w:rsid w:val="00316FE2"/>
    <w:rsid w:val="00317535"/>
    <w:rsid w:val="00320D69"/>
    <w:rsid w:val="00322525"/>
    <w:rsid w:val="00322E59"/>
    <w:rsid w:val="003249BD"/>
    <w:rsid w:val="00324C40"/>
    <w:rsid w:val="00326BD3"/>
    <w:rsid w:val="00330F01"/>
    <w:rsid w:val="00331CD4"/>
    <w:rsid w:val="0033265D"/>
    <w:rsid w:val="0033594F"/>
    <w:rsid w:val="003405D4"/>
    <w:rsid w:val="00342E8D"/>
    <w:rsid w:val="003435B6"/>
    <w:rsid w:val="00347D1F"/>
    <w:rsid w:val="00351BC9"/>
    <w:rsid w:val="00353DF1"/>
    <w:rsid w:val="00354ABD"/>
    <w:rsid w:val="0035535E"/>
    <w:rsid w:val="00355CE3"/>
    <w:rsid w:val="003603AD"/>
    <w:rsid w:val="00360658"/>
    <w:rsid w:val="00361478"/>
    <w:rsid w:val="00362997"/>
    <w:rsid w:val="003633EA"/>
    <w:rsid w:val="00363A5B"/>
    <w:rsid w:val="003669F6"/>
    <w:rsid w:val="00371800"/>
    <w:rsid w:val="00374511"/>
    <w:rsid w:val="00374674"/>
    <w:rsid w:val="00380FC2"/>
    <w:rsid w:val="003820C5"/>
    <w:rsid w:val="00382258"/>
    <w:rsid w:val="00383425"/>
    <w:rsid w:val="00384507"/>
    <w:rsid w:val="003859A8"/>
    <w:rsid w:val="00385C2D"/>
    <w:rsid w:val="00386B8C"/>
    <w:rsid w:val="00387BBC"/>
    <w:rsid w:val="003912DA"/>
    <w:rsid w:val="00391ADC"/>
    <w:rsid w:val="00391D53"/>
    <w:rsid w:val="00393F0D"/>
    <w:rsid w:val="00394A69"/>
    <w:rsid w:val="003950F9"/>
    <w:rsid w:val="003A12C4"/>
    <w:rsid w:val="003A3E01"/>
    <w:rsid w:val="003A4293"/>
    <w:rsid w:val="003A47CE"/>
    <w:rsid w:val="003A481A"/>
    <w:rsid w:val="003A4A2A"/>
    <w:rsid w:val="003B177D"/>
    <w:rsid w:val="003B184C"/>
    <w:rsid w:val="003B326D"/>
    <w:rsid w:val="003B4515"/>
    <w:rsid w:val="003B6F7D"/>
    <w:rsid w:val="003C0625"/>
    <w:rsid w:val="003C1541"/>
    <w:rsid w:val="003C38F4"/>
    <w:rsid w:val="003C5D81"/>
    <w:rsid w:val="003D152B"/>
    <w:rsid w:val="003D1B94"/>
    <w:rsid w:val="003D23A5"/>
    <w:rsid w:val="003D4284"/>
    <w:rsid w:val="003D42A7"/>
    <w:rsid w:val="003D478E"/>
    <w:rsid w:val="003D5234"/>
    <w:rsid w:val="003D60E0"/>
    <w:rsid w:val="003D6E1D"/>
    <w:rsid w:val="003D7D79"/>
    <w:rsid w:val="003D7F00"/>
    <w:rsid w:val="003E0227"/>
    <w:rsid w:val="003E02F0"/>
    <w:rsid w:val="003E28C7"/>
    <w:rsid w:val="003E2976"/>
    <w:rsid w:val="003F2BA3"/>
    <w:rsid w:val="003F3470"/>
    <w:rsid w:val="003F3C05"/>
    <w:rsid w:val="003F4EE1"/>
    <w:rsid w:val="003F5030"/>
    <w:rsid w:val="003F62E9"/>
    <w:rsid w:val="003F7FF5"/>
    <w:rsid w:val="00402998"/>
    <w:rsid w:val="00404DFD"/>
    <w:rsid w:val="0040645A"/>
    <w:rsid w:val="0041034E"/>
    <w:rsid w:val="0041151F"/>
    <w:rsid w:val="00414BF2"/>
    <w:rsid w:val="004150F5"/>
    <w:rsid w:val="004153EF"/>
    <w:rsid w:val="004168CB"/>
    <w:rsid w:val="00417556"/>
    <w:rsid w:val="00420122"/>
    <w:rsid w:val="004211FA"/>
    <w:rsid w:val="00424723"/>
    <w:rsid w:val="00427AA0"/>
    <w:rsid w:val="00430389"/>
    <w:rsid w:val="00430D89"/>
    <w:rsid w:val="00431A11"/>
    <w:rsid w:val="00432AF1"/>
    <w:rsid w:val="00432E47"/>
    <w:rsid w:val="00433406"/>
    <w:rsid w:val="00433AB4"/>
    <w:rsid w:val="00433E5D"/>
    <w:rsid w:val="0043445E"/>
    <w:rsid w:val="0043504D"/>
    <w:rsid w:val="004362A2"/>
    <w:rsid w:val="00436B5D"/>
    <w:rsid w:val="0044566B"/>
    <w:rsid w:val="00445E31"/>
    <w:rsid w:val="004471CF"/>
    <w:rsid w:val="00447956"/>
    <w:rsid w:val="00451926"/>
    <w:rsid w:val="00460924"/>
    <w:rsid w:val="00462D68"/>
    <w:rsid w:val="00463D52"/>
    <w:rsid w:val="0046466C"/>
    <w:rsid w:val="00465702"/>
    <w:rsid w:val="00465FE7"/>
    <w:rsid w:val="00466C6A"/>
    <w:rsid w:val="00470ADE"/>
    <w:rsid w:val="004711CD"/>
    <w:rsid w:val="004720AA"/>
    <w:rsid w:val="0047256F"/>
    <w:rsid w:val="00472F87"/>
    <w:rsid w:val="00474707"/>
    <w:rsid w:val="00474A0B"/>
    <w:rsid w:val="004753A1"/>
    <w:rsid w:val="0047637C"/>
    <w:rsid w:val="00477299"/>
    <w:rsid w:val="00481454"/>
    <w:rsid w:val="004814FF"/>
    <w:rsid w:val="004821A4"/>
    <w:rsid w:val="0048379A"/>
    <w:rsid w:val="004849BB"/>
    <w:rsid w:val="00485087"/>
    <w:rsid w:val="00485422"/>
    <w:rsid w:val="004857F6"/>
    <w:rsid w:val="00485E6A"/>
    <w:rsid w:val="00486027"/>
    <w:rsid w:val="00487668"/>
    <w:rsid w:val="00491910"/>
    <w:rsid w:val="00491DBD"/>
    <w:rsid w:val="0049237B"/>
    <w:rsid w:val="004929B5"/>
    <w:rsid w:val="00496661"/>
    <w:rsid w:val="00496906"/>
    <w:rsid w:val="00497735"/>
    <w:rsid w:val="004A117E"/>
    <w:rsid w:val="004A1385"/>
    <w:rsid w:val="004A1D38"/>
    <w:rsid w:val="004A20CF"/>
    <w:rsid w:val="004A2936"/>
    <w:rsid w:val="004A40D6"/>
    <w:rsid w:val="004A4EB6"/>
    <w:rsid w:val="004A59E5"/>
    <w:rsid w:val="004B4E39"/>
    <w:rsid w:val="004B61AC"/>
    <w:rsid w:val="004B7B9D"/>
    <w:rsid w:val="004C1707"/>
    <w:rsid w:val="004C1847"/>
    <w:rsid w:val="004C2A3F"/>
    <w:rsid w:val="004C2C86"/>
    <w:rsid w:val="004C3DE5"/>
    <w:rsid w:val="004D154B"/>
    <w:rsid w:val="004D15B8"/>
    <w:rsid w:val="004D3CA1"/>
    <w:rsid w:val="004D4910"/>
    <w:rsid w:val="004D5983"/>
    <w:rsid w:val="004D63F2"/>
    <w:rsid w:val="004D7D67"/>
    <w:rsid w:val="004E0C43"/>
    <w:rsid w:val="004E1310"/>
    <w:rsid w:val="004E30F5"/>
    <w:rsid w:val="004E3D73"/>
    <w:rsid w:val="004E4BFA"/>
    <w:rsid w:val="004E536D"/>
    <w:rsid w:val="004E75FE"/>
    <w:rsid w:val="004F13F2"/>
    <w:rsid w:val="004F1945"/>
    <w:rsid w:val="004F39C0"/>
    <w:rsid w:val="004F48ED"/>
    <w:rsid w:val="004F5855"/>
    <w:rsid w:val="004F6210"/>
    <w:rsid w:val="004F7D1C"/>
    <w:rsid w:val="005006BA"/>
    <w:rsid w:val="005012B2"/>
    <w:rsid w:val="00501438"/>
    <w:rsid w:val="00501997"/>
    <w:rsid w:val="005023A1"/>
    <w:rsid w:val="0050585D"/>
    <w:rsid w:val="00505946"/>
    <w:rsid w:val="005074B9"/>
    <w:rsid w:val="00507555"/>
    <w:rsid w:val="00507FF2"/>
    <w:rsid w:val="00510F00"/>
    <w:rsid w:val="00512B70"/>
    <w:rsid w:val="0051461E"/>
    <w:rsid w:val="00514693"/>
    <w:rsid w:val="005160A1"/>
    <w:rsid w:val="005163AB"/>
    <w:rsid w:val="005172FC"/>
    <w:rsid w:val="00517B65"/>
    <w:rsid w:val="0052203A"/>
    <w:rsid w:val="00522073"/>
    <w:rsid w:val="00522ADE"/>
    <w:rsid w:val="00522B03"/>
    <w:rsid w:val="00523253"/>
    <w:rsid w:val="005233EF"/>
    <w:rsid w:val="005252AA"/>
    <w:rsid w:val="0052688D"/>
    <w:rsid w:val="00526976"/>
    <w:rsid w:val="00527CD0"/>
    <w:rsid w:val="00530A8F"/>
    <w:rsid w:val="00530CAD"/>
    <w:rsid w:val="00531CC7"/>
    <w:rsid w:val="005328C0"/>
    <w:rsid w:val="005342D3"/>
    <w:rsid w:val="00534DA0"/>
    <w:rsid w:val="00536667"/>
    <w:rsid w:val="00536A71"/>
    <w:rsid w:val="005402C8"/>
    <w:rsid w:val="0054069D"/>
    <w:rsid w:val="00551E8E"/>
    <w:rsid w:val="00554B8F"/>
    <w:rsid w:val="00560EE3"/>
    <w:rsid w:val="00562B47"/>
    <w:rsid w:val="00564A4C"/>
    <w:rsid w:val="00564A92"/>
    <w:rsid w:val="00564CB0"/>
    <w:rsid w:val="00565E0E"/>
    <w:rsid w:val="005666FB"/>
    <w:rsid w:val="00566726"/>
    <w:rsid w:val="00570F57"/>
    <w:rsid w:val="005713B8"/>
    <w:rsid w:val="0057415A"/>
    <w:rsid w:val="00577D21"/>
    <w:rsid w:val="0058016E"/>
    <w:rsid w:val="00581228"/>
    <w:rsid w:val="00584E1D"/>
    <w:rsid w:val="00585CA2"/>
    <w:rsid w:val="00587385"/>
    <w:rsid w:val="00591758"/>
    <w:rsid w:val="0059449D"/>
    <w:rsid w:val="005A0302"/>
    <w:rsid w:val="005A1A1C"/>
    <w:rsid w:val="005A1F68"/>
    <w:rsid w:val="005A358C"/>
    <w:rsid w:val="005A4387"/>
    <w:rsid w:val="005A5CBD"/>
    <w:rsid w:val="005A62B4"/>
    <w:rsid w:val="005A6A94"/>
    <w:rsid w:val="005B0E44"/>
    <w:rsid w:val="005B4CB7"/>
    <w:rsid w:val="005B4D4F"/>
    <w:rsid w:val="005B5FEB"/>
    <w:rsid w:val="005B6503"/>
    <w:rsid w:val="005B6DC3"/>
    <w:rsid w:val="005B7986"/>
    <w:rsid w:val="005C0503"/>
    <w:rsid w:val="005C4A54"/>
    <w:rsid w:val="005C4B7C"/>
    <w:rsid w:val="005C5864"/>
    <w:rsid w:val="005C5E96"/>
    <w:rsid w:val="005C668D"/>
    <w:rsid w:val="005C7286"/>
    <w:rsid w:val="005D02E3"/>
    <w:rsid w:val="005D04AB"/>
    <w:rsid w:val="005D07C8"/>
    <w:rsid w:val="005D1618"/>
    <w:rsid w:val="005D1791"/>
    <w:rsid w:val="005D56E2"/>
    <w:rsid w:val="005D5971"/>
    <w:rsid w:val="005D679A"/>
    <w:rsid w:val="005E01A4"/>
    <w:rsid w:val="005E308C"/>
    <w:rsid w:val="005E41C3"/>
    <w:rsid w:val="005F0AEA"/>
    <w:rsid w:val="005F0FE1"/>
    <w:rsid w:val="005F5FB8"/>
    <w:rsid w:val="005F6088"/>
    <w:rsid w:val="005F73B2"/>
    <w:rsid w:val="006015F3"/>
    <w:rsid w:val="00605483"/>
    <w:rsid w:val="00607B75"/>
    <w:rsid w:val="0061044B"/>
    <w:rsid w:val="00611BFA"/>
    <w:rsid w:val="0061287B"/>
    <w:rsid w:val="00612AE7"/>
    <w:rsid w:val="00613BAD"/>
    <w:rsid w:val="006146CC"/>
    <w:rsid w:val="00615162"/>
    <w:rsid w:val="006154DE"/>
    <w:rsid w:val="006159CA"/>
    <w:rsid w:val="00615FD3"/>
    <w:rsid w:val="006162A7"/>
    <w:rsid w:val="00616500"/>
    <w:rsid w:val="00616FC2"/>
    <w:rsid w:val="00620178"/>
    <w:rsid w:val="00620EDA"/>
    <w:rsid w:val="00621F3E"/>
    <w:rsid w:val="006229C0"/>
    <w:rsid w:val="00624369"/>
    <w:rsid w:val="0062474A"/>
    <w:rsid w:val="0062526D"/>
    <w:rsid w:val="00626D4C"/>
    <w:rsid w:val="006271CB"/>
    <w:rsid w:val="00630155"/>
    <w:rsid w:val="00632FF0"/>
    <w:rsid w:val="006332F4"/>
    <w:rsid w:val="00633A9D"/>
    <w:rsid w:val="00633D0F"/>
    <w:rsid w:val="006371BF"/>
    <w:rsid w:val="0064007B"/>
    <w:rsid w:val="00643802"/>
    <w:rsid w:val="00646062"/>
    <w:rsid w:val="00646C07"/>
    <w:rsid w:val="00647F36"/>
    <w:rsid w:val="006517F3"/>
    <w:rsid w:val="00651F05"/>
    <w:rsid w:val="0065354E"/>
    <w:rsid w:val="006546E0"/>
    <w:rsid w:val="00654CAB"/>
    <w:rsid w:val="00655744"/>
    <w:rsid w:val="00660750"/>
    <w:rsid w:val="006615F2"/>
    <w:rsid w:val="00662DF1"/>
    <w:rsid w:val="00663267"/>
    <w:rsid w:val="0066343E"/>
    <w:rsid w:val="00664A8F"/>
    <w:rsid w:val="006663BB"/>
    <w:rsid w:val="00667692"/>
    <w:rsid w:val="00670273"/>
    <w:rsid w:val="00670737"/>
    <w:rsid w:val="00673B1F"/>
    <w:rsid w:val="00674201"/>
    <w:rsid w:val="006745BE"/>
    <w:rsid w:val="006753B8"/>
    <w:rsid w:val="00682D32"/>
    <w:rsid w:val="006830CB"/>
    <w:rsid w:val="006834E4"/>
    <w:rsid w:val="00685672"/>
    <w:rsid w:val="00685BEE"/>
    <w:rsid w:val="006863ED"/>
    <w:rsid w:val="006867A7"/>
    <w:rsid w:val="0068691A"/>
    <w:rsid w:val="00693975"/>
    <w:rsid w:val="006967EF"/>
    <w:rsid w:val="00696A73"/>
    <w:rsid w:val="0069710C"/>
    <w:rsid w:val="006A5086"/>
    <w:rsid w:val="006A5B37"/>
    <w:rsid w:val="006A7934"/>
    <w:rsid w:val="006B495C"/>
    <w:rsid w:val="006B4F11"/>
    <w:rsid w:val="006B60D1"/>
    <w:rsid w:val="006B6CC3"/>
    <w:rsid w:val="006C1423"/>
    <w:rsid w:val="006C49C5"/>
    <w:rsid w:val="006C49CD"/>
    <w:rsid w:val="006C604A"/>
    <w:rsid w:val="006C6BCF"/>
    <w:rsid w:val="006C7889"/>
    <w:rsid w:val="006D22EB"/>
    <w:rsid w:val="006D3DEA"/>
    <w:rsid w:val="006D4799"/>
    <w:rsid w:val="006D51FF"/>
    <w:rsid w:val="006D5D94"/>
    <w:rsid w:val="006D688A"/>
    <w:rsid w:val="006E0A43"/>
    <w:rsid w:val="006E12E7"/>
    <w:rsid w:val="006F00EE"/>
    <w:rsid w:val="006F2DA5"/>
    <w:rsid w:val="006F4D56"/>
    <w:rsid w:val="006F6047"/>
    <w:rsid w:val="0070023E"/>
    <w:rsid w:val="00700421"/>
    <w:rsid w:val="0070104C"/>
    <w:rsid w:val="00701444"/>
    <w:rsid w:val="0070161C"/>
    <w:rsid w:val="00704868"/>
    <w:rsid w:val="007050CA"/>
    <w:rsid w:val="00705C57"/>
    <w:rsid w:val="0071191A"/>
    <w:rsid w:val="00711F03"/>
    <w:rsid w:val="00715820"/>
    <w:rsid w:val="00715C71"/>
    <w:rsid w:val="007209A1"/>
    <w:rsid w:val="00722BA9"/>
    <w:rsid w:val="0072475A"/>
    <w:rsid w:val="00726578"/>
    <w:rsid w:val="0073021D"/>
    <w:rsid w:val="00730FB0"/>
    <w:rsid w:val="00733387"/>
    <w:rsid w:val="0074235D"/>
    <w:rsid w:val="007434DC"/>
    <w:rsid w:val="007447EC"/>
    <w:rsid w:val="00745D63"/>
    <w:rsid w:val="007469BB"/>
    <w:rsid w:val="00746E9B"/>
    <w:rsid w:val="007512EE"/>
    <w:rsid w:val="00751493"/>
    <w:rsid w:val="00752B48"/>
    <w:rsid w:val="00755191"/>
    <w:rsid w:val="00755665"/>
    <w:rsid w:val="00755D49"/>
    <w:rsid w:val="00760DAF"/>
    <w:rsid w:val="00761CC4"/>
    <w:rsid w:val="00766DE8"/>
    <w:rsid w:val="00766FA2"/>
    <w:rsid w:val="00772168"/>
    <w:rsid w:val="00773A85"/>
    <w:rsid w:val="00773BDC"/>
    <w:rsid w:val="00774E58"/>
    <w:rsid w:val="00775293"/>
    <w:rsid w:val="00776A7A"/>
    <w:rsid w:val="00777396"/>
    <w:rsid w:val="007776D8"/>
    <w:rsid w:val="007804A1"/>
    <w:rsid w:val="00780B7D"/>
    <w:rsid w:val="00780CC5"/>
    <w:rsid w:val="007810E5"/>
    <w:rsid w:val="007812A2"/>
    <w:rsid w:val="007866D3"/>
    <w:rsid w:val="00790209"/>
    <w:rsid w:val="00791099"/>
    <w:rsid w:val="0079296B"/>
    <w:rsid w:val="0079603E"/>
    <w:rsid w:val="0079712D"/>
    <w:rsid w:val="0079770D"/>
    <w:rsid w:val="007A1D0D"/>
    <w:rsid w:val="007A1DDF"/>
    <w:rsid w:val="007B197E"/>
    <w:rsid w:val="007B21FC"/>
    <w:rsid w:val="007B4E2D"/>
    <w:rsid w:val="007C0389"/>
    <w:rsid w:val="007C0D46"/>
    <w:rsid w:val="007D02C6"/>
    <w:rsid w:val="007D3BE9"/>
    <w:rsid w:val="007D48DD"/>
    <w:rsid w:val="007D4A96"/>
    <w:rsid w:val="007D6985"/>
    <w:rsid w:val="007D71D0"/>
    <w:rsid w:val="007E1222"/>
    <w:rsid w:val="007E345E"/>
    <w:rsid w:val="007F17B2"/>
    <w:rsid w:val="007F2142"/>
    <w:rsid w:val="007F276C"/>
    <w:rsid w:val="007F2B6F"/>
    <w:rsid w:val="007F2D28"/>
    <w:rsid w:val="007F3540"/>
    <w:rsid w:val="007F43B3"/>
    <w:rsid w:val="007F6FD5"/>
    <w:rsid w:val="00802BD0"/>
    <w:rsid w:val="00803E57"/>
    <w:rsid w:val="0080675B"/>
    <w:rsid w:val="00807448"/>
    <w:rsid w:val="00807E29"/>
    <w:rsid w:val="008106B7"/>
    <w:rsid w:val="00811F70"/>
    <w:rsid w:val="00813098"/>
    <w:rsid w:val="0081338F"/>
    <w:rsid w:val="00815063"/>
    <w:rsid w:val="00815A0D"/>
    <w:rsid w:val="0081627B"/>
    <w:rsid w:val="0081787A"/>
    <w:rsid w:val="00817A38"/>
    <w:rsid w:val="00822EDC"/>
    <w:rsid w:val="008239BC"/>
    <w:rsid w:val="00823DE7"/>
    <w:rsid w:val="00823E1F"/>
    <w:rsid w:val="00824118"/>
    <w:rsid w:val="0082452A"/>
    <w:rsid w:val="008245F8"/>
    <w:rsid w:val="00824802"/>
    <w:rsid w:val="00827429"/>
    <w:rsid w:val="00831494"/>
    <w:rsid w:val="00835345"/>
    <w:rsid w:val="00840FBE"/>
    <w:rsid w:val="00841805"/>
    <w:rsid w:val="008425DE"/>
    <w:rsid w:val="00844598"/>
    <w:rsid w:val="008515D8"/>
    <w:rsid w:val="008520F1"/>
    <w:rsid w:val="00852927"/>
    <w:rsid w:val="00852E5A"/>
    <w:rsid w:val="00856B5D"/>
    <w:rsid w:val="0085780B"/>
    <w:rsid w:val="008607DC"/>
    <w:rsid w:val="00862934"/>
    <w:rsid w:val="00863D39"/>
    <w:rsid w:val="00865511"/>
    <w:rsid w:val="00870831"/>
    <w:rsid w:val="00871943"/>
    <w:rsid w:val="00871E8A"/>
    <w:rsid w:val="008760F2"/>
    <w:rsid w:val="00880936"/>
    <w:rsid w:val="00884360"/>
    <w:rsid w:val="00885274"/>
    <w:rsid w:val="008879C5"/>
    <w:rsid w:val="00892ECA"/>
    <w:rsid w:val="00897884"/>
    <w:rsid w:val="008A0619"/>
    <w:rsid w:val="008A1118"/>
    <w:rsid w:val="008A1C02"/>
    <w:rsid w:val="008A7879"/>
    <w:rsid w:val="008B3774"/>
    <w:rsid w:val="008B3CE5"/>
    <w:rsid w:val="008B4A62"/>
    <w:rsid w:val="008B5F1A"/>
    <w:rsid w:val="008B62B5"/>
    <w:rsid w:val="008B7856"/>
    <w:rsid w:val="008C0DBE"/>
    <w:rsid w:val="008C181E"/>
    <w:rsid w:val="008C1B41"/>
    <w:rsid w:val="008C3C15"/>
    <w:rsid w:val="008C4606"/>
    <w:rsid w:val="008C64B2"/>
    <w:rsid w:val="008C7544"/>
    <w:rsid w:val="008D10F1"/>
    <w:rsid w:val="008D18FD"/>
    <w:rsid w:val="008D1DBD"/>
    <w:rsid w:val="008D3DC4"/>
    <w:rsid w:val="008D5112"/>
    <w:rsid w:val="008D67BD"/>
    <w:rsid w:val="008D6AC2"/>
    <w:rsid w:val="008D7532"/>
    <w:rsid w:val="008D7884"/>
    <w:rsid w:val="008D7DD8"/>
    <w:rsid w:val="008E0378"/>
    <w:rsid w:val="008E0644"/>
    <w:rsid w:val="008E0A79"/>
    <w:rsid w:val="008E188D"/>
    <w:rsid w:val="008E4FDC"/>
    <w:rsid w:val="008E6FC9"/>
    <w:rsid w:val="008F2BC8"/>
    <w:rsid w:val="008F4E32"/>
    <w:rsid w:val="008F527C"/>
    <w:rsid w:val="008F5E15"/>
    <w:rsid w:val="008F64C6"/>
    <w:rsid w:val="00900AD9"/>
    <w:rsid w:val="00900BD2"/>
    <w:rsid w:val="009055C6"/>
    <w:rsid w:val="00906D71"/>
    <w:rsid w:val="00911C03"/>
    <w:rsid w:val="00911C2B"/>
    <w:rsid w:val="00912938"/>
    <w:rsid w:val="00913263"/>
    <w:rsid w:val="009145C2"/>
    <w:rsid w:val="009158E6"/>
    <w:rsid w:val="009210E8"/>
    <w:rsid w:val="009214E2"/>
    <w:rsid w:val="00921EA3"/>
    <w:rsid w:val="00923E44"/>
    <w:rsid w:val="009243EC"/>
    <w:rsid w:val="00924C12"/>
    <w:rsid w:val="00924CF4"/>
    <w:rsid w:val="00926FB9"/>
    <w:rsid w:val="00927F82"/>
    <w:rsid w:val="00930745"/>
    <w:rsid w:val="009326C2"/>
    <w:rsid w:val="00932C0A"/>
    <w:rsid w:val="00937BBD"/>
    <w:rsid w:val="00940813"/>
    <w:rsid w:val="009430C6"/>
    <w:rsid w:val="009451B4"/>
    <w:rsid w:val="00947E5A"/>
    <w:rsid w:val="0095096E"/>
    <w:rsid w:val="0095208D"/>
    <w:rsid w:val="00953E60"/>
    <w:rsid w:val="00954899"/>
    <w:rsid w:val="00955F15"/>
    <w:rsid w:val="009565C3"/>
    <w:rsid w:val="0095792E"/>
    <w:rsid w:val="00960C78"/>
    <w:rsid w:val="00962CDE"/>
    <w:rsid w:val="00963177"/>
    <w:rsid w:val="009638D9"/>
    <w:rsid w:val="00964945"/>
    <w:rsid w:val="009663E7"/>
    <w:rsid w:val="00971056"/>
    <w:rsid w:val="0097142D"/>
    <w:rsid w:val="0097222D"/>
    <w:rsid w:val="0097486A"/>
    <w:rsid w:val="009748DA"/>
    <w:rsid w:val="00975D46"/>
    <w:rsid w:val="009775B0"/>
    <w:rsid w:val="00977B6D"/>
    <w:rsid w:val="009807CF"/>
    <w:rsid w:val="0098123E"/>
    <w:rsid w:val="00982AC8"/>
    <w:rsid w:val="00982F56"/>
    <w:rsid w:val="0098361D"/>
    <w:rsid w:val="00983670"/>
    <w:rsid w:val="00986FEF"/>
    <w:rsid w:val="00987FE4"/>
    <w:rsid w:val="00990A72"/>
    <w:rsid w:val="0099254F"/>
    <w:rsid w:val="00993B36"/>
    <w:rsid w:val="00996286"/>
    <w:rsid w:val="00996DA1"/>
    <w:rsid w:val="009A1434"/>
    <w:rsid w:val="009A14F8"/>
    <w:rsid w:val="009A1B94"/>
    <w:rsid w:val="009A3204"/>
    <w:rsid w:val="009A4799"/>
    <w:rsid w:val="009A4A35"/>
    <w:rsid w:val="009A5798"/>
    <w:rsid w:val="009A5B58"/>
    <w:rsid w:val="009A66C9"/>
    <w:rsid w:val="009B3C99"/>
    <w:rsid w:val="009B6AB7"/>
    <w:rsid w:val="009B77BE"/>
    <w:rsid w:val="009C06A4"/>
    <w:rsid w:val="009C2DFB"/>
    <w:rsid w:val="009C4CAC"/>
    <w:rsid w:val="009D05CA"/>
    <w:rsid w:val="009D23EB"/>
    <w:rsid w:val="009D2F43"/>
    <w:rsid w:val="009D4D38"/>
    <w:rsid w:val="009D4E1A"/>
    <w:rsid w:val="009E303F"/>
    <w:rsid w:val="009E4AD2"/>
    <w:rsid w:val="009E7618"/>
    <w:rsid w:val="009E7CA3"/>
    <w:rsid w:val="009E7F06"/>
    <w:rsid w:val="009F3B4F"/>
    <w:rsid w:val="009F3D5E"/>
    <w:rsid w:val="009F4949"/>
    <w:rsid w:val="009F5813"/>
    <w:rsid w:val="009F77E0"/>
    <w:rsid w:val="00A0226F"/>
    <w:rsid w:val="00A02E90"/>
    <w:rsid w:val="00A0511A"/>
    <w:rsid w:val="00A114E9"/>
    <w:rsid w:val="00A11C79"/>
    <w:rsid w:val="00A1204A"/>
    <w:rsid w:val="00A1429C"/>
    <w:rsid w:val="00A15263"/>
    <w:rsid w:val="00A15ACE"/>
    <w:rsid w:val="00A17065"/>
    <w:rsid w:val="00A21194"/>
    <w:rsid w:val="00A212D0"/>
    <w:rsid w:val="00A21CA8"/>
    <w:rsid w:val="00A226BC"/>
    <w:rsid w:val="00A241B2"/>
    <w:rsid w:val="00A2445F"/>
    <w:rsid w:val="00A256F4"/>
    <w:rsid w:val="00A25952"/>
    <w:rsid w:val="00A25C52"/>
    <w:rsid w:val="00A26DEE"/>
    <w:rsid w:val="00A273ED"/>
    <w:rsid w:val="00A31BB3"/>
    <w:rsid w:val="00A32790"/>
    <w:rsid w:val="00A34D82"/>
    <w:rsid w:val="00A37038"/>
    <w:rsid w:val="00A373EB"/>
    <w:rsid w:val="00A400F7"/>
    <w:rsid w:val="00A4252A"/>
    <w:rsid w:val="00A4379F"/>
    <w:rsid w:val="00A45024"/>
    <w:rsid w:val="00A467BD"/>
    <w:rsid w:val="00A46D37"/>
    <w:rsid w:val="00A4739D"/>
    <w:rsid w:val="00A47FE5"/>
    <w:rsid w:val="00A5168D"/>
    <w:rsid w:val="00A531F8"/>
    <w:rsid w:val="00A5769F"/>
    <w:rsid w:val="00A62490"/>
    <w:rsid w:val="00A63D35"/>
    <w:rsid w:val="00A64444"/>
    <w:rsid w:val="00A66FEA"/>
    <w:rsid w:val="00A7280C"/>
    <w:rsid w:val="00A73868"/>
    <w:rsid w:val="00A73E2A"/>
    <w:rsid w:val="00A771DA"/>
    <w:rsid w:val="00A77C28"/>
    <w:rsid w:val="00A80782"/>
    <w:rsid w:val="00A80CA2"/>
    <w:rsid w:val="00A839E3"/>
    <w:rsid w:val="00A8702B"/>
    <w:rsid w:val="00A8733B"/>
    <w:rsid w:val="00A9011A"/>
    <w:rsid w:val="00A91B02"/>
    <w:rsid w:val="00A92D76"/>
    <w:rsid w:val="00A94E24"/>
    <w:rsid w:val="00A952B2"/>
    <w:rsid w:val="00A957C9"/>
    <w:rsid w:val="00AA186A"/>
    <w:rsid w:val="00AA1FEA"/>
    <w:rsid w:val="00AA2633"/>
    <w:rsid w:val="00AA40CB"/>
    <w:rsid w:val="00AA593F"/>
    <w:rsid w:val="00AA6AFC"/>
    <w:rsid w:val="00AB28DF"/>
    <w:rsid w:val="00AB33F4"/>
    <w:rsid w:val="00AB4449"/>
    <w:rsid w:val="00AB705A"/>
    <w:rsid w:val="00AC1594"/>
    <w:rsid w:val="00AC4086"/>
    <w:rsid w:val="00AC7582"/>
    <w:rsid w:val="00AC7EFA"/>
    <w:rsid w:val="00AD0620"/>
    <w:rsid w:val="00AD09D5"/>
    <w:rsid w:val="00AD175E"/>
    <w:rsid w:val="00AD19B8"/>
    <w:rsid w:val="00AE2AF4"/>
    <w:rsid w:val="00AE3091"/>
    <w:rsid w:val="00AE3E20"/>
    <w:rsid w:val="00AE5822"/>
    <w:rsid w:val="00AE6E5F"/>
    <w:rsid w:val="00AF00D8"/>
    <w:rsid w:val="00AF1097"/>
    <w:rsid w:val="00AF351A"/>
    <w:rsid w:val="00AF4279"/>
    <w:rsid w:val="00AF634C"/>
    <w:rsid w:val="00AF63C8"/>
    <w:rsid w:val="00AF6CA0"/>
    <w:rsid w:val="00AF779E"/>
    <w:rsid w:val="00B00068"/>
    <w:rsid w:val="00B01527"/>
    <w:rsid w:val="00B02EC3"/>
    <w:rsid w:val="00B03C4E"/>
    <w:rsid w:val="00B04339"/>
    <w:rsid w:val="00B04C70"/>
    <w:rsid w:val="00B05160"/>
    <w:rsid w:val="00B066D1"/>
    <w:rsid w:val="00B100CE"/>
    <w:rsid w:val="00B12B09"/>
    <w:rsid w:val="00B13072"/>
    <w:rsid w:val="00B14389"/>
    <w:rsid w:val="00B160A2"/>
    <w:rsid w:val="00B17BD9"/>
    <w:rsid w:val="00B17CDD"/>
    <w:rsid w:val="00B242C5"/>
    <w:rsid w:val="00B24CF8"/>
    <w:rsid w:val="00B251D5"/>
    <w:rsid w:val="00B2524B"/>
    <w:rsid w:val="00B25EDC"/>
    <w:rsid w:val="00B26F19"/>
    <w:rsid w:val="00B27184"/>
    <w:rsid w:val="00B30110"/>
    <w:rsid w:val="00B34318"/>
    <w:rsid w:val="00B36E36"/>
    <w:rsid w:val="00B433B9"/>
    <w:rsid w:val="00B51131"/>
    <w:rsid w:val="00B521FD"/>
    <w:rsid w:val="00B56DF0"/>
    <w:rsid w:val="00B605E5"/>
    <w:rsid w:val="00B61CC5"/>
    <w:rsid w:val="00B61EA9"/>
    <w:rsid w:val="00B62787"/>
    <w:rsid w:val="00B6429B"/>
    <w:rsid w:val="00B64F1E"/>
    <w:rsid w:val="00B65652"/>
    <w:rsid w:val="00B6686F"/>
    <w:rsid w:val="00B67567"/>
    <w:rsid w:val="00B70FE5"/>
    <w:rsid w:val="00B71255"/>
    <w:rsid w:val="00B7170F"/>
    <w:rsid w:val="00B72282"/>
    <w:rsid w:val="00B727F8"/>
    <w:rsid w:val="00B73130"/>
    <w:rsid w:val="00B73305"/>
    <w:rsid w:val="00B74F24"/>
    <w:rsid w:val="00B75C36"/>
    <w:rsid w:val="00B76CC4"/>
    <w:rsid w:val="00B776E7"/>
    <w:rsid w:val="00B8199D"/>
    <w:rsid w:val="00B81B04"/>
    <w:rsid w:val="00B84675"/>
    <w:rsid w:val="00B85135"/>
    <w:rsid w:val="00B864AF"/>
    <w:rsid w:val="00B866C5"/>
    <w:rsid w:val="00B9314A"/>
    <w:rsid w:val="00B97E8B"/>
    <w:rsid w:val="00BA0ADD"/>
    <w:rsid w:val="00BA14B3"/>
    <w:rsid w:val="00BA2894"/>
    <w:rsid w:val="00BA3F78"/>
    <w:rsid w:val="00BA5781"/>
    <w:rsid w:val="00BB0DD6"/>
    <w:rsid w:val="00BB346A"/>
    <w:rsid w:val="00BB45C0"/>
    <w:rsid w:val="00BB52C5"/>
    <w:rsid w:val="00BB57E6"/>
    <w:rsid w:val="00BB7790"/>
    <w:rsid w:val="00BB79AE"/>
    <w:rsid w:val="00BB79DA"/>
    <w:rsid w:val="00BC0A01"/>
    <w:rsid w:val="00BC0C6B"/>
    <w:rsid w:val="00BC4CDD"/>
    <w:rsid w:val="00BD1E4C"/>
    <w:rsid w:val="00BD4EAC"/>
    <w:rsid w:val="00BD67B1"/>
    <w:rsid w:val="00BD6DCC"/>
    <w:rsid w:val="00BE1AB4"/>
    <w:rsid w:val="00BE1F52"/>
    <w:rsid w:val="00BE22E9"/>
    <w:rsid w:val="00BE32EC"/>
    <w:rsid w:val="00BE38B3"/>
    <w:rsid w:val="00BE44C9"/>
    <w:rsid w:val="00BE6001"/>
    <w:rsid w:val="00BF21C7"/>
    <w:rsid w:val="00BF28CB"/>
    <w:rsid w:val="00BF2ACB"/>
    <w:rsid w:val="00BF3615"/>
    <w:rsid w:val="00BF5FF0"/>
    <w:rsid w:val="00BF7394"/>
    <w:rsid w:val="00BF74CE"/>
    <w:rsid w:val="00C018AC"/>
    <w:rsid w:val="00C04F42"/>
    <w:rsid w:val="00C0691B"/>
    <w:rsid w:val="00C106ED"/>
    <w:rsid w:val="00C113F0"/>
    <w:rsid w:val="00C12573"/>
    <w:rsid w:val="00C1485A"/>
    <w:rsid w:val="00C16053"/>
    <w:rsid w:val="00C162B0"/>
    <w:rsid w:val="00C17592"/>
    <w:rsid w:val="00C17E89"/>
    <w:rsid w:val="00C22C4C"/>
    <w:rsid w:val="00C25148"/>
    <w:rsid w:val="00C27EA8"/>
    <w:rsid w:val="00C301D0"/>
    <w:rsid w:val="00C30E44"/>
    <w:rsid w:val="00C31A9C"/>
    <w:rsid w:val="00C31FBA"/>
    <w:rsid w:val="00C3388A"/>
    <w:rsid w:val="00C41AD5"/>
    <w:rsid w:val="00C43CA0"/>
    <w:rsid w:val="00C442D5"/>
    <w:rsid w:val="00C44732"/>
    <w:rsid w:val="00C447F1"/>
    <w:rsid w:val="00C44D42"/>
    <w:rsid w:val="00C454F9"/>
    <w:rsid w:val="00C52416"/>
    <w:rsid w:val="00C52443"/>
    <w:rsid w:val="00C54A33"/>
    <w:rsid w:val="00C54B03"/>
    <w:rsid w:val="00C550A8"/>
    <w:rsid w:val="00C55F2E"/>
    <w:rsid w:val="00C56191"/>
    <w:rsid w:val="00C56A73"/>
    <w:rsid w:val="00C60B56"/>
    <w:rsid w:val="00C63873"/>
    <w:rsid w:val="00C64D04"/>
    <w:rsid w:val="00C70123"/>
    <w:rsid w:val="00C748D4"/>
    <w:rsid w:val="00C7549A"/>
    <w:rsid w:val="00C76391"/>
    <w:rsid w:val="00C81564"/>
    <w:rsid w:val="00C82955"/>
    <w:rsid w:val="00C82C08"/>
    <w:rsid w:val="00C841EB"/>
    <w:rsid w:val="00C845F4"/>
    <w:rsid w:val="00C84CDB"/>
    <w:rsid w:val="00C87516"/>
    <w:rsid w:val="00C90D32"/>
    <w:rsid w:val="00C90EAC"/>
    <w:rsid w:val="00C90FC9"/>
    <w:rsid w:val="00C9161B"/>
    <w:rsid w:val="00C94284"/>
    <w:rsid w:val="00C94879"/>
    <w:rsid w:val="00C97E02"/>
    <w:rsid w:val="00C97F5D"/>
    <w:rsid w:val="00CA0B61"/>
    <w:rsid w:val="00CA2DFB"/>
    <w:rsid w:val="00CB17FD"/>
    <w:rsid w:val="00CB2824"/>
    <w:rsid w:val="00CB3811"/>
    <w:rsid w:val="00CB7EE0"/>
    <w:rsid w:val="00CC0968"/>
    <w:rsid w:val="00CC5D6D"/>
    <w:rsid w:val="00CC63F8"/>
    <w:rsid w:val="00CD258C"/>
    <w:rsid w:val="00CD2F93"/>
    <w:rsid w:val="00CD737B"/>
    <w:rsid w:val="00CE0312"/>
    <w:rsid w:val="00CE13E3"/>
    <w:rsid w:val="00CE2BFC"/>
    <w:rsid w:val="00CE3CEF"/>
    <w:rsid w:val="00CE4DA2"/>
    <w:rsid w:val="00CE5087"/>
    <w:rsid w:val="00CE5089"/>
    <w:rsid w:val="00CE5E65"/>
    <w:rsid w:val="00CF0855"/>
    <w:rsid w:val="00CF138B"/>
    <w:rsid w:val="00CF2186"/>
    <w:rsid w:val="00CF27DA"/>
    <w:rsid w:val="00CF701C"/>
    <w:rsid w:val="00D005FA"/>
    <w:rsid w:val="00D009C5"/>
    <w:rsid w:val="00D0197C"/>
    <w:rsid w:val="00D038A1"/>
    <w:rsid w:val="00D052D2"/>
    <w:rsid w:val="00D10C43"/>
    <w:rsid w:val="00D1160F"/>
    <w:rsid w:val="00D13628"/>
    <w:rsid w:val="00D13FA7"/>
    <w:rsid w:val="00D142FE"/>
    <w:rsid w:val="00D15C29"/>
    <w:rsid w:val="00D15D0C"/>
    <w:rsid w:val="00D163C7"/>
    <w:rsid w:val="00D17B04"/>
    <w:rsid w:val="00D20FCA"/>
    <w:rsid w:val="00D2102D"/>
    <w:rsid w:val="00D223BC"/>
    <w:rsid w:val="00D22C3A"/>
    <w:rsid w:val="00D24218"/>
    <w:rsid w:val="00D25B0A"/>
    <w:rsid w:val="00D2756B"/>
    <w:rsid w:val="00D275E3"/>
    <w:rsid w:val="00D31837"/>
    <w:rsid w:val="00D33FB4"/>
    <w:rsid w:val="00D34949"/>
    <w:rsid w:val="00D368A1"/>
    <w:rsid w:val="00D37EAE"/>
    <w:rsid w:val="00D407EB"/>
    <w:rsid w:val="00D41F0F"/>
    <w:rsid w:val="00D43033"/>
    <w:rsid w:val="00D44ACA"/>
    <w:rsid w:val="00D45511"/>
    <w:rsid w:val="00D478FB"/>
    <w:rsid w:val="00D50BDE"/>
    <w:rsid w:val="00D519EA"/>
    <w:rsid w:val="00D52648"/>
    <w:rsid w:val="00D52A7B"/>
    <w:rsid w:val="00D53A8F"/>
    <w:rsid w:val="00D5416F"/>
    <w:rsid w:val="00D54245"/>
    <w:rsid w:val="00D551D9"/>
    <w:rsid w:val="00D55837"/>
    <w:rsid w:val="00D55AAB"/>
    <w:rsid w:val="00D61C34"/>
    <w:rsid w:val="00D6675B"/>
    <w:rsid w:val="00D66C0F"/>
    <w:rsid w:val="00D677A8"/>
    <w:rsid w:val="00D67A77"/>
    <w:rsid w:val="00D67E46"/>
    <w:rsid w:val="00D67E8F"/>
    <w:rsid w:val="00D71EBF"/>
    <w:rsid w:val="00D729A8"/>
    <w:rsid w:val="00D742C9"/>
    <w:rsid w:val="00D75612"/>
    <w:rsid w:val="00D7622F"/>
    <w:rsid w:val="00D76981"/>
    <w:rsid w:val="00D771F0"/>
    <w:rsid w:val="00D80C0E"/>
    <w:rsid w:val="00D82454"/>
    <w:rsid w:val="00D82B1F"/>
    <w:rsid w:val="00D82F8D"/>
    <w:rsid w:val="00D833EE"/>
    <w:rsid w:val="00D84024"/>
    <w:rsid w:val="00D849FD"/>
    <w:rsid w:val="00D84DB4"/>
    <w:rsid w:val="00D86A22"/>
    <w:rsid w:val="00D910C4"/>
    <w:rsid w:val="00D920EA"/>
    <w:rsid w:val="00D947F5"/>
    <w:rsid w:val="00D955DD"/>
    <w:rsid w:val="00DA0826"/>
    <w:rsid w:val="00DA20C1"/>
    <w:rsid w:val="00DA6104"/>
    <w:rsid w:val="00DA78DF"/>
    <w:rsid w:val="00DB0D2F"/>
    <w:rsid w:val="00DB25AA"/>
    <w:rsid w:val="00DB38EE"/>
    <w:rsid w:val="00DB4474"/>
    <w:rsid w:val="00DB4688"/>
    <w:rsid w:val="00DB559A"/>
    <w:rsid w:val="00DB7A08"/>
    <w:rsid w:val="00DC07F8"/>
    <w:rsid w:val="00DC1FBB"/>
    <w:rsid w:val="00DC2A3C"/>
    <w:rsid w:val="00DC6A53"/>
    <w:rsid w:val="00DD2CEB"/>
    <w:rsid w:val="00DD3EF9"/>
    <w:rsid w:val="00DD4F6D"/>
    <w:rsid w:val="00DD572C"/>
    <w:rsid w:val="00DD6669"/>
    <w:rsid w:val="00DD776A"/>
    <w:rsid w:val="00DE1BE7"/>
    <w:rsid w:val="00DE1F2C"/>
    <w:rsid w:val="00DE230E"/>
    <w:rsid w:val="00DE408C"/>
    <w:rsid w:val="00DE5BA5"/>
    <w:rsid w:val="00DE5F2A"/>
    <w:rsid w:val="00DE5F6D"/>
    <w:rsid w:val="00DE7123"/>
    <w:rsid w:val="00DF0704"/>
    <w:rsid w:val="00DF2492"/>
    <w:rsid w:val="00DF2A25"/>
    <w:rsid w:val="00DF3E2E"/>
    <w:rsid w:val="00DF75CB"/>
    <w:rsid w:val="00DF79A2"/>
    <w:rsid w:val="00DF7AD8"/>
    <w:rsid w:val="00DF7D07"/>
    <w:rsid w:val="00E028CE"/>
    <w:rsid w:val="00E03F83"/>
    <w:rsid w:val="00E040F4"/>
    <w:rsid w:val="00E0485E"/>
    <w:rsid w:val="00E0616D"/>
    <w:rsid w:val="00E06188"/>
    <w:rsid w:val="00E06C45"/>
    <w:rsid w:val="00E07C43"/>
    <w:rsid w:val="00E10A17"/>
    <w:rsid w:val="00E11370"/>
    <w:rsid w:val="00E116A9"/>
    <w:rsid w:val="00E1330E"/>
    <w:rsid w:val="00E16EEB"/>
    <w:rsid w:val="00E17E4F"/>
    <w:rsid w:val="00E23628"/>
    <w:rsid w:val="00E275E2"/>
    <w:rsid w:val="00E27891"/>
    <w:rsid w:val="00E34A35"/>
    <w:rsid w:val="00E34CEA"/>
    <w:rsid w:val="00E36D7A"/>
    <w:rsid w:val="00E425BA"/>
    <w:rsid w:val="00E4328A"/>
    <w:rsid w:val="00E43C4B"/>
    <w:rsid w:val="00E4503C"/>
    <w:rsid w:val="00E45687"/>
    <w:rsid w:val="00E458D7"/>
    <w:rsid w:val="00E45C74"/>
    <w:rsid w:val="00E45CDE"/>
    <w:rsid w:val="00E52B44"/>
    <w:rsid w:val="00E52C28"/>
    <w:rsid w:val="00E540CC"/>
    <w:rsid w:val="00E54558"/>
    <w:rsid w:val="00E54E01"/>
    <w:rsid w:val="00E560B5"/>
    <w:rsid w:val="00E57EC1"/>
    <w:rsid w:val="00E61B7E"/>
    <w:rsid w:val="00E61CE5"/>
    <w:rsid w:val="00E61FE3"/>
    <w:rsid w:val="00E620AC"/>
    <w:rsid w:val="00E63A1E"/>
    <w:rsid w:val="00E65D59"/>
    <w:rsid w:val="00E66E47"/>
    <w:rsid w:val="00E70863"/>
    <w:rsid w:val="00E70EA8"/>
    <w:rsid w:val="00E71F1E"/>
    <w:rsid w:val="00E7375A"/>
    <w:rsid w:val="00E73A40"/>
    <w:rsid w:val="00E7554C"/>
    <w:rsid w:val="00E75EBA"/>
    <w:rsid w:val="00E7606D"/>
    <w:rsid w:val="00E7630E"/>
    <w:rsid w:val="00E800E8"/>
    <w:rsid w:val="00E80F59"/>
    <w:rsid w:val="00E81297"/>
    <w:rsid w:val="00E81E26"/>
    <w:rsid w:val="00E82C87"/>
    <w:rsid w:val="00E82CA4"/>
    <w:rsid w:val="00E8418F"/>
    <w:rsid w:val="00E856EE"/>
    <w:rsid w:val="00E8616A"/>
    <w:rsid w:val="00E86372"/>
    <w:rsid w:val="00E86472"/>
    <w:rsid w:val="00E86900"/>
    <w:rsid w:val="00E87218"/>
    <w:rsid w:val="00E87355"/>
    <w:rsid w:val="00E94306"/>
    <w:rsid w:val="00E9690D"/>
    <w:rsid w:val="00E969B1"/>
    <w:rsid w:val="00EA0A57"/>
    <w:rsid w:val="00EA0FB7"/>
    <w:rsid w:val="00EA1171"/>
    <w:rsid w:val="00EA4817"/>
    <w:rsid w:val="00EA58FA"/>
    <w:rsid w:val="00EA7915"/>
    <w:rsid w:val="00EA7C07"/>
    <w:rsid w:val="00EA7F52"/>
    <w:rsid w:val="00EB2DB6"/>
    <w:rsid w:val="00EB3C81"/>
    <w:rsid w:val="00EB57EA"/>
    <w:rsid w:val="00EB5D44"/>
    <w:rsid w:val="00EC08C0"/>
    <w:rsid w:val="00EC1F42"/>
    <w:rsid w:val="00EC262A"/>
    <w:rsid w:val="00EC38ED"/>
    <w:rsid w:val="00EC48AC"/>
    <w:rsid w:val="00ED6B20"/>
    <w:rsid w:val="00ED72BB"/>
    <w:rsid w:val="00EE1313"/>
    <w:rsid w:val="00EE2730"/>
    <w:rsid w:val="00EF0CD3"/>
    <w:rsid w:val="00EF243E"/>
    <w:rsid w:val="00EF312C"/>
    <w:rsid w:val="00EF56F4"/>
    <w:rsid w:val="00EF6474"/>
    <w:rsid w:val="00EF7222"/>
    <w:rsid w:val="00F00FEC"/>
    <w:rsid w:val="00F01167"/>
    <w:rsid w:val="00F02661"/>
    <w:rsid w:val="00F02EDD"/>
    <w:rsid w:val="00F05252"/>
    <w:rsid w:val="00F06906"/>
    <w:rsid w:val="00F0772F"/>
    <w:rsid w:val="00F12D21"/>
    <w:rsid w:val="00F1395C"/>
    <w:rsid w:val="00F1441F"/>
    <w:rsid w:val="00F16FD3"/>
    <w:rsid w:val="00F17D11"/>
    <w:rsid w:val="00F20F73"/>
    <w:rsid w:val="00F218F2"/>
    <w:rsid w:val="00F25160"/>
    <w:rsid w:val="00F25484"/>
    <w:rsid w:val="00F3227C"/>
    <w:rsid w:val="00F329E6"/>
    <w:rsid w:val="00F32EDF"/>
    <w:rsid w:val="00F3337F"/>
    <w:rsid w:val="00F34DAD"/>
    <w:rsid w:val="00F41540"/>
    <w:rsid w:val="00F42ACE"/>
    <w:rsid w:val="00F46730"/>
    <w:rsid w:val="00F46FC2"/>
    <w:rsid w:val="00F532EA"/>
    <w:rsid w:val="00F53628"/>
    <w:rsid w:val="00F545B2"/>
    <w:rsid w:val="00F5767C"/>
    <w:rsid w:val="00F6056C"/>
    <w:rsid w:val="00F606D7"/>
    <w:rsid w:val="00F6085F"/>
    <w:rsid w:val="00F64B8C"/>
    <w:rsid w:val="00F713AF"/>
    <w:rsid w:val="00F743D3"/>
    <w:rsid w:val="00F81D34"/>
    <w:rsid w:val="00F832CF"/>
    <w:rsid w:val="00F8444F"/>
    <w:rsid w:val="00F849D9"/>
    <w:rsid w:val="00F91885"/>
    <w:rsid w:val="00F918B9"/>
    <w:rsid w:val="00F91B32"/>
    <w:rsid w:val="00F95509"/>
    <w:rsid w:val="00FA16AF"/>
    <w:rsid w:val="00FA19C3"/>
    <w:rsid w:val="00FA230B"/>
    <w:rsid w:val="00FA262B"/>
    <w:rsid w:val="00FA2DE2"/>
    <w:rsid w:val="00FA50BE"/>
    <w:rsid w:val="00FA5BD0"/>
    <w:rsid w:val="00FA6271"/>
    <w:rsid w:val="00FB1EEF"/>
    <w:rsid w:val="00FB5C77"/>
    <w:rsid w:val="00FB605A"/>
    <w:rsid w:val="00FB6257"/>
    <w:rsid w:val="00FB6A89"/>
    <w:rsid w:val="00FC4954"/>
    <w:rsid w:val="00FC758A"/>
    <w:rsid w:val="00FC77F2"/>
    <w:rsid w:val="00FD05B1"/>
    <w:rsid w:val="00FD2E47"/>
    <w:rsid w:val="00FD3474"/>
    <w:rsid w:val="00FD6AF7"/>
    <w:rsid w:val="00FD78BE"/>
    <w:rsid w:val="00FD7CCF"/>
    <w:rsid w:val="00FE09DF"/>
    <w:rsid w:val="00FE0C11"/>
    <w:rsid w:val="00FE137B"/>
    <w:rsid w:val="00FE1D35"/>
    <w:rsid w:val="00FE3D08"/>
    <w:rsid w:val="00FE7205"/>
    <w:rsid w:val="00FE78FD"/>
    <w:rsid w:val="00FF01FC"/>
    <w:rsid w:val="00FF0BD7"/>
    <w:rsid w:val="00FF190B"/>
    <w:rsid w:val="00FF37E3"/>
    <w:rsid w:val="00FF511B"/>
    <w:rsid w:val="00FF55A8"/>
    <w:rsid w:val="00FF5B79"/>
    <w:rsid w:val="00FF60E4"/>
    <w:rsid w:val="00FF6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C9279"/>
  <w15:docId w15:val="{A8C62172-76FF-4804-A118-9B912791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02E90"/>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02E90"/>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632FF0"/>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632FF0"/>
    <w:rPr>
      <w:b/>
      <w:caps/>
      <w:color w:val="000000"/>
      <w:sz w:val="24"/>
      <w:szCs w:val="16"/>
      <w:lang w:val="es-CO"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table" w:styleId="Tablaconcuadrcula">
    <w:name w:val="Table Grid"/>
    <w:basedOn w:val="Tablanormal"/>
    <w:uiPriority w:val="39"/>
    <w:rsid w:val="00F6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C54B03"/>
  </w:style>
  <w:style w:type="paragraph" w:styleId="Revisin">
    <w:name w:val="Revision"/>
    <w:hidden/>
    <w:uiPriority w:val="99"/>
    <w:semiHidden/>
    <w:rsid w:val="008515D8"/>
    <w:rPr>
      <w:sz w:val="16"/>
      <w:szCs w:val="16"/>
      <w:lang w:eastAsia="es-ES_tradnl"/>
    </w:rPr>
  </w:style>
  <w:style w:type="character" w:customStyle="1" w:styleId="Mencinsinresolver1">
    <w:name w:val="Mención sin resolver1"/>
    <w:uiPriority w:val="99"/>
    <w:semiHidden/>
    <w:unhideWhenUsed/>
    <w:rsid w:val="00E1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63379150">
      <w:bodyDiv w:val="1"/>
      <w:marLeft w:val="0"/>
      <w:marRight w:val="0"/>
      <w:marTop w:val="0"/>
      <w:marBottom w:val="0"/>
      <w:divBdr>
        <w:top w:val="none" w:sz="0" w:space="0" w:color="auto"/>
        <w:left w:val="none" w:sz="0" w:space="0" w:color="auto"/>
        <w:bottom w:val="none" w:sz="0" w:space="0" w:color="auto"/>
        <w:right w:val="none" w:sz="0" w:space="0" w:color="auto"/>
      </w:divBdr>
      <w:divsChild>
        <w:div w:id="681014117">
          <w:marLeft w:val="0"/>
          <w:marRight w:val="0"/>
          <w:marTop w:val="0"/>
          <w:marBottom w:val="0"/>
          <w:divBdr>
            <w:top w:val="none" w:sz="0" w:space="0" w:color="auto"/>
            <w:left w:val="none" w:sz="0" w:space="0" w:color="auto"/>
            <w:bottom w:val="none" w:sz="0" w:space="0" w:color="auto"/>
            <w:right w:val="none" w:sz="0" w:space="0" w:color="auto"/>
          </w:divBdr>
        </w:div>
        <w:div w:id="1237518501">
          <w:marLeft w:val="0"/>
          <w:marRight w:val="0"/>
          <w:marTop w:val="0"/>
          <w:marBottom w:val="0"/>
          <w:divBdr>
            <w:top w:val="none" w:sz="0" w:space="0" w:color="auto"/>
            <w:left w:val="none" w:sz="0" w:space="0" w:color="auto"/>
            <w:bottom w:val="none" w:sz="0" w:space="0" w:color="auto"/>
            <w:right w:val="none" w:sz="0" w:space="0" w:color="auto"/>
          </w:divBdr>
        </w:div>
        <w:div w:id="1518811966">
          <w:marLeft w:val="0"/>
          <w:marRight w:val="0"/>
          <w:marTop w:val="0"/>
          <w:marBottom w:val="0"/>
          <w:divBdr>
            <w:top w:val="none" w:sz="0" w:space="0" w:color="auto"/>
            <w:left w:val="none" w:sz="0" w:space="0" w:color="auto"/>
            <w:bottom w:val="none" w:sz="0" w:space="0" w:color="auto"/>
            <w:right w:val="none" w:sz="0" w:space="0" w:color="auto"/>
          </w:divBdr>
          <w:divsChild>
            <w:div w:id="166791827">
              <w:marLeft w:val="0"/>
              <w:marRight w:val="0"/>
              <w:marTop w:val="0"/>
              <w:marBottom w:val="0"/>
              <w:divBdr>
                <w:top w:val="none" w:sz="0" w:space="0" w:color="auto"/>
                <w:left w:val="none" w:sz="0" w:space="0" w:color="auto"/>
                <w:bottom w:val="none" w:sz="0" w:space="0" w:color="auto"/>
                <w:right w:val="none" w:sz="0" w:space="0" w:color="auto"/>
              </w:divBdr>
            </w:div>
            <w:div w:id="988217389">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548445150">
              <w:marLeft w:val="0"/>
              <w:marRight w:val="0"/>
              <w:marTop w:val="0"/>
              <w:marBottom w:val="0"/>
              <w:divBdr>
                <w:top w:val="none" w:sz="0" w:space="0" w:color="auto"/>
                <w:left w:val="none" w:sz="0" w:space="0" w:color="auto"/>
                <w:bottom w:val="none" w:sz="0" w:space="0" w:color="auto"/>
                <w:right w:val="none" w:sz="0" w:space="0" w:color="auto"/>
              </w:divBdr>
            </w:div>
          </w:divsChild>
        </w:div>
        <w:div w:id="1642228025">
          <w:marLeft w:val="0"/>
          <w:marRight w:val="0"/>
          <w:marTop w:val="0"/>
          <w:marBottom w:val="0"/>
          <w:divBdr>
            <w:top w:val="none" w:sz="0" w:space="0" w:color="auto"/>
            <w:left w:val="none" w:sz="0" w:space="0" w:color="auto"/>
            <w:bottom w:val="none" w:sz="0" w:space="0" w:color="auto"/>
            <w:right w:val="none" w:sz="0" w:space="0" w:color="auto"/>
          </w:divBdr>
        </w:div>
      </w:divsChild>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353191341">
      <w:bodyDiv w:val="1"/>
      <w:marLeft w:val="0"/>
      <w:marRight w:val="0"/>
      <w:marTop w:val="0"/>
      <w:marBottom w:val="0"/>
      <w:divBdr>
        <w:top w:val="none" w:sz="0" w:space="0" w:color="auto"/>
        <w:left w:val="none" w:sz="0" w:space="0" w:color="auto"/>
        <w:bottom w:val="none" w:sz="0" w:space="0" w:color="auto"/>
        <w:right w:val="none" w:sz="0" w:space="0" w:color="auto"/>
      </w:divBdr>
      <w:divsChild>
        <w:div w:id="729111079">
          <w:marLeft w:val="0"/>
          <w:marRight w:val="0"/>
          <w:marTop w:val="0"/>
          <w:marBottom w:val="0"/>
          <w:divBdr>
            <w:top w:val="none" w:sz="0" w:space="0" w:color="auto"/>
            <w:left w:val="none" w:sz="0" w:space="0" w:color="auto"/>
            <w:bottom w:val="none" w:sz="0" w:space="0" w:color="auto"/>
            <w:right w:val="none" w:sz="0" w:space="0" w:color="auto"/>
          </w:divBdr>
        </w:div>
        <w:div w:id="832377491">
          <w:marLeft w:val="0"/>
          <w:marRight w:val="0"/>
          <w:marTop w:val="0"/>
          <w:marBottom w:val="0"/>
          <w:divBdr>
            <w:top w:val="none" w:sz="0" w:space="0" w:color="auto"/>
            <w:left w:val="none" w:sz="0" w:space="0" w:color="auto"/>
            <w:bottom w:val="none" w:sz="0" w:space="0" w:color="auto"/>
            <w:right w:val="none" w:sz="0" w:space="0" w:color="auto"/>
          </w:divBdr>
        </w:div>
        <w:div w:id="849833307">
          <w:marLeft w:val="0"/>
          <w:marRight w:val="0"/>
          <w:marTop w:val="0"/>
          <w:marBottom w:val="0"/>
          <w:divBdr>
            <w:top w:val="none" w:sz="0" w:space="0" w:color="auto"/>
            <w:left w:val="none" w:sz="0" w:space="0" w:color="auto"/>
            <w:bottom w:val="none" w:sz="0" w:space="0" w:color="auto"/>
            <w:right w:val="none" w:sz="0" w:space="0" w:color="auto"/>
          </w:divBdr>
        </w:div>
        <w:div w:id="901133737">
          <w:marLeft w:val="0"/>
          <w:marRight w:val="0"/>
          <w:marTop w:val="0"/>
          <w:marBottom w:val="0"/>
          <w:divBdr>
            <w:top w:val="none" w:sz="0" w:space="0" w:color="auto"/>
            <w:left w:val="none" w:sz="0" w:space="0" w:color="auto"/>
            <w:bottom w:val="none" w:sz="0" w:space="0" w:color="auto"/>
            <w:right w:val="none" w:sz="0" w:space="0" w:color="auto"/>
          </w:divBdr>
        </w:div>
        <w:div w:id="1659190375">
          <w:marLeft w:val="0"/>
          <w:marRight w:val="0"/>
          <w:marTop w:val="0"/>
          <w:marBottom w:val="0"/>
          <w:divBdr>
            <w:top w:val="none" w:sz="0" w:space="0" w:color="auto"/>
            <w:left w:val="none" w:sz="0" w:space="0" w:color="auto"/>
            <w:bottom w:val="none" w:sz="0" w:space="0" w:color="auto"/>
            <w:right w:val="none" w:sz="0" w:space="0" w:color="auto"/>
          </w:divBdr>
        </w:div>
      </w:divsChild>
    </w:div>
    <w:div w:id="1475098924">
      <w:bodyDiv w:val="1"/>
      <w:marLeft w:val="0"/>
      <w:marRight w:val="0"/>
      <w:marTop w:val="0"/>
      <w:marBottom w:val="0"/>
      <w:divBdr>
        <w:top w:val="none" w:sz="0" w:space="0" w:color="auto"/>
        <w:left w:val="none" w:sz="0" w:space="0" w:color="auto"/>
        <w:bottom w:val="none" w:sz="0" w:space="0" w:color="auto"/>
        <w:right w:val="none" w:sz="0" w:space="0" w:color="auto"/>
      </w:divBdr>
      <w:divsChild>
        <w:div w:id="81606035">
          <w:marLeft w:val="0"/>
          <w:marRight w:val="0"/>
          <w:marTop w:val="0"/>
          <w:marBottom w:val="0"/>
          <w:divBdr>
            <w:top w:val="none" w:sz="0" w:space="0" w:color="auto"/>
            <w:left w:val="none" w:sz="0" w:space="0" w:color="auto"/>
            <w:bottom w:val="none" w:sz="0" w:space="0" w:color="auto"/>
            <w:right w:val="none" w:sz="0" w:space="0" w:color="auto"/>
          </w:divBdr>
        </w:div>
        <w:div w:id="661472340">
          <w:marLeft w:val="0"/>
          <w:marRight w:val="0"/>
          <w:marTop w:val="0"/>
          <w:marBottom w:val="0"/>
          <w:divBdr>
            <w:top w:val="none" w:sz="0" w:space="0" w:color="auto"/>
            <w:left w:val="none" w:sz="0" w:space="0" w:color="auto"/>
            <w:bottom w:val="none" w:sz="0" w:space="0" w:color="auto"/>
            <w:right w:val="none" w:sz="0" w:space="0" w:color="auto"/>
          </w:divBdr>
          <w:divsChild>
            <w:div w:id="650184440">
              <w:marLeft w:val="0"/>
              <w:marRight w:val="0"/>
              <w:marTop w:val="0"/>
              <w:marBottom w:val="0"/>
              <w:divBdr>
                <w:top w:val="none" w:sz="0" w:space="0" w:color="auto"/>
                <w:left w:val="none" w:sz="0" w:space="0" w:color="auto"/>
                <w:bottom w:val="none" w:sz="0" w:space="0" w:color="auto"/>
                <w:right w:val="none" w:sz="0" w:space="0" w:color="auto"/>
              </w:divBdr>
            </w:div>
            <w:div w:id="704671986">
              <w:marLeft w:val="0"/>
              <w:marRight w:val="0"/>
              <w:marTop w:val="0"/>
              <w:marBottom w:val="0"/>
              <w:divBdr>
                <w:top w:val="none" w:sz="0" w:space="0" w:color="auto"/>
                <w:left w:val="none" w:sz="0" w:space="0" w:color="auto"/>
                <w:bottom w:val="none" w:sz="0" w:space="0" w:color="auto"/>
                <w:right w:val="none" w:sz="0" w:space="0" w:color="auto"/>
              </w:divBdr>
            </w:div>
            <w:div w:id="1890337480">
              <w:marLeft w:val="0"/>
              <w:marRight w:val="0"/>
              <w:marTop w:val="0"/>
              <w:marBottom w:val="0"/>
              <w:divBdr>
                <w:top w:val="none" w:sz="0" w:space="0" w:color="auto"/>
                <w:left w:val="none" w:sz="0" w:space="0" w:color="auto"/>
                <w:bottom w:val="none" w:sz="0" w:space="0" w:color="auto"/>
                <w:right w:val="none" w:sz="0" w:space="0" w:color="auto"/>
              </w:divBdr>
            </w:div>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1859389933">
          <w:marLeft w:val="0"/>
          <w:marRight w:val="0"/>
          <w:marTop w:val="0"/>
          <w:marBottom w:val="0"/>
          <w:divBdr>
            <w:top w:val="none" w:sz="0" w:space="0" w:color="auto"/>
            <w:left w:val="none" w:sz="0" w:space="0" w:color="auto"/>
            <w:bottom w:val="none" w:sz="0" w:space="0" w:color="auto"/>
            <w:right w:val="none" w:sz="0" w:space="0" w:color="auto"/>
          </w:divBdr>
        </w:div>
        <w:div w:id="190941322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2080_2021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7E7D-967E-4613-9A8D-570FCA8647E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CA764B06-97D4-4840-8246-79DF0CF2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EEA72-6B1A-43E6-9517-C66314237F0E}">
  <ds:schemaRefs>
    <ds:schemaRef ds:uri="http://schemas.microsoft.com/sharepoint/v3/contenttype/forms"/>
  </ds:schemaRefs>
</ds:datastoreItem>
</file>

<file path=customXml/itemProps4.xml><?xml version="1.0" encoding="utf-8"?>
<ds:datastoreItem xmlns:ds="http://schemas.openxmlformats.org/officeDocument/2006/customXml" ds:itemID="{1351E480-419A-46B5-AE90-D0994837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5451</Words>
  <Characters>29981</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35362</CharactersWithSpaces>
  <SharedDoc>false</SharedDoc>
  <HLinks>
    <vt:vector size="6" baseType="variant">
      <vt:variant>
        <vt:i4>1769576</vt:i4>
      </vt:variant>
      <vt:variant>
        <vt:i4>0</vt:i4>
      </vt:variant>
      <vt:variant>
        <vt:i4>0</vt:i4>
      </vt:variant>
      <vt:variant>
        <vt:i4>5</vt:i4>
      </vt:variant>
      <vt:variant>
        <vt:lpwstr>http://www.secretariasenado.gov.co/senado/basedoc/ley_2080_2021_pr001.html</vt:lpwstr>
      </vt:variant>
      <vt:variant>
        <vt:lpwst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Esther Jaimes Valencia</cp:lastModifiedBy>
  <cp:revision>3</cp:revision>
  <dcterms:created xsi:type="dcterms:W3CDTF">2022-12-16T18:24:00Z</dcterms:created>
  <dcterms:modified xsi:type="dcterms:W3CDTF">2022-12-16T19:51:00Z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0x010100496D613285C0014AAED4B1F625C25E75</vt:lpwstr>
  </property>
</Properties>
</file>