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FA427" w14:textId="5F770FF6" w:rsidR="00C64737" w:rsidRPr="00DD0B06" w:rsidRDefault="00C64737" w:rsidP="00C64737">
      <w:pPr>
        <w:spacing w:line="240" w:lineRule="auto"/>
        <w:jc w:val="center"/>
        <w:rPr>
          <w:rFonts w:ascii="Arial" w:eastAsia="Calibri" w:hAnsi="Arial" w:cs="Arial"/>
          <w:b/>
          <w:caps/>
          <w:sz w:val="24"/>
          <w:szCs w:val="16"/>
          <w:lang w:eastAsia="es-ES_tradnl"/>
        </w:rPr>
      </w:pPr>
      <w:r>
        <w:rPr>
          <w:rFonts w:ascii="Arial" w:eastAsia="Calibri" w:hAnsi="Arial" w:cs="Arial"/>
          <w:b/>
          <w:sz w:val="24"/>
          <w:szCs w:val="16"/>
          <w:lang w:eastAsia="es-ES_tradnl"/>
        </w:rPr>
        <w:t>Magistrado</w:t>
      </w:r>
      <w:r w:rsidRPr="00DD0B06">
        <w:rPr>
          <w:rFonts w:ascii="Arial" w:eastAsia="Calibri" w:hAnsi="Arial" w:cs="Arial"/>
          <w:b/>
          <w:sz w:val="24"/>
          <w:szCs w:val="16"/>
          <w:lang w:eastAsia="es-ES_tradnl"/>
        </w:rPr>
        <w:t xml:space="preserve"> ponente</w:t>
      </w:r>
      <w:r w:rsidRPr="00DD0B06">
        <w:rPr>
          <w:rFonts w:ascii="Arial" w:eastAsia="Calibri" w:hAnsi="Arial" w:cs="Arial"/>
          <w:b/>
          <w:caps/>
          <w:sz w:val="24"/>
          <w:szCs w:val="16"/>
          <w:lang w:eastAsia="es-ES_tradnl"/>
        </w:rPr>
        <w:t>: JAIME ENRIQUE RODRÍGUEZ NAVAS</w:t>
      </w:r>
    </w:p>
    <w:p w14:paraId="064940FE" w14:textId="61D15F1F" w:rsidR="00C64737" w:rsidRPr="00DD0B06" w:rsidRDefault="00C64737" w:rsidP="00C64737">
      <w:pPr>
        <w:spacing w:before="240" w:line="240" w:lineRule="auto"/>
        <w:jc w:val="both"/>
        <w:rPr>
          <w:rFonts w:ascii="Arial" w:eastAsia="Calibri" w:hAnsi="Arial" w:cs="Arial"/>
          <w:b/>
          <w:sz w:val="24"/>
          <w:szCs w:val="24"/>
          <w:lang w:eastAsia="es-ES_tradnl"/>
        </w:rPr>
      </w:pPr>
      <w:r w:rsidRPr="00C64737">
        <w:rPr>
          <w:rFonts w:ascii="Arial" w:eastAsia="Calibri" w:hAnsi="Arial" w:cs="Arial"/>
          <w:b/>
          <w:sz w:val="24"/>
          <w:szCs w:val="24"/>
          <w:lang w:eastAsia="es-ES_tradnl"/>
        </w:rPr>
        <w:t xml:space="preserve">Bogotá D.C., </w:t>
      </w:r>
      <w:r>
        <w:rPr>
          <w:rFonts w:ascii="Arial" w:eastAsia="Calibri" w:hAnsi="Arial" w:cs="Arial"/>
          <w:b/>
          <w:sz w:val="24"/>
          <w:szCs w:val="24"/>
          <w:lang w:eastAsia="es-ES_tradnl"/>
        </w:rPr>
        <w:t>dieciséis</w:t>
      </w:r>
      <w:r w:rsidRPr="00C64737">
        <w:rPr>
          <w:rFonts w:ascii="Arial" w:eastAsia="Calibri" w:hAnsi="Arial" w:cs="Arial"/>
          <w:b/>
          <w:sz w:val="24"/>
          <w:szCs w:val="24"/>
          <w:lang w:eastAsia="es-ES_tradnl"/>
        </w:rPr>
        <w:t xml:space="preserve"> (</w:t>
      </w:r>
      <w:r>
        <w:rPr>
          <w:rFonts w:ascii="Arial" w:eastAsia="Calibri" w:hAnsi="Arial" w:cs="Arial"/>
          <w:b/>
          <w:sz w:val="24"/>
          <w:szCs w:val="24"/>
          <w:lang w:eastAsia="es-ES_tradnl"/>
        </w:rPr>
        <w:t>16</w:t>
      </w:r>
      <w:r w:rsidRPr="00C64737">
        <w:rPr>
          <w:rFonts w:ascii="Arial" w:eastAsia="Calibri" w:hAnsi="Arial" w:cs="Arial"/>
          <w:b/>
          <w:sz w:val="24"/>
          <w:szCs w:val="24"/>
          <w:lang w:eastAsia="es-ES_tradnl"/>
        </w:rPr>
        <w:t xml:space="preserve">) de </w:t>
      </w:r>
      <w:r>
        <w:rPr>
          <w:rFonts w:ascii="Arial" w:eastAsia="Calibri" w:hAnsi="Arial" w:cs="Arial"/>
          <w:b/>
          <w:sz w:val="24"/>
          <w:szCs w:val="24"/>
          <w:lang w:eastAsia="es-ES_tradnl"/>
        </w:rPr>
        <w:t>diciembre</w:t>
      </w:r>
      <w:r w:rsidRPr="00C64737">
        <w:rPr>
          <w:rFonts w:ascii="Arial" w:eastAsia="Calibri" w:hAnsi="Arial" w:cs="Arial"/>
          <w:b/>
          <w:sz w:val="24"/>
          <w:szCs w:val="24"/>
          <w:lang w:eastAsia="es-ES_tradnl"/>
        </w:rPr>
        <w:t xml:space="preserve"> de dos mil veint</w:t>
      </w:r>
      <w:r>
        <w:rPr>
          <w:rFonts w:ascii="Arial" w:eastAsia="Calibri" w:hAnsi="Arial" w:cs="Arial"/>
          <w:b/>
          <w:sz w:val="24"/>
          <w:szCs w:val="24"/>
          <w:lang w:eastAsia="es-ES_tradnl"/>
        </w:rPr>
        <w:t>idós</w:t>
      </w:r>
      <w:r w:rsidRPr="00C64737">
        <w:rPr>
          <w:rFonts w:ascii="Arial" w:eastAsia="Calibri" w:hAnsi="Arial" w:cs="Arial"/>
          <w:b/>
          <w:sz w:val="24"/>
          <w:szCs w:val="24"/>
          <w:lang w:eastAsia="es-ES_tradnl"/>
        </w:rPr>
        <w:t xml:space="preserve"> (202</w:t>
      </w:r>
      <w:r>
        <w:rPr>
          <w:rFonts w:ascii="Arial" w:eastAsia="Calibri" w:hAnsi="Arial" w:cs="Arial"/>
          <w:b/>
          <w:sz w:val="24"/>
          <w:szCs w:val="24"/>
          <w:lang w:eastAsia="es-ES_tradnl"/>
        </w:rPr>
        <w:t>2</w:t>
      </w:r>
      <w:r w:rsidRPr="00C64737">
        <w:rPr>
          <w:rFonts w:ascii="Arial" w:eastAsia="Calibri" w:hAnsi="Arial" w:cs="Arial"/>
          <w:b/>
          <w:sz w:val="24"/>
          <w:szCs w:val="24"/>
          <w:lang w:eastAsia="es-ES_tradnl"/>
        </w:rPr>
        <w:t>).</w:t>
      </w:r>
    </w:p>
    <w:p w14:paraId="6EAF0DC9" w14:textId="0AAD8C87" w:rsidR="00D86B0C" w:rsidRPr="00D86B0C" w:rsidRDefault="00D86B0C" w:rsidP="00D86B0C">
      <w:pPr>
        <w:pBdr>
          <w:bottom w:val="single" w:sz="12" w:space="0" w:color="auto"/>
        </w:pBdr>
        <w:spacing w:before="240" w:after="0" w:line="240" w:lineRule="auto"/>
        <w:ind w:left="2832" w:hanging="2832"/>
        <w:contextualSpacing/>
        <w:jc w:val="both"/>
        <w:rPr>
          <w:rFonts w:ascii="Arial" w:eastAsia="Calibri" w:hAnsi="Arial" w:cs="Arial"/>
          <w:bCs/>
          <w:sz w:val="24"/>
          <w:szCs w:val="24"/>
        </w:rPr>
      </w:pPr>
      <w:r w:rsidRPr="00D86B0C">
        <w:rPr>
          <w:rFonts w:ascii="Arial" w:eastAsia="Calibri" w:hAnsi="Arial" w:cs="Arial"/>
          <w:b/>
          <w:sz w:val="24"/>
          <w:szCs w:val="24"/>
        </w:rPr>
        <w:t>Radicado número:</w:t>
      </w:r>
      <w:r w:rsidRPr="00D86B0C">
        <w:rPr>
          <w:rFonts w:ascii="Arial" w:eastAsia="Calibri" w:hAnsi="Arial" w:cs="Arial"/>
          <w:b/>
          <w:sz w:val="24"/>
          <w:szCs w:val="24"/>
        </w:rPr>
        <w:tab/>
      </w:r>
      <w:r w:rsidRPr="00D86B0C">
        <w:rPr>
          <w:rFonts w:ascii="Arial" w:eastAsia="Calibri" w:hAnsi="Arial" w:cs="Arial"/>
          <w:bCs/>
          <w:sz w:val="24"/>
          <w:szCs w:val="24"/>
        </w:rPr>
        <w:t>11001-03-15-000-2022-06113-00</w:t>
      </w:r>
      <w:r>
        <w:rPr>
          <w:rFonts w:ascii="Arial" w:eastAsia="Calibri" w:hAnsi="Arial" w:cs="Arial"/>
          <w:bCs/>
          <w:sz w:val="24"/>
          <w:szCs w:val="24"/>
        </w:rPr>
        <w:t>.</w:t>
      </w:r>
    </w:p>
    <w:p w14:paraId="4CB0BCF3" w14:textId="2EEB6A3C" w:rsidR="00D86B0C" w:rsidRPr="00D86B0C" w:rsidRDefault="00D86B0C" w:rsidP="00D86B0C">
      <w:pPr>
        <w:pBdr>
          <w:bottom w:val="single" w:sz="12" w:space="0" w:color="auto"/>
        </w:pBdr>
        <w:spacing w:before="240" w:after="0" w:line="240" w:lineRule="auto"/>
        <w:ind w:left="2832" w:hanging="2832"/>
        <w:contextualSpacing/>
        <w:jc w:val="both"/>
        <w:rPr>
          <w:rFonts w:ascii="Arial" w:eastAsia="Calibri" w:hAnsi="Arial" w:cs="Arial"/>
          <w:b/>
          <w:bCs/>
          <w:sz w:val="24"/>
          <w:szCs w:val="24"/>
        </w:rPr>
      </w:pPr>
      <w:r w:rsidRPr="00D86B0C">
        <w:rPr>
          <w:rFonts w:ascii="Arial" w:eastAsia="Calibri" w:hAnsi="Arial" w:cs="Arial"/>
          <w:b/>
          <w:sz w:val="24"/>
          <w:szCs w:val="24"/>
        </w:rPr>
        <w:t>Accionante:</w:t>
      </w:r>
      <w:r w:rsidRPr="00D86B0C">
        <w:rPr>
          <w:rFonts w:ascii="Arial" w:eastAsia="Calibri" w:hAnsi="Arial" w:cs="Arial"/>
          <w:b/>
          <w:sz w:val="24"/>
          <w:szCs w:val="24"/>
        </w:rPr>
        <w:tab/>
      </w:r>
      <w:r w:rsidRPr="00D86B0C">
        <w:rPr>
          <w:rFonts w:ascii="Arial" w:eastAsia="Calibri" w:hAnsi="Arial" w:cs="Arial"/>
          <w:sz w:val="24"/>
          <w:szCs w:val="24"/>
        </w:rPr>
        <w:t>Administradora Colombiana de Pensiones</w:t>
      </w:r>
      <w:r>
        <w:rPr>
          <w:rFonts w:ascii="Arial" w:eastAsia="Calibri" w:hAnsi="Arial" w:cs="Arial"/>
          <w:sz w:val="24"/>
          <w:szCs w:val="24"/>
        </w:rPr>
        <w:t xml:space="preserve"> – </w:t>
      </w:r>
      <w:r w:rsidR="00A56902">
        <w:rPr>
          <w:rFonts w:ascii="Arial" w:eastAsia="Calibri" w:hAnsi="Arial" w:cs="Arial"/>
          <w:sz w:val="24"/>
          <w:szCs w:val="24"/>
        </w:rPr>
        <w:t>Colpensiones</w:t>
      </w:r>
      <w:r>
        <w:rPr>
          <w:rFonts w:ascii="Arial" w:eastAsia="Calibri" w:hAnsi="Arial" w:cs="Arial"/>
          <w:sz w:val="24"/>
          <w:szCs w:val="24"/>
        </w:rPr>
        <w:t>.</w:t>
      </w:r>
    </w:p>
    <w:p w14:paraId="334D8388" w14:textId="183A492E" w:rsidR="00D86B0C" w:rsidRPr="00D86B0C" w:rsidRDefault="00D86B0C" w:rsidP="00D86B0C">
      <w:pPr>
        <w:pBdr>
          <w:bottom w:val="single" w:sz="12" w:space="0" w:color="auto"/>
        </w:pBdr>
        <w:spacing w:before="240" w:after="0" w:line="240" w:lineRule="auto"/>
        <w:ind w:left="2832" w:hanging="2832"/>
        <w:contextualSpacing/>
        <w:jc w:val="both"/>
        <w:rPr>
          <w:rFonts w:ascii="Arial" w:eastAsia="Calibri" w:hAnsi="Arial" w:cs="Arial"/>
          <w:b/>
          <w:bCs/>
          <w:sz w:val="24"/>
          <w:szCs w:val="24"/>
        </w:rPr>
      </w:pPr>
      <w:r w:rsidRPr="00D86B0C">
        <w:rPr>
          <w:rFonts w:ascii="Arial" w:eastAsia="Calibri" w:hAnsi="Arial" w:cs="Arial"/>
          <w:b/>
          <w:sz w:val="24"/>
          <w:szCs w:val="24"/>
        </w:rPr>
        <w:t>Accionado:</w:t>
      </w:r>
      <w:r w:rsidRPr="00D86B0C">
        <w:rPr>
          <w:rFonts w:ascii="Arial" w:eastAsia="Calibri" w:hAnsi="Arial" w:cs="Arial"/>
          <w:b/>
          <w:sz w:val="24"/>
          <w:szCs w:val="24"/>
        </w:rPr>
        <w:tab/>
      </w:r>
      <w:r w:rsidRPr="00D86B0C">
        <w:rPr>
          <w:rFonts w:ascii="Arial" w:eastAsia="Calibri" w:hAnsi="Arial" w:cs="Arial"/>
          <w:sz w:val="24"/>
          <w:szCs w:val="24"/>
        </w:rPr>
        <w:t>Tribunal Administrativo de Boyacá</w:t>
      </w:r>
      <w:r>
        <w:rPr>
          <w:rFonts w:ascii="Arial" w:eastAsia="Calibri" w:hAnsi="Arial" w:cs="Arial"/>
          <w:sz w:val="24"/>
          <w:szCs w:val="24"/>
        </w:rPr>
        <w:t>.</w:t>
      </w:r>
    </w:p>
    <w:p w14:paraId="3FBBB64C" w14:textId="0F1629EE" w:rsidR="00D86B0C" w:rsidRDefault="00D86B0C" w:rsidP="00D86B0C">
      <w:pPr>
        <w:pBdr>
          <w:bottom w:val="single" w:sz="12" w:space="0" w:color="auto"/>
        </w:pBdr>
        <w:spacing w:line="240" w:lineRule="auto"/>
        <w:ind w:left="2829" w:hanging="2829"/>
        <w:jc w:val="both"/>
        <w:rPr>
          <w:rFonts w:ascii="Arial" w:eastAsia="Calibri" w:hAnsi="Arial" w:cs="Arial"/>
          <w:bCs/>
          <w:sz w:val="24"/>
          <w:szCs w:val="24"/>
        </w:rPr>
      </w:pPr>
      <w:r w:rsidRPr="00D86B0C">
        <w:rPr>
          <w:rFonts w:ascii="Arial" w:eastAsia="Calibri" w:hAnsi="Arial" w:cs="Arial"/>
          <w:b/>
          <w:sz w:val="24"/>
          <w:szCs w:val="24"/>
        </w:rPr>
        <w:t xml:space="preserve">Referencia: </w:t>
      </w:r>
      <w:r>
        <w:rPr>
          <w:rFonts w:ascii="Arial" w:eastAsia="Calibri" w:hAnsi="Arial" w:cs="Arial"/>
          <w:b/>
          <w:sz w:val="24"/>
          <w:szCs w:val="24"/>
        </w:rPr>
        <w:tab/>
      </w:r>
      <w:r w:rsidRPr="00D86B0C">
        <w:rPr>
          <w:rFonts w:ascii="Arial" w:eastAsia="Calibri" w:hAnsi="Arial" w:cs="Arial"/>
          <w:bCs/>
          <w:sz w:val="24"/>
          <w:szCs w:val="24"/>
        </w:rPr>
        <w:t>Acción de tutela.</w:t>
      </w:r>
    </w:p>
    <w:p w14:paraId="6053361F" w14:textId="660A1E51" w:rsidR="00D86B0C" w:rsidRPr="00D86B0C" w:rsidRDefault="00D86B0C" w:rsidP="00D86B0C">
      <w:pPr>
        <w:pBdr>
          <w:bottom w:val="single" w:sz="12" w:space="0" w:color="auto"/>
        </w:pBdr>
        <w:spacing w:after="0" w:line="240" w:lineRule="auto"/>
        <w:ind w:left="2829" w:hanging="2829"/>
        <w:jc w:val="both"/>
        <w:rPr>
          <w:rFonts w:ascii="Arial" w:eastAsia="Calibri" w:hAnsi="Arial" w:cs="Arial"/>
          <w:bCs/>
          <w:sz w:val="20"/>
          <w:szCs w:val="20"/>
        </w:rPr>
      </w:pPr>
      <w:r w:rsidRPr="00D86B0C">
        <w:rPr>
          <w:rFonts w:ascii="Arial" w:eastAsia="Calibri" w:hAnsi="Arial" w:cs="Arial"/>
          <w:b/>
          <w:sz w:val="20"/>
          <w:szCs w:val="20"/>
        </w:rPr>
        <w:t>Tema:</w:t>
      </w:r>
      <w:r w:rsidRPr="00D86B0C">
        <w:rPr>
          <w:rFonts w:ascii="Arial" w:eastAsia="Calibri" w:hAnsi="Arial" w:cs="Arial"/>
          <w:bCs/>
          <w:sz w:val="20"/>
          <w:szCs w:val="20"/>
        </w:rPr>
        <w:t xml:space="preserve"> acción de tutela contra providencias judiciales</w:t>
      </w:r>
    </w:p>
    <w:p w14:paraId="7D596706" w14:textId="759C2DB0" w:rsidR="00D86B0C" w:rsidRPr="00D86B0C" w:rsidRDefault="00D979AE" w:rsidP="00D979AE">
      <w:pPr>
        <w:pBdr>
          <w:bottom w:val="single" w:sz="12" w:space="0" w:color="auto"/>
        </w:pBdr>
        <w:spacing w:line="240" w:lineRule="auto"/>
        <w:jc w:val="both"/>
        <w:rPr>
          <w:rFonts w:ascii="Arial" w:eastAsia="Calibri" w:hAnsi="Arial" w:cs="Arial"/>
          <w:bCs/>
          <w:sz w:val="24"/>
          <w:szCs w:val="24"/>
        </w:rPr>
      </w:pPr>
      <w:r>
        <w:rPr>
          <w:rFonts w:ascii="Arial" w:eastAsia="Calibri" w:hAnsi="Arial" w:cs="Arial"/>
          <w:b/>
          <w:sz w:val="20"/>
          <w:szCs w:val="20"/>
        </w:rPr>
        <w:t>Subtema</w:t>
      </w:r>
      <w:r w:rsidR="00D86B0C" w:rsidRPr="00D86B0C">
        <w:rPr>
          <w:rFonts w:ascii="Arial" w:eastAsia="Calibri" w:hAnsi="Arial" w:cs="Arial"/>
          <w:b/>
          <w:sz w:val="20"/>
          <w:szCs w:val="20"/>
        </w:rPr>
        <w:t>:</w:t>
      </w:r>
      <w:r w:rsidR="00D86B0C" w:rsidRPr="00D86B0C">
        <w:rPr>
          <w:rFonts w:ascii="Arial" w:eastAsia="Calibri" w:hAnsi="Arial" w:cs="Arial"/>
          <w:bCs/>
          <w:sz w:val="20"/>
          <w:szCs w:val="20"/>
        </w:rPr>
        <w:t xml:space="preserve"> requisitos generales y específicos de procedencia de la acción de tutela</w:t>
      </w:r>
      <w:r>
        <w:rPr>
          <w:rFonts w:ascii="Arial" w:eastAsia="Calibri" w:hAnsi="Arial" w:cs="Arial"/>
          <w:bCs/>
          <w:sz w:val="20"/>
          <w:szCs w:val="20"/>
        </w:rPr>
        <w:t xml:space="preserve"> contra providencias judiciales – </w:t>
      </w:r>
      <w:r w:rsidR="00D86B0C" w:rsidRPr="00D86B0C">
        <w:rPr>
          <w:rFonts w:ascii="Arial" w:eastAsia="Calibri" w:hAnsi="Arial" w:cs="Arial"/>
          <w:bCs/>
          <w:sz w:val="20"/>
          <w:szCs w:val="20"/>
        </w:rPr>
        <w:t>inmediatez</w:t>
      </w:r>
      <w:r w:rsidR="00520926">
        <w:rPr>
          <w:rFonts w:ascii="Arial" w:eastAsia="Calibri" w:hAnsi="Arial" w:cs="Arial"/>
          <w:bCs/>
          <w:sz w:val="20"/>
          <w:szCs w:val="20"/>
        </w:rPr>
        <w:t xml:space="preserve"> y subsidiariedad.</w:t>
      </w:r>
    </w:p>
    <w:p w14:paraId="2214B70F" w14:textId="77777777" w:rsidR="00C64737" w:rsidRPr="00DD0B06" w:rsidRDefault="00C64737" w:rsidP="00C64737">
      <w:pPr>
        <w:pBdr>
          <w:bottom w:val="single" w:sz="12" w:space="0" w:color="auto"/>
        </w:pBdr>
        <w:spacing w:before="240" w:after="0" w:line="240" w:lineRule="auto"/>
        <w:ind w:left="2832" w:hanging="2832"/>
        <w:contextualSpacing/>
        <w:jc w:val="both"/>
        <w:rPr>
          <w:rFonts w:ascii="Arial" w:eastAsia="Calibri" w:hAnsi="Arial" w:cs="Arial"/>
          <w:b/>
          <w:sz w:val="24"/>
          <w:szCs w:val="24"/>
          <w:lang w:eastAsia="es-ES_tradnl"/>
        </w:rPr>
      </w:pPr>
      <w:r w:rsidRPr="00DD0B06">
        <w:rPr>
          <w:rFonts w:ascii="Arial" w:eastAsia="Calibri" w:hAnsi="Arial" w:cs="Arial"/>
          <w:b/>
          <w:sz w:val="24"/>
          <w:szCs w:val="24"/>
          <w:lang w:eastAsia="es-ES_tradnl"/>
        </w:rPr>
        <w:t xml:space="preserve">SENTENCIA DE </w:t>
      </w:r>
      <w:r>
        <w:rPr>
          <w:rFonts w:ascii="Arial" w:eastAsia="Calibri" w:hAnsi="Arial" w:cs="Arial"/>
          <w:b/>
          <w:sz w:val="24"/>
          <w:szCs w:val="24"/>
          <w:lang w:eastAsia="es-ES_tradnl"/>
        </w:rPr>
        <w:t>PRIMERA</w:t>
      </w:r>
      <w:r w:rsidRPr="00DD0B06">
        <w:rPr>
          <w:rFonts w:ascii="Arial" w:eastAsia="Calibri" w:hAnsi="Arial" w:cs="Arial"/>
          <w:b/>
          <w:sz w:val="24"/>
          <w:szCs w:val="24"/>
          <w:lang w:eastAsia="es-ES_tradnl"/>
        </w:rPr>
        <w:t xml:space="preserve"> INSTANCIA</w:t>
      </w:r>
    </w:p>
    <w:p w14:paraId="0FBF847B" w14:textId="1D7A87D3" w:rsidR="00C64737" w:rsidRDefault="00C64737" w:rsidP="00C64737">
      <w:pPr>
        <w:spacing w:before="240" w:line="240" w:lineRule="auto"/>
        <w:jc w:val="both"/>
        <w:rPr>
          <w:rFonts w:ascii="Arial" w:eastAsia="Verdana" w:hAnsi="Arial" w:cs="Arial"/>
          <w:sz w:val="24"/>
          <w:szCs w:val="24"/>
          <w:lang w:eastAsia="es-ES_tradnl"/>
        </w:rPr>
      </w:pPr>
      <w:r>
        <w:rPr>
          <w:rFonts w:ascii="Arial" w:eastAsia="Verdana" w:hAnsi="Arial" w:cs="Arial"/>
          <w:sz w:val="24"/>
          <w:szCs w:val="24"/>
          <w:lang w:eastAsia="es-ES_tradnl"/>
        </w:rPr>
        <w:t xml:space="preserve">La Sala decide la acción de tutela presentada por </w:t>
      </w:r>
      <w:r w:rsidR="00D86B0C">
        <w:rPr>
          <w:rFonts w:ascii="Arial" w:eastAsia="Verdana" w:hAnsi="Arial" w:cs="Arial"/>
          <w:sz w:val="24"/>
          <w:szCs w:val="24"/>
          <w:lang w:eastAsia="es-ES_tradnl"/>
        </w:rPr>
        <w:t xml:space="preserve">la </w:t>
      </w:r>
      <w:r w:rsidR="00D86B0C" w:rsidRPr="00D86B0C">
        <w:rPr>
          <w:rFonts w:ascii="Arial" w:eastAsia="Calibri" w:hAnsi="Arial" w:cs="Arial"/>
          <w:sz w:val="24"/>
          <w:szCs w:val="24"/>
        </w:rPr>
        <w:t>Administradora Colombiana de Pensiones</w:t>
      </w:r>
      <w:r w:rsidR="00D86B0C">
        <w:rPr>
          <w:rFonts w:ascii="Arial" w:eastAsia="Calibri" w:hAnsi="Arial" w:cs="Arial"/>
          <w:sz w:val="24"/>
          <w:szCs w:val="24"/>
        </w:rPr>
        <w:t xml:space="preserve"> – </w:t>
      </w:r>
      <w:r w:rsidR="007567F0">
        <w:rPr>
          <w:rFonts w:ascii="Arial" w:eastAsia="Calibri" w:hAnsi="Arial" w:cs="Arial"/>
          <w:sz w:val="24"/>
          <w:szCs w:val="24"/>
        </w:rPr>
        <w:t>Colpensiones</w:t>
      </w:r>
      <w:r>
        <w:rPr>
          <w:rFonts w:ascii="Arial" w:eastAsia="Verdana" w:hAnsi="Arial" w:cs="Arial"/>
          <w:sz w:val="24"/>
          <w:szCs w:val="24"/>
          <w:lang w:eastAsia="es-ES_tradnl"/>
        </w:rPr>
        <w:t xml:space="preserve"> en contra del Tribunal Administrativo de </w:t>
      </w:r>
      <w:r w:rsidR="00D86B0C">
        <w:rPr>
          <w:rFonts w:ascii="Arial" w:eastAsia="Verdana" w:hAnsi="Arial" w:cs="Arial"/>
          <w:sz w:val="24"/>
          <w:szCs w:val="24"/>
          <w:lang w:eastAsia="es-ES_tradnl"/>
        </w:rPr>
        <w:t>Boyacá</w:t>
      </w:r>
      <w:r>
        <w:rPr>
          <w:rFonts w:ascii="Arial" w:eastAsia="Verdana" w:hAnsi="Arial" w:cs="Arial"/>
          <w:sz w:val="24"/>
          <w:szCs w:val="24"/>
          <w:lang w:eastAsia="es-ES_tradnl"/>
        </w:rPr>
        <w:t>.</w:t>
      </w:r>
    </w:p>
    <w:p w14:paraId="414A27D8" w14:textId="77777777" w:rsidR="00C64737" w:rsidRDefault="00C64737" w:rsidP="00C64737">
      <w:pPr>
        <w:spacing w:before="240" w:line="240" w:lineRule="auto"/>
        <w:jc w:val="center"/>
        <w:rPr>
          <w:rFonts w:ascii="Arial" w:eastAsia="Calibri" w:hAnsi="Arial" w:cs="Arial"/>
          <w:b/>
          <w:sz w:val="24"/>
          <w:szCs w:val="24"/>
          <w:lang w:eastAsia="es-ES_tradnl"/>
        </w:rPr>
      </w:pPr>
      <w:r>
        <w:rPr>
          <w:rFonts w:ascii="Arial" w:eastAsia="Calibri" w:hAnsi="Arial" w:cs="Arial"/>
          <w:b/>
          <w:sz w:val="24"/>
          <w:szCs w:val="24"/>
          <w:lang w:eastAsia="es-ES_tradnl"/>
        </w:rPr>
        <w:t xml:space="preserve">I. </w:t>
      </w:r>
      <w:r w:rsidRPr="00C44F99">
        <w:rPr>
          <w:rFonts w:ascii="Arial" w:eastAsia="Calibri" w:hAnsi="Arial" w:cs="Arial"/>
          <w:b/>
          <w:sz w:val="24"/>
          <w:szCs w:val="24"/>
          <w:lang w:eastAsia="es-ES_tradnl"/>
        </w:rPr>
        <w:t>ANTECEDENTES</w:t>
      </w:r>
    </w:p>
    <w:p w14:paraId="54E7560B" w14:textId="77777777" w:rsidR="00C64737" w:rsidRDefault="00C64737" w:rsidP="00C64737">
      <w:pPr>
        <w:spacing w:line="240" w:lineRule="auto"/>
        <w:rPr>
          <w:rFonts w:ascii="Arial" w:eastAsia="Calibri" w:hAnsi="Arial" w:cs="Arial"/>
          <w:b/>
          <w:sz w:val="24"/>
          <w:szCs w:val="24"/>
          <w:lang w:eastAsia="es-ES_tradnl"/>
        </w:rPr>
      </w:pPr>
      <w:r>
        <w:rPr>
          <w:rFonts w:ascii="Arial" w:eastAsia="Calibri" w:hAnsi="Arial" w:cs="Arial"/>
          <w:b/>
          <w:sz w:val="24"/>
          <w:szCs w:val="24"/>
          <w:lang w:eastAsia="es-ES_tradnl"/>
        </w:rPr>
        <w:t xml:space="preserve">1.1. </w:t>
      </w:r>
      <w:r w:rsidRPr="005317B5">
        <w:rPr>
          <w:rFonts w:ascii="Arial" w:eastAsia="Calibri" w:hAnsi="Arial" w:cs="Arial"/>
          <w:b/>
          <w:sz w:val="24"/>
          <w:szCs w:val="24"/>
          <w:lang w:eastAsia="es-ES_tradnl"/>
        </w:rPr>
        <w:t>Solicitud de tutela</w:t>
      </w:r>
    </w:p>
    <w:p w14:paraId="2BDB2472" w14:textId="37C8FCAD" w:rsidR="00D86B0C" w:rsidRPr="00D86B0C" w:rsidRDefault="00A56902" w:rsidP="00A56902">
      <w:pPr>
        <w:spacing w:after="240" w:line="240" w:lineRule="auto"/>
        <w:jc w:val="both"/>
        <w:rPr>
          <w:rFonts w:ascii="Arial" w:eastAsia="Calibri" w:hAnsi="Arial" w:cs="Arial"/>
          <w:bCs/>
          <w:sz w:val="24"/>
          <w:szCs w:val="24"/>
        </w:rPr>
      </w:pPr>
      <w:r>
        <w:rPr>
          <w:rFonts w:ascii="Arial" w:eastAsia="Calibri" w:hAnsi="Arial" w:cs="Arial"/>
          <w:bCs/>
          <w:sz w:val="24"/>
          <w:szCs w:val="24"/>
        </w:rPr>
        <w:t xml:space="preserve">La Administradora Colombiana de Pensiones – Colpensiones, actuando por medio de </w:t>
      </w:r>
      <w:r w:rsidR="00714DBD">
        <w:rPr>
          <w:rFonts w:ascii="Arial" w:eastAsia="Calibri" w:hAnsi="Arial" w:cs="Arial"/>
          <w:bCs/>
          <w:sz w:val="24"/>
          <w:szCs w:val="24"/>
        </w:rPr>
        <w:t>su Gerente de Defensa Judicial</w:t>
      </w:r>
      <w:r w:rsidR="00581DD4">
        <w:rPr>
          <w:rStyle w:val="Refdenotaalpie"/>
          <w:rFonts w:ascii="Arial" w:eastAsia="Calibri" w:hAnsi="Arial" w:cs="Arial"/>
          <w:bCs/>
          <w:sz w:val="24"/>
          <w:szCs w:val="24"/>
        </w:rPr>
        <w:footnoteReference w:id="1"/>
      </w:r>
      <w:r>
        <w:rPr>
          <w:rFonts w:ascii="Arial" w:eastAsia="Calibri" w:hAnsi="Arial" w:cs="Arial"/>
          <w:bCs/>
          <w:sz w:val="24"/>
          <w:szCs w:val="24"/>
        </w:rPr>
        <w:t>, solicitó la protección de sus</w:t>
      </w:r>
      <w:r w:rsidR="00D86B0C" w:rsidRPr="00D86B0C">
        <w:rPr>
          <w:rFonts w:ascii="Arial" w:eastAsia="Calibri" w:hAnsi="Arial" w:cs="Arial"/>
          <w:bCs/>
          <w:sz w:val="24"/>
          <w:szCs w:val="24"/>
        </w:rPr>
        <w:t xml:space="preserve"> derechos fundamentales al debido proceso, </w:t>
      </w:r>
      <w:r w:rsidR="00887EDB">
        <w:rPr>
          <w:rFonts w:ascii="Arial" w:eastAsia="Calibri" w:hAnsi="Arial" w:cs="Arial"/>
          <w:bCs/>
          <w:sz w:val="24"/>
          <w:szCs w:val="24"/>
        </w:rPr>
        <w:t xml:space="preserve">al </w:t>
      </w:r>
      <w:r w:rsidR="00D86B0C" w:rsidRPr="00D86B0C">
        <w:rPr>
          <w:rFonts w:ascii="Arial" w:eastAsia="Calibri" w:hAnsi="Arial" w:cs="Arial"/>
          <w:bCs/>
          <w:sz w:val="24"/>
          <w:szCs w:val="24"/>
        </w:rPr>
        <w:t>acceso a la administración de justicia y los principios de sostenibilidad financiera y seguridad jurídica, que consideró vulnerados por el Tribunal Administrativo de Boyacá, con ocasión de la sentencia del 15 de julio de</w:t>
      </w:r>
      <w:r>
        <w:rPr>
          <w:rFonts w:ascii="Arial" w:eastAsia="Calibri" w:hAnsi="Arial" w:cs="Arial"/>
          <w:bCs/>
          <w:sz w:val="24"/>
          <w:szCs w:val="24"/>
        </w:rPr>
        <w:t xml:space="preserve"> 2009, </w:t>
      </w:r>
      <w:r w:rsidR="00D86B0C" w:rsidRPr="00D86B0C">
        <w:rPr>
          <w:rFonts w:ascii="Arial" w:eastAsia="Calibri" w:hAnsi="Arial" w:cs="Arial"/>
          <w:bCs/>
          <w:sz w:val="24"/>
          <w:szCs w:val="24"/>
        </w:rPr>
        <w:t>en la que accedió a las pretensiones de la demanda que promovió Diógenes Leonel Garzón Guzmán</w:t>
      </w:r>
      <w:r w:rsidR="00B102A3">
        <w:rPr>
          <w:rFonts w:ascii="Arial" w:eastAsia="Calibri" w:hAnsi="Arial" w:cs="Arial"/>
          <w:bCs/>
          <w:sz w:val="24"/>
          <w:szCs w:val="24"/>
        </w:rPr>
        <w:t xml:space="preserve"> en su contra y que fue radicada al número </w:t>
      </w:r>
      <w:r w:rsidR="00D86B0C" w:rsidRPr="00D86B0C">
        <w:rPr>
          <w:rFonts w:ascii="Arial" w:eastAsia="Calibri" w:hAnsi="Arial" w:cs="Arial"/>
          <w:bCs/>
          <w:sz w:val="24"/>
          <w:szCs w:val="24"/>
        </w:rPr>
        <w:t>15001-23-31-005-2007-00571-00</w:t>
      </w:r>
      <w:r w:rsidR="00581DD4">
        <w:rPr>
          <w:rStyle w:val="Refdenotaalpie"/>
          <w:rFonts w:ascii="Arial" w:eastAsia="Calibri" w:hAnsi="Arial" w:cs="Arial"/>
          <w:bCs/>
          <w:sz w:val="24"/>
          <w:szCs w:val="24"/>
        </w:rPr>
        <w:footnoteReference w:id="2"/>
      </w:r>
      <w:r w:rsidR="00D86B0C" w:rsidRPr="00D86B0C">
        <w:rPr>
          <w:rFonts w:ascii="Arial" w:eastAsia="Calibri" w:hAnsi="Arial" w:cs="Arial"/>
          <w:bCs/>
          <w:sz w:val="24"/>
          <w:szCs w:val="24"/>
        </w:rPr>
        <w:t>.</w:t>
      </w:r>
    </w:p>
    <w:p w14:paraId="3814A241" w14:textId="3C6B92EE" w:rsidR="00C64737" w:rsidRDefault="00C64737" w:rsidP="00C64737">
      <w:pPr>
        <w:spacing w:after="240" w:line="240" w:lineRule="auto"/>
        <w:jc w:val="both"/>
        <w:rPr>
          <w:rFonts w:ascii="Arial" w:eastAsia="Calibri" w:hAnsi="Arial" w:cs="Arial"/>
          <w:b/>
          <w:bCs/>
          <w:sz w:val="24"/>
          <w:szCs w:val="24"/>
          <w:lang w:eastAsia="es-ES_tradnl"/>
        </w:rPr>
      </w:pPr>
      <w:r>
        <w:rPr>
          <w:rFonts w:ascii="Arial" w:eastAsia="Calibri" w:hAnsi="Arial" w:cs="Arial"/>
          <w:b/>
          <w:bCs/>
          <w:caps/>
          <w:sz w:val="24"/>
          <w:szCs w:val="24"/>
          <w:lang w:eastAsia="es-ES_tradnl"/>
        </w:rPr>
        <w:t>1.</w:t>
      </w:r>
      <w:r w:rsidRPr="00DD0B06">
        <w:rPr>
          <w:rFonts w:ascii="Arial" w:eastAsia="Calibri" w:hAnsi="Arial" w:cs="Arial"/>
          <w:b/>
          <w:bCs/>
          <w:caps/>
          <w:sz w:val="24"/>
          <w:szCs w:val="24"/>
          <w:lang w:eastAsia="es-ES_tradnl"/>
        </w:rPr>
        <w:t xml:space="preserve">2. </w:t>
      </w:r>
      <w:r w:rsidRPr="00DD0B06">
        <w:rPr>
          <w:rFonts w:ascii="Arial" w:eastAsia="Calibri" w:hAnsi="Arial" w:cs="Arial"/>
          <w:b/>
          <w:bCs/>
          <w:sz w:val="24"/>
          <w:szCs w:val="24"/>
          <w:lang w:eastAsia="es-ES_tradnl"/>
        </w:rPr>
        <w:t xml:space="preserve">Hechos </w:t>
      </w:r>
      <w:r w:rsidR="00A56902">
        <w:rPr>
          <w:rFonts w:ascii="Arial" w:eastAsia="Calibri" w:hAnsi="Arial" w:cs="Arial"/>
          <w:b/>
          <w:bCs/>
          <w:sz w:val="24"/>
          <w:szCs w:val="24"/>
          <w:lang w:eastAsia="es-ES_tradnl"/>
        </w:rPr>
        <w:t>del proceso ordinario</w:t>
      </w:r>
    </w:p>
    <w:p w14:paraId="77C3DAD3" w14:textId="0DD5C01A" w:rsidR="00A56902" w:rsidRDefault="00C64737" w:rsidP="00C64737">
      <w:pPr>
        <w:widowControl w:val="0"/>
        <w:spacing w:after="240" w:line="240" w:lineRule="auto"/>
        <w:jc w:val="both"/>
        <w:rPr>
          <w:rFonts w:ascii="Arial" w:eastAsia="Calibri" w:hAnsi="Arial" w:cs="Arial"/>
          <w:bCs/>
          <w:sz w:val="24"/>
          <w:szCs w:val="24"/>
          <w:lang w:val="es-ES"/>
        </w:rPr>
      </w:pPr>
      <w:r w:rsidRPr="00A56902">
        <w:rPr>
          <w:rFonts w:ascii="Arial" w:eastAsia="Calibri" w:hAnsi="Arial" w:cs="Arial"/>
          <w:bCs/>
          <w:sz w:val="24"/>
          <w:szCs w:val="24"/>
          <w:lang w:val="es-ES"/>
        </w:rPr>
        <w:t>1.2.1.</w:t>
      </w:r>
      <w:r>
        <w:rPr>
          <w:rFonts w:ascii="Arial" w:eastAsia="Calibri" w:hAnsi="Arial" w:cs="Arial"/>
          <w:bCs/>
          <w:sz w:val="24"/>
          <w:szCs w:val="24"/>
          <w:lang w:val="es-ES"/>
        </w:rPr>
        <w:t xml:space="preserve"> </w:t>
      </w:r>
      <w:r w:rsidR="00A56902">
        <w:rPr>
          <w:rFonts w:ascii="Arial" w:eastAsia="Calibri" w:hAnsi="Arial" w:cs="Arial"/>
          <w:bCs/>
          <w:sz w:val="24"/>
          <w:szCs w:val="24"/>
          <w:lang w:val="es-ES"/>
        </w:rPr>
        <w:t xml:space="preserve">Diógenes </w:t>
      </w:r>
      <w:r w:rsidR="00A56902" w:rsidRPr="00D86B0C">
        <w:rPr>
          <w:rFonts w:ascii="Arial" w:eastAsia="Calibri" w:hAnsi="Arial" w:cs="Arial"/>
          <w:bCs/>
          <w:sz w:val="24"/>
          <w:szCs w:val="24"/>
        </w:rPr>
        <w:t>Leonel Garzón Guzmán</w:t>
      </w:r>
      <w:r w:rsidR="00A56902">
        <w:rPr>
          <w:rFonts w:ascii="Arial" w:eastAsia="Calibri" w:hAnsi="Arial" w:cs="Arial"/>
          <w:bCs/>
          <w:sz w:val="24"/>
          <w:szCs w:val="24"/>
        </w:rPr>
        <w:t xml:space="preserve"> </w:t>
      </w:r>
      <w:r w:rsidR="00A56902">
        <w:rPr>
          <w:rFonts w:ascii="Arial" w:eastAsia="Calibri" w:hAnsi="Arial" w:cs="Arial"/>
          <w:bCs/>
          <w:sz w:val="24"/>
          <w:szCs w:val="24"/>
          <w:lang w:val="es-ES"/>
        </w:rPr>
        <w:t xml:space="preserve">demandó la </w:t>
      </w:r>
      <w:r w:rsidR="00E60C3C">
        <w:rPr>
          <w:rFonts w:ascii="Arial" w:eastAsia="Calibri" w:hAnsi="Arial" w:cs="Arial"/>
          <w:bCs/>
          <w:sz w:val="24"/>
          <w:szCs w:val="24"/>
          <w:lang w:val="es-ES"/>
        </w:rPr>
        <w:t xml:space="preserve">legalidad </w:t>
      </w:r>
      <w:r w:rsidR="00A56902">
        <w:rPr>
          <w:rFonts w:ascii="Arial" w:eastAsia="Calibri" w:hAnsi="Arial" w:cs="Arial"/>
          <w:bCs/>
          <w:sz w:val="24"/>
          <w:szCs w:val="24"/>
          <w:lang w:val="es-ES"/>
        </w:rPr>
        <w:t>de la</w:t>
      </w:r>
      <w:r w:rsidR="00E60C3C">
        <w:rPr>
          <w:rFonts w:ascii="Arial" w:eastAsia="Calibri" w:hAnsi="Arial" w:cs="Arial"/>
          <w:bCs/>
          <w:sz w:val="24"/>
          <w:szCs w:val="24"/>
          <w:lang w:val="es-ES"/>
        </w:rPr>
        <w:t>s</w:t>
      </w:r>
      <w:r w:rsidR="00A56902">
        <w:rPr>
          <w:rFonts w:ascii="Arial" w:eastAsia="Calibri" w:hAnsi="Arial" w:cs="Arial"/>
          <w:bCs/>
          <w:sz w:val="24"/>
          <w:szCs w:val="24"/>
          <w:lang w:val="es-ES"/>
        </w:rPr>
        <w:t xml:space="preserve"> </w:t>
      </w:r>
      <w:r w:rsidR="00A56902">
        <w:rPr>
          <w:rFonts w:ascii="Arial" w:eastAsia="Calibri" w:hAnsi="Arial" w:cs="Arial"/>
          <w:sz w:val="24"/>
          <w:szCs w:val="24"/>
          <w:lang w:eastAsia="es-ES_tradnl"/>
        </w:rPr>
        <w:t>resoluci</w:t>
      </w:r>
      <w:r w:rsidR="00E60C3C">
        <w:rPr>
          <w:rFonts w:ascii="Arial" w:eastAsia="Calibri" w:hAnsi="Arial" w:cs="Arial"/>
          <w:sz w:val="24"/>
          <w:szCs w:val="24"/>
          <w:lang w:eastAsia="es-ES_tradnl"/>
        </w:rPr>
        <w:t xml:space="preserve">ones </w:t>
      </w:r>
      <w:r w:rsidR="00E60C3C" w:rsidRPr="00E60C3C">
        <w:rPr>
          <w:rFonts w:ascii="Arial" w:eastAsia="Calibri" w:hAnsi="Arial" w:cs="Arial"/>
          <w:sz w:val="24"/>
          <w:szCs w:val="24"/>
          <w:lang w:eastAsia="es-ES_tradnl"/>
        </w:rPr>
        <w:t>032687 del 18 de agosto de 2006</w:t>
      </w:r>
      <w:r w:rsidR="00581DD4">
        <w:rPr>
          <w:rStyle w:val="Refdenotaalpie"/>
          <w:rFonts w:ascii="Arial" w:eastAsia="Calibri" w:hAnsi="Arial" w:cs="Arial"/>
          <w:sz w:val="24"/>
          <w:szCs w:val="24"/>
          <w:lang w:eastAsia="es-ES_tradnl"/>
        </w:rPr>
        <w:footnoteReference w:id="3"/>
      </w:r>
      <w:r w:rsidR="00E60C3C" w:rsidRPr="00E60C3C">
        <w:rPr>
          <w:rFonts w:ascii="Arial" w:eastAsia="Calibri" w:hAnsi="Arial" w:cs="Arial"/>
          <w:sz w:val="24"/>
          <w:szCs w:val="24"/>
          <w:lang w:eastAsia="es-ES_tradnl"/>
        </w:rPr>
        <w:t xml:space="preserve"> y 01078 del 31 de mayo de 2007</w:t>
      </w:r>
      <w:r w:rsidR="00E60C3C">
        <w:rPr>
          <w:rFonts w:ascii="Arial" w:eastAsia="Calibri" w:hAnsi="Arial" w:cs="Arial"/>
          <w:sz w:val="24"/>
          <w:szCs w:val="24"/>
          <w:lang w:eastAsia="es-ES_tradnl"/>
        </w:rPr>
        <w:t>,</w:t>
      </w:r>
      <w:r w:rsidR="00A56902">
        <w:rPr>
          <w:rFonts w:ascii="Arial" w:eastAsia="Calibri" w:hAnsi="Arial" w:cs="Arial"/>
          <w:sz w:val="24"/>
          <w:szCs w:val="24"/>
          <w:lang w:eastAsia="es-ES_tradnl"/>
        </w:rPr>
        <w:t xml:space="preserve"> por medio de la</w:t>
      </w:r>
      <w:r w:rsidR="00E60C3C">
        <w:rPr>
          <w:rFonts w:ascii="Arial" w:eastAsia="Calibri" w:hAnsi="Arial" w:cs="Arial"/>
          <w:sz w:val="24"/>
          <w:szCs w:val="24"/>
          <w:lang w:eastAsia="es-ES_tradnl"/>
        </w:rPr>
        <w:t>s</w:t>
      </w:r>
      <w:r w:rsidR="00A56902">
        <w:rPr>
          <w:rFonts w:ascii="Arial" w:eastAsia="Calibri" w:hAnsi="Arial" w:cs="Arial"/>
          <w:sz w:val="24"/>
          <w:szCs w:val="24"/>
          <w:lang w:eastAsia="es-ES_tradnl"/>
        </w:rPr>
        <w:t xml:space="preserve"> cual</w:t>
      </w:r>
      <w:r w:rsidR="00E60C3C">
        <w:rPr>
          <w:rFonts w:ascii="Arial" w:eastAsia="Calibri" w:hAnsi="Arial" w:cs="Arial"/>
          <w:sz w:val="24"/>
          <w:szCs w:val="24"/>
          <w:lang w:eastAsia="es-ES_tradnl"/>
        </w:rPr>
        <w:t>es</w:t>
      </w:r>
      <w:r w:rsidR="00A56902">
        <w:rPr>
          <w:rFonts w:ascii="Arial" w:eastAsia="Calibri" w:hAnsi="Arial" w:cs="Arial"/>
          <w:sz w:val="24"/>
          <w:szCs w:val="24"/>
          <w:lang w:eastAsia="es-ES_tradnl"/>
        </w:rPr>
        <w:t xml:space="preserve"> </w:t>
      </w:r>
      <w:r w:rsidR="004E1682">
        <w:rPr>
          <w:rFonts w:ascii="Arial" w:eastAsia="Calibri" w:hAnsi="Arial" w:cs="Arial"/>
          <w:sz w:val="24"/>
          <w:szCs w:val="24"/>
          <w:lang w:eastAsia="es-ES_tradnl"/>
        </w:rPr>
        <w:t>el extinto Instituto de Seguros Sociales – ISS</w:t>
      </w:r>
      <w:r w:rsidR="00E60C3C">
        <w:rPr>
          <w:rFonts w:ascii="Arial" w:eastAsia="Calibri" w:hAnsi="Arial" w:cs="Arial"/>
          <w:sz w:val="24"/>
          <w:szCs w:val="24"/>
          <w:lang w:eastAsia="es-ES_tradnl"/>
        </w:rPr>
        <w:t xml:space="preserve"> reconoció su pensión de vejez, y</w:t>
      </w:r>
      <w:r w:rsidR="00A56902">
        <w:rPr>
          <w:rFonts w:ascii="Arial" w:eastAsia="Calibri" w:hAnsi="Arial" w:cs="Arial"/>
          <w:sz w:val="24"/>
          <w:szCs w:val="24"/>
          <w:lang w:eastAsia="es-ES_tradnl"/>
        </w:rPr>
        <w:t xml:space="preserve"> </w:t>
      </w:r>
      <w:r w:rsidR="00E60C3C">
        <w:rPr>
          <w:rFonts w:ascii="Arial" w:eastAsia="Calibri" w:hAnsi="Arial" w:cs="Arial"/>
          <w:sz w:val="24"/>
          <w:szCs w:val="24"/>
          <w:lang w:eastAsia="es-ES_tradnl"/>
        </w:rPr>
        <w:t xml:space="preserve">negó el recurso de apelación que presentó </w:t>
      </w:r>
      <w:r w:rsidR="00520926">
        <w:rPr>
          <w:rFonts w:ascii="Arial" w:eastAsia="Calibri" w:hAnsi="Arial" w:cs="Arial"/>
          <w:sz w:val="24"/>
          <w:szCs w:val="24"/>
          <w:lang w:eastAsia="es-ES_tradnl"/>
        </w:rPr>
        <w:t xml:space="preserve">en su contra. A título </w:t>
      </w:r>
      <w:r w:rsidR="00F77029">
        <w:rPr>
          <w:rFonts w:ascii="Arial" w:eastAsia="Calibri" w:hAnsi="Arial" w:cs="Arial"/>
          <w:sz w:val="24"/>
          <w:szCs w:val="24"/>
          <w:lang w:eastAsia="es-ES_tradnl"/>
        </w:rPr>
        <w:t>de restablecimiento del derecho</w:t>
      </w:r>
      <w:r w:rsidR="00520926">
        <w:rPr>
          <w:rFonts w:ascii="Arial" w:eastAsia="Calibri" w:hAnsi="Arial" w:cs="Arial"/>
          <w:sz w:val="24"/>
          <w:szCs w:val="24"/>
          <w:lang w:eastAsia="es-ES_tradnl"/>
        </w:rPr>
        <w:t xml:space="preserve"> solicitó la</w:t>
      </w:r>
      <w:r w:rsidR="00A56902">
        <w:rPr>
          <w:rFonts w:ascii="Arial" w:eastAsia="Calibri" w:hAnsi="Arial" w:cs="Arial"/>
          <w:sz w:val="24"/>
          <w:szCs w:val="24"/>
          <w:lang w:eastAsia="es-ES_tradnl"/>
        </w:rPr>
        <w:t xml:space="preserve"> reliquidación con inclusión de los factores salariales devengados durante el último año de servicio</w:t>
      </w:r>
      <w:r w:rsidR="00520926">
        <w:rPr>
          <w:rFonts w:ascii="Arial" w:eastAsia="Calibri" w:hAnsi="Arial" w:cs="Arial"/>
          <w:sz w:val="24"/>
          <w:szCs w:val="24"/>
          <w:lang w:eastAsia="es-ES_tradnl"/>
        </w:rPr>
        <w:t>, de conformidad con lo dispuesto en la Ley 33 de 1985</w:t>
      </w:r>
      <w:r w:rsidR="00F77029">
        <w:rPr>
          <w:rStyle w:val="Refdenotaalpie"/>
          <w:rFonts w:ascii="Arial" w:eastAsia="Calibri" w:hAnsi="Arial" w:cs="Arial"/>
          <w:bCs/>
          <w:sz w:val="24"/>
          <w:szCs w:val="24"/>
          <w:lang w:val="es-ES_tradnl" w:eastAsia="es-ES_tradnl"/>
        </w:rPr>
        <w:footnoteReference w:id="4"/>
      </w:r>
      <w:r w:rsidR="00520926">
        <w:rPr>
          <w:rFonts w:ascii="Arial" w:eastAsia="Calibri" w:hAnsi="Arial" w:cs="Arial"/>
          <w:sz w:val="24"/>
          <w:szCs w:val="24"/>
          <w:lang w:eastAsia="es-ES_tradnl"/>
        </w:rPr>
        <w:t>.</w:t>
      </w:r>
    </w:p>
    <w:p w14:paraId="0E3176DB" w14:textId="6112155E" w:rsidR="004E1682" w:rsidRDefault="00C64737" w:rsidP="00C64737">
      <w:pPr>
        <w:widowControl w:val="0"/>
        <w:spacing w:after="240" w:line="240" w:lineRule="auto"/>
        <w:jc w:val="both"/>
        <w:rPr>
          <w:rFonts w:ascii="Arial" w:eastAsia="Calibri" w:hAnsi="Arial" w:cs="Arial"/>
          <w:bCs/>
          <w:sz w:val="24"/>
          <w:szCs w:val="24"/>
          <w:lang w:val="es-ES_tradnl" w:eastAsia="es-ES_tradnl"/>
        </w:rPr>
      </w:pPr>
      <w:r w:rsidRPr="00A56902">
        <w:rPr>
          <w:rFonts w:ascii="Arial" w:eastAsia="Calibri" w:hAnsi="Arial" w:cs="Arial"/>
          <w:sz w:val="24"/>
          <w:szCs w:val="24"/>
          <w:lang w:eastAsia="es-ES_tradnl"/>
        </w:rPr>
        <w:t>1.2.2.</w:t>
      </w:r>
      <w:r>
        <w:rPr>
          <w:rFonts w:ascii="Arial" w:eastAsia="Calibri" w:hAnsi="Arial" w:cs="Arial"/>
          <w:sz w:val="24"/>
          <w:szCs w:val="24"/>
          <w:lang w:eastAsia="es-ES_tradnl"/>
        </w:rPr>
        <w:t xml:space="preserve"> E</w:t>
      </w:r>
      <w:r w:rsidR="00520926">
        <w:rPr>
          <w:rFonts w:ascii="Arial" w:eastAsia="Calibri" w:hAnsi="Arial" w:cs="Arial"/>
          <w:sz w:val="24"/>
          <w:szCs w:val="24"/>
          <w:lang w:eastAsia="es-ES_tradnl"/>
        </w:rPr>
        <w:t>l asunto correspondió e</w:t>
      </w:r>
      <w:r w:rsidR="00887EDB">
        <w:rPr>
          <w:rFonts w:ascii="Arial" w:eastAsia="Calibri" w:hAnsi="Arial" w:cs="Arial"/>
          <w:sz w:val="24"/>
          <w:szCs w:val="24"/>
          <w:lang w:eastAsia="es-ES_tradnl"/>
        </w:rPr>
        <w:t>n primera instancia</w:t>
      </w:r>
      <w:r>
        <w:rPr>
          <w:rFonts w:ascii="Arial" w:eastAsia="Calibri" w:hAnsi="Arial" w:cs="Arial"/>
          <w:sz w:val="24"/>
          <w:szCs w:val="24"/>
          <w:lang w:eastAsia="es-ES_tradnl"/>
        </w:rPr>
        <w:t xml:space="preserve"> </w:t>
      </w:r>
      <w:r w:rsidR="00520926">
        <w:rPr>
          <w:rFonts w:ascii="Arial" w:eastAsia="Calibri" w:hAnsi="Arial" w:cs="Arial"/>
          <w:sz w:val="24"/>
          <w:szCs w:val="24"/>
          <w:lang w:eastAsia="es-ES_tradnl"/>
        </w:rPr>
        <w:t>a</w:t>
      </w:r>
      <w:r>
        <w:rPr>
          <w:rFonts w:ascii="Arial" w:eastAsia="Calibri" w:hAnsi="Arial" w:cs="Arial"/>
          <w:sz w:val="24"/>
          <w:szCs w:val="24"/>
          <w:lang w:eastAsia="es-ES_tradnl"/>
        </w:rPr>
        <w:t xml:space="preserve">l </w:t>
      </w:r>
      <w:r w:rsidR="00520926">
        <w:rPr>
          <w:rFonts w:ascii="Arial" w:eastAsia="Calibri" w:hAnsi="Arial" w:cs="Arial"/>
          <w:sz w:val="24"/>
          <w:szCs w:val="24"/>
          <w:lang w:eastAsia="es-ES_tradnl"/>
        </w:rPr>
        <w:t>Tribunal Administrativo de Boyacá, autoridad judicial que</w:t>
      </w:r>
      <w:r>
        <w:rPr>
          <w:rFonts w:ascii="Arial" w:eastAsia="Calibri" w:hAnsi="Arial" w:cs="Arial"/>
          <w:bCs/>
          <w:sz w:val="24"/>
          <w:szCs w:val="24"/>
          <w:lang w:val="es-ES_tradnl" w:eastAsia="es-ES_tradnl"/>
        </w:rPr>
        <w:t>, en sentencia del 1</w:t>
      </w:r>
      <w:r w:rsidR="00520926">
        <w:rPr>
          <w:rFonts w:ascii="Arial" w:eastAsia="Calibri" w:hAnsi="Arial" w:cs="Arial"/>
          <w:bCs/>
          <w:sz w:val="24"/>
          <w:szCs w:val="24"/>
          <w:lang w:val="es-ES_tradnl" w:eastAsia="es-ES_tradnl"/>
        </w:rPr>
        <w:t>5</w:t>
      </w:r>
      <w:r>
        <w:rPr>
          <w:rFonts w:ascii="Arial" w:eastAsia="Calibri" w:hAnsi="Arial" w:cs="Arial"/>
          <w:bCs/>
          <w:sz w:val="24"/>
          <w:szCs w:val="24"/>
          <w:lang w:val="es-ES_tradnl" w:eastAsia="es-ES_tradnl"/>
        </w:rPr>
        <w:t xml:space="preserve"> de ju</w:t>
      </w:r>
      <w:r w:rsidR="00520926">
        <w:rPr>
          <w:rFonts w:ascii="Arial" w:eastAsia="Calibri" w:hAnsi="Arial" w:cs="Arial"/>
          <w:bCs/>
          <w:sz w:val="24"/>
          <w:szCs w:val="24"/>
          <w:lang w:val="es-ES_tradnl" w:eastAsia="es-ES_tradnl"/>
        </w:rPr>
        <w:t>l</w:t>
      </w:r>
      <w:r>
        <w:rPr>
          <w:rFonts w:ascii="Arial" w:eastAsia="Calibri" w:hAnsi="Arial" w:cs="Arial"/>
          <w:bCs/>
          <w:sz w:val="24"/>
          <w:szCs w:val="24"/>
          <w:lang w:val="es-ES_tradnl" w:eastAsia="es-ES_tradnl"/>
        </w:rPr>
        <w:t>io de 20</w:t>
      </w:r>
      <w:r w:rsidR="00520926">
        <w:rPr>
          <w:rFonts w:ascii="Arial" w:eastAsia="Calibri" w:hAnsi="Arial" w:cs="Arial"/>
          <w:bCs/>
          <w:sz w:val="24"/>
          <w:szCs w:val="24"/>
          <w:lang w:val="es-ES_tradnl" w:eastAsia="es-ES_tradnl"/>
        </w:rPr>
        <w:t>09</w:t>
      </w:r>
      <w:r w:rsidR="00F77029">
        <w:rPr>
          <w:rStyle w:val="Refdenotaalpie"/>
          <w:rFonts w:ascii="Arial" w:eastAsia="Calibri" w:hAnsi="Arial" w:cs="Arial"/>
          <w:bCs/>
          <w:sz w:val="24"/>
          <w:szCs w:val="24"/>
          <w:lang w:val="es-ES_tradnl" w:eastAsia="es-ES_tradnl"/>
        </w:rPr>
        <w:footnoteReference w:id="5"/>
      </w:r>
      <w:r>
        <w:rPr>
          <w:rFonts w:ascii="Arial" w:eastAsia="Calibri" w:hAnsi="Arial" w:cs="Arial"/>
          <w:bCs/>
          <w:sz w:val="24"/>
          <w:szCs w:val="24"/>
          <w:lang w:val="es-ES_tradnl" w:eastAsia="es-ES_tradnl"/>
        </w:rPr>
        <w:t>, accedió a las pretensiones de la demanda</w:t>
      </w:r>
      <w:r w:rsidR="00887EDB">
        <w:rPr>
          <w:rFonts w:ascii="Arial" w:eastAsia="Calibri" w:hAnsi="Arial" w:cs="Arial"/>
          <w:bCs/>
          <w:sz w:val="24"/>
          <w:szCs w:val="24"/>
          <w:lang w:val="es-ES_tradnl" w:eastAsia="es-ES_tradnl"/>
        </w:rPr>
        <w:t>, y así</w:t>
      </w:r>
      <w:r w:rsidR="004E1682">
        <w:rPr>
          <w:rFonts w:ascii="Arial" w:eastAsia="Calibri" w:hAnsi="Arial" w:cs="Arial"/>
          <w:bCs/>
          <w:sz w:val="24"/>
          <w:szCs w:val="24"/>
          <w:lang w:val="es-ES_tradnl" w:eastAsia="es-ES_tradnl"/>
        </w:rPr>
        <w:t xml:space="preserve"> declaró la nulidad parcial de los actos administrativos demandados, y a título de restablecimiento del derecho ordenó al ISS, entre otras, que:</w:t>
      </w:r>
    </w:p>
    <w:p w14:paraId="73CC82B1" w14:textId="2392E3BB" w:rsidR="00520926" w:rsidRDefault="004E1682" w:rsidP="000034BB">
      <w:pPr>
        <w:widowControl w:val="0"/>
        <w:spacing w:after="240" w:line="240" w:lineRule="auto"/>
        <w:ind w:left="708"/>
        <w:jc w:val="both"/>
        <w:rPr>
          <w:rFonts w:ascii="Arial" w:eastAsia="Calibri" w:hAnsi="Arial" w:cs="Arial"/>
          <w:bCs/>
          <w:lang w:eastAsia="es-ES_tradnl"/>
        </w:rPr>
      </w:pPr>
      <w:r w:rsidRPr="004E1682">
        <w:rPr>
          <w:rFonts w:ascii="Arial" w:eastAsia="Calibri" w:hAnsi="Arial" w:cs="Arial"/>
          <w:bCs/>
          <w:lang w:val="es-ES_tradnl" w:eastAsia="es-ES_tradnl"/>
        </w:rPr>
        <w:t>“</w:t>
      </w:r>
      <w:r w:rsidRPr="004E1682">
        <w:rPr>
          <w:rFonts w:ascii="Arial" w:eastAsia="Calibri" w:hAnsi="Arial" w:cs="Arial"/>
          <w:bCs/>
          <w:lang w:eastAsia="es-ES_tradnl"/>
        </w:rPr>
        <w:t>indexar</w:t>
      </w:r>
      <w:r>
        <w:rPr>
          <w:rFonts w:ascii="Arial" w:eastAsia="Calibri" w:hAnsi="Arial" w:cs="Arial"/>
          <w:bCs/>
          <w:lang w:eastAsia="es-ES_tradnl"/>
        </w:rPr>
        <w:t>[a]</w:t>
      </w:r>
      <w:r w:rsidRPr="004E1682">
        <w:rPr>
          <w:rFonts w:ascii="Arial" w:eastAsia="Calibri" w:hAnsi="Arial" w:cs="Arial"/>
          <w:bCs/>
          <w:lang w:eastAsia="es-ES_tradnl"/>
        </w:rPr>
        <w:t xml:space="preserve">, con base en el I.P.C, desde el 10 de enero de 1998 y hasta el 22 de marzo de 2006, el promedio de lo devengado por DIÓGENES LEONEL GARZÓN </w:t>
      </w:r>
      <w:r w:rsidRPr="004E1682">
        <w:rPr>
          <w:rFonts w:ascii="Arial" w:eastAsia="Calibri" w:hAnsi="Arial" w:cs="Arial"/>
          <w:bCs/>
          <w:lang w:eastAsia="es-ES_tradnl"/>
        </w:rPr>
        <w:lastRenderedPageBreak/>
        <w:t>GUZMÁN en el último año de servicios comprendido entre el 10 de enero de 1997 y el 31 de diciembre del mismo año; sobre el resultado reliquidará la pensión en cuantía del 75% de dicho promedio de lo devengado durante el año de servicios, con efectos fiscales desde el 22 de marzo de 2006 y aplicará los reajustes de ley. Del total de la condena deducirá los valores cancelados</w:t>
      </w:r>
      <w:r>
        <w:rPr>
          <w:rFonts w:ascii="Arial" w:eastAsia="Calibri" w:hAnsi="Arial" w:cs="Arial"/>
          <w:bCs/>
          <w:lang w:eastAsia="es-ES_tradnl"/>
        </w:rPr>
        <w:t>”</w:t>
      </w:r>
      <w:r w:rsidR="00F77029">
        <w:rPr>
          <w:rStyle w:val="Refdenotaalpie"/>
          <w:rFonts w:ascii="Arial" w:eastAsia="Calibri" w:hAnsi="Arial" w:cs="Arial"/>
          <w:bCs/>
          <w:lang w:eastAsia="es-ES_tradnl"/>
        </w:rPr>
        <w:footnoteReference w:id="6"/>
      </w:r>
      <w:r w:rsidRPr="004E1682">
        <w:rPr>
          <w:rFonts w:ascii="Arial" w:eastAsia="Calibri" w:hAnsi="Arial" w:cs="Arial"/>
          <w:bCs/>
          <w:lang w:eastAsia="es-ES_tradnl"/>
        </w:rPr>
        <w:t>.</w:t>
      </w:r>
    </w:p>
    <w:p w14:paraId="044F96C0" w14:textId="57810752" w:rsidR="000034BB" w:rsidRPr="000034BB" w:rsidRDefault="007567F0" w:rsidP="000034BB">
      <w:pPr>
        <w:widowControl w:val="0"/>
        <w:spacing w:after="240" w:line="240" w:lineRule="auto"/>
        <w:jc w:val="both"/>
        <w:rPr>
          <w:rFonts w:ascii="Arial" w:eastAsia="Calibri" w:hAnsi="Arial" w:cs="Arial"/>
          <w:bCs/>
          <w:sz w:val="24"/>
          <w:szCs w:val="24"/>
          <w:lang w:eastAsia="es-ES_tradnl"/>
        </w:rPr>
      </w:pPr>
      <w:r>
        <w:rPr>
          <w:rFonts w:ascii="Arial" w:eastAsia="Calibri" w:hAnsi="Arial" w:cs="Arial"/>
          <w:bCs/>
          <w:sz w:val="24"/>
          <w:szCs w:val="24"/>
          <w:lang w:eastAsia="es-ES_tradnl"/>
        </w:rPr>
        <w:t xml:space="preserve">1.2.3. </w:t>
      </w:r>
      <w:r w:rsidR="000034BB">
        <w:rPr>
          <w:rFonts w:ascii="Arial" w:eastAsia="Calibri" w:hAnsi="Arial" w:cs="Arial"/>
          <w:bCs/>
          <w:sz w:val="24"/>
          <w:szCs w:val="24"/>
          <w:lang w:eastAsia="es-ES_tradnl"/>
        </w:rPr>
        <w:t>En contra de la mencionada decisión no se presentaron recursos</w:t>
      </w:r>
      <w:r w:rsidR="00F77029">
        <w:rPr>
          <w:rStyle w:val="Refdenotaalpie"/>
          <w:rFonts w:ascii="Arial" w:eastAsia="Calibri" w:hAnsi="Arial" w:cs="Arial"/>
          <w:bCs/>
          <w:sz w:val="24"/>
          <w:szCs w:val="24"/>
          <w:lang w:eastAsia="es-ES_tradnl"/>
        </w:rPr>
        <w:footnoteReference w:id="7"/>
      </w:r>
      <w:r w:rsidR="000034BB">
        <w:rPr>
          <w:rFonts w:ascii="Arial" w:eastAsia="Calibri" w:hAnsi="Arial" w:cs="Arial"/>
          <w:bCs/>
          <w:sz w:val="24"/>
          <w:szCs w:val="24"/>
          <w:lang w:eastAsia="es-ES_tradnl"/>
        </w:rPr>
        <w:t>.</w:t>
      </w:r>
    </w:p>
    <w:p w14:paraId="647EA6B3" w14:textId="77777777" w:rsidR="00C64737" w:rsidRDefault="00C64737" w:rsidP="00C64737">
      <w:pPr>
        <w:keepNext/>
        <w:spacing w:before="240" w:after="240" w:line="240" w:lineRule="auto"/>
        <w:jc w:val="both"/>
        <w:rPr>
          <w:rFonts w:ascii="Arial" w:eastAsia="Calibri" w:hAnsi="Arial" w:cs="Arial"/>
          <w:b/>
          <w:bCs/>
          <w:sz w:val="24"/>
          <w:szCs w:val="24"/>
          <w:lang w:eastAsia="es-ES_tradnl"/>
        </w:rPr>
      </w:pPr>
      <w:r>
        <w:rPr>
          <w:rFonts w:ascii="Arial" w:eastAsia="Calibri" w:hAnsi="Arial" w:cs="Arial"/>
          <w:b/>
          <w:bCs/>
          <w:sz w:val="24"/>
          <w:szCs w:val="24"/>
          <w:lang w:eastAsia="es-ES_tradnl"/>
        </w:rPr>
        <w:t>1.</w:t>
      </w:r>
      <w:r w:rsidRPr="00DD0B06">
        <w:rPr>
          <w:rFonts w:ascii="Arial" w:eastAsia="Calibri" w:hAnsi="Arial" w:cs="Arial"/>
          <w:b/>
          <w:bCs/>
          <w:sz w:val="24"/>
          <w:szCs w:val="24"/>
          <w:lang w:eastAsia="es-ES_tradnl"/>
        </w:rPr>
        <w:t xml:space="preserve">3. Pretensiones </w:t>
      </w:r>
      <w:r>
        <w:rPr>
          <w:rFonts w:ascii="Arial" w:eastAsia="Calibri" w:hAnsi="Arial" w:cs="Arial"/>
          <w:b/>
          <w:bCs/>
          <w:sz w:val="24"/>
          <w:szCs w:val="24"/>
          <w:lang w:eastAsia="es-ES_tradnl"/>
        </w:rPr>
        <w:t xml:space="preserve">y argumentos </w:t>
      </w:r>
      <w:r w:rsidRPr="00DD0B06">
        <w:rPr>
          <w:rFonts w:ascii="Arial" w:eastAsia="Calibri" w:hAnsi="Arial" w:cs="Arial"/>
          <w:b/>
          <w:bCs/>
          <w:sz w:val="24"/>
          <w:szCs w:val="24"/>
          <w:lang w:eastAsia="es-ES_tradnl"/>
        </w:rPr>
        <w:t>de la acción de tutela</w:t>
      </w:r>
      <w:r w:rsidRPr="00DD0B06">
        <w:rPr>
          <w:rFonts w:ascii="Arial" w:eastAsia="Calibri" w:hAnsi="Arial" w:cs="Arial"/>
          <w:b/>
          <w:bCs/>
          <w:sz w:val="24"/>
          <w:szCs w:val="24"/>
          <w:lang w:eastAsia="es-ES_tradnl"/>
        </w:rPr>
        <w:tab/>
      </w:r>
    </w:p>
    <w:p w14:paraId="057F44E9" w14:textId="5009BCFC" w:rsidR="000034BB" w:rsidRDefault="00C64737" w:rsidP="00C64737">
      <w:pPr>
        <w:keepNext/>
        <w:spacing w:before="240" w:after="240" w:line="240" w:lineRule="auto"/>
        <w:jc w:val="both"/>
        <w:rPr>
          <w:rFonts w:ascii="Arial" w:eastAsia="Calibri" w:hAnsi="Arial" w:cs="Arial"/>
          <w:sz w:val="24"/>
          <w:szCs w:val="24"/>
          <w:lang w:eastAsia="es-ES_tradnl"/>
        </w:rPr>
      </w:pPr>
      <w:r w:rsidRPr="00714DBD">
        <w:rPr>
          <w:rFonts w:ascii="Arial" w:eastAsia="Calibri" w:hAnsi="Arial" w:cs="Arial"/>
          <w:sz w:val="24"/>
          <w:szCs w:val="24"/>
          <w:lang w:eastAsia="es-ES_tradnl"/>
        </w:rPr>
        <w:t>1.3.1.</w:t>
      </w:r>
      <w:r>
        <w:rPr>
          <w:rFonts w:ascii="Arial" w:eastAsia="Calibri" w:hAnsi="Arial" w:cs="Arial"/>
          <w:sz w:val="24"/>
          <w:szCs w:val="24"/>
          <w:lang w:eastAsia="es-ES_tradnl"/>
        </w:rPr>
        <w:t xml:space="preserve"> </w:t>
      </w:r>
      <w:r w:rsidR="00C07412">
        <w:rPr>
          <w:rFonts w:ascii="Arial" w:eastAsia="Calibri" w:hAnsi="Arial" w:cs="Arial"/>
          <w:bCs/>
          <w:sz w:val="24"/>
          <w:szCs w:val="24"/>
          <w:lang w:val="es-ES"/>
        </w:rPr>
        <w:t>La Administradora Colombiana de Pensiones</w:t>
      </w:r>
      <w:r w:rsidR="003D4CDA">
        <w:rPr>
          <w:rFonts w:ascii="Arial" w:eastAsia="Calibri" w:hAnsi="Arial" w:cs="Arial"/>
          <w:bCs/>
          <w:sz w:val="24"/>
          <w:szCs w:val="24"/>
          <w:lang w:val="es-ES"/>
        </w:rPr>
        <w:t xml:space="preserve"> – </w:t>
      </w:r>
      <w:r w:rsidR="00C07412">
        <w:rPr>
          <w:rFonts w:ascii="Arial" w:eastAsia="Calibri" w:hAnsi="Arial" w:cs="Arial"/>
          <w:bCs/>
          <w:sz w:val="24"/>
          <w:szCs w:val="24"/>
          <w:lang w:val="es-ES"/>
        </w:rPr>
        <w:t>Colpensiones</w:t>
      </w:r>
      <w:r>
        <w:rPr>
          <w:rFonts w:ascii="Arial" w:eastAsia="Calibri" w:hAnsi="Arial" w:cs="Arial"/>
          <w:sz w:val="24"/>
          <w:szCs w:val="24"/>
          <w:lang w:eastAsia="es-ES_tradnl"/>
        </w:rPr>
        <w:t xml:space="preserve"> solicitó</w:t>
      </w:r>
      <w:r w:rsidR="00C07412">
        <w:rPr>
          <w:rFonts w:ascii="Arial" w:eastAsia="Calibri" w:hAnsi="Arial" w:cs="Arial"/>
          <w:sz w:val="24"/>
          <w:szCs w:val="24"/>
          <w:lang w:eastAsia="es-ES_tradnl"/>
        </w:rPr>
        <w:t xml:space="preserve"> la protección de sus derechos fundamentales. En consecuencia, pidió al juez constitucional que </w:t>
      </w:r>
      <w:r w:rsidR="000034BB">
        <w:rPr>
          <w:rFonts w:ascii="Arial" w:eastAsia="Calibri" w:hAnsi="Arial" w:cs="Arial"/>
          <w:sz w:val="24"/>
          <w:szCs w:val="24"/>
          <w:lang w:eastAsia="es-ES_tradnl"/>
        </w:rPr>
        <w:t xml:space="preserve">deje sin efectos, de manera definitiva, la sentencia proferida por el Tribunal Administrativo de Boyacá el 15 de julio de 2009, en el proceso de nulidad y restablecimiento del derecho con número de radicado </w:t>
      </w:r>
      <w:r w:rsidR="000034BB" w:rsidRPr="00D86B0C">
        <w:rPr>
          <w:rFonts w:ascii="Arial" w:eastAsia="Calibri" w:hAnsi="Arial" w:cs="Arial"/>
          <w:bCs/>
          <w:sz w:val="24"/>
          <w:szCs w:val="24"/>
        </w:rPr>
        <w:t>15001-23-31-005-2007-00571-00</w:t>
      </w:r>
      <w:r w:rsidR="000034BB">
        <w:rPr>
          <w:rFonts w:ascii="Arial" w:eastAsia="Calibri" w:hAnsi="Arial" w:cs="Arial"/>
          <w:bCs/>
          <w:sz w:val="24"/>
          <w:szCs w:val="24"/>
        </w:rPr>
        <w:t>.</w:t>
      </w:r>
    </w:p>
    <w:p w14:paraId="45DD39DD" w14:textId="20D4CCF7" w:rsidR="000034BB" w:rsidRDefault="00C64737" w:rsidP="00C64737">
      <w:pPr>
        <w:keepNext/>
        <w:spacing w:before="240" w:after="240" w:line="240" w:lineRule="auto"/>
        <w:jc w:val="both"/>
        <w:rPr>
          <w:rFonts w:ascii="Arial" w:eastAsia="Calibri" w:hAnsi="Arial" w:cs="Arial"/>
          <w:sz w:val="24"/>
          <w:szCs w:val="24"/>
          <w:lang w:eastAsia="es-ES_tradnl"/>
        </w:rPr>
      </w:pPr>
      <w:r w:rsidRPr="00A56902">
        <w:rPr>
          <w:rFonts w:ascii="Arial" w:eastAsia="Calibri" w:hAnsi="Arial" w:cs="Arial"/>
          <w:bCs/>
          <w:sz w:val="24"/>
          <w:szCs w:val="24"/>
          <w:lang w:eastAsia="es-ES_tradnl"/>
        </w:rPr>
        <w:t>1.3.2.</w:t>
      </w:r>
      <w:r>
        <w:rPr>
          <w:rFonts w:ascii="Arial" w:eastAsia="Calibri" w:hAnsi="Arial" w:cs="Arial"/>
          <w:sz w:val="24"/>
          <w:szCs w:val="24"/>
          <w:lang w:eastAsia="es-ES_tradnl"/>
        </w:rPr>
        <w:t xml:space="preserve"> </w:t>
      </w:r>
      <w:r w:rsidR="000034BB">
        <w:rPr>
          <w:rFonts w:ascii="Arial" w:eastAsia="Calibri" w:hAnsi="Arial" w:cs="Arial"/>
          <w:sz w:val="24"/>
          <w:szCs w:val="24"/>
          <w:lang w:eastAsia="es-ES_tradnl"/>
        </w:rPr>
        <w:t>Como fundamentos de su petición de amparo constitucional, Colpensiones expuso que la providencia cuestionada en sede de tutela contiene los siguientes yerros:</w:t>
      </w:r>
    </w:p>
    <w:p w14:paraId="0318B7CC" w14:textId="4900BBFC" w:rsidR="000034BB" w:rsidRDefault="000034BB" w:rsidP="00F77029">
      <w:pPr>
        <w:keepNext/>
        <w:spacing w:before="240" w:after="240" w:line="240" w:lineRule="auto"/>
        <w:jc w:val="both"/>
        <w:rPr>
          <w:rFonts w:ascii="Arial" w:eastAsia="Calibri" w:hAnsi="Arial" w:cs="Arial"/>
          <w:sz w:val="24"/>
          <w:szCs w:val="24"/>
          <w:lang w:eastAsia="es-ES_tradnl"/>
        </w:rPr>
      </w:pPr>
      <w:r>
        <w:rPr>
          <w:rFonts w:ascii="Arial" w:eastAsia="Calibri" w:hAnsi="Arial" w:cs="Arial"/>
          <w:sz w:val="24"/>
          <w:szCs w:val="24"/>
          <w:lang w:eastAsia="es-ES_tradnl"/>
        </w:rPr>
        <w:t>(i)</w:t>
      </w:r>
      <w:r w:rsidR="003D4CDA">
        <w:rPr>
          <w:rFonts w:ascii="Arial" w:eastAsia="Calibri" w:hAnsi="Arial" w:cs="Arial"/>
          <w:sz w:val="24"/>
          <w:szCs w:val="24"/>
          <w:lang w:eastAsia="es-ES_tradnl"/>
        </w:rPr>
        <w:t xml:space="preserve"> </w:t>
      </w:r>
      <w:r w:rsidR="003D4CDA" w:rsidRPr="003D4CDA">
        <w:rPr>
          <w:rFonts w:ascii="Arial" w:eastAsia="Calibri" w:hAnsi="Arial" w:cs="Arial"/>
          <w:b/>
          <w:bCs/>
          <w:sz w:val="24"/>
          <w:szCs w:val="24"/>
          <w:lang w:eastAsia="es-ES_tradnl"/>
        </w:rPr>
        <w:t>Su</w:t>
      </w:r>
      <w:r>
        <w:rPr>
          <w:rFonts w:ascii="Arial" w:eastAsia="Calibri" w:hAnsi="Arial" w:cs="Arial"/>
          <w:b/>
          <w:bCs/>
          <w:sz w:val="24"/>
          <w:szCs w:val="24"/>
          <w:lang w:eastAsia="es-ES_tradnl"/>
        </w:rPr>
        <w:t>stantivo</w:t>
      </w:r>
      <w:r>
        <w:rPr>
          <w:rFonts w:ascii="Arial" w:eastAsia="Calibri" w:hAnsi="Arial" w:cs="Arial"/>
          <w:sz w:val="24"/>
          <w:szCs w:val="24"/>
          <w:lang w:eastAsia="es-ES_tradnl"/>
        </w:rPr>
        <w:t xml:space="preserve">, en la medida en que aplicó indebidamente el artículo 36 de la Ley 100 de 1993, y </w:t>
      </w:r>
      <w:r w:rsidR="00F77029">
        <w:rPr>
          <w:rFonts w:ascii="Arial" w:eastAsia="Calibri" w:hAnsi="Arial" w:cs="Arial"/>
          <w:sz w:val="24"/>
          <w:szCs w:val="24"/>
          <w:lang w:eastAsia="es-ES_tradnl"/>
        </w:rPr>
        <w:t>con ello contrarió lo dispuesto</w:t>
      </w:r>
      <w:r>
        <w:rPr>
          <w:rFonts w:ascii="Arial" w:eastAsia="Calibri" w:hAnsi="Arial" w:cs="Arial"/>
          <w:sz w:val="24"/>
          <w:szCs w:val="24"/>
          <w:lang w:eastAsia="es-ES_tradnl"/>
        </w:rPr>
        <w:t xml:space="preserve"> por la Corte Constitucional en las sentencias </w:t>
      </w:r>
      <w:r w:rsidRPr="000034BB">
        <w:rPr>
          <w:rFonts w:ascii="Arial" w:eastAsia="Calibri" w:hAnsi="Arial" w:cs="Arial"/>
          <w:sz w:val="24"/>
          <w:szCs w:val="24"/>
          <w:lang w:eastAsia="es-ES_tradnl"/>
        </w:rPr>
        <w:t>C</w:t>
      </w:r>
      <w:r>
        <w:rPr>
          <w:rFonts w:ascii="Arial" w:eastAsia="Calibri" w:hAnsi="Arial" w:cs="Arial"/>
          <w:sz w:val="24"/>
          <w:szCs w:val="24"/>
          <w:lang w:eastAsia="es-ES_tradnl"/>
        </w:rPr>
        <w:t>-</w:t>
      </w:r>
      <w:r w:rsidRPr="000034BB">
        <w:rPr>
          <w:rFonts w:ascii="Arial" w:eastAsia="Calibri" w:hAnsi="Arial" w:cs="Arial"/>
          <w:sz w:val="24"/>
          <w:szCs w:val="24"/>
          <w:lang w:eastAsia="es-ES_tradnl"/>
        </w:rPr>
        <w:t>168 de 1995 y C</w:t>
      </w:r>
      <w:r>
        <w:rPr>
          <w:rFonts w:ascii="Arial" w:eastAsia="Calibri" w:hAnsi="Arial" w:cs="Arial"/>
          <w:sz w:val="24"/>
          <w:szCs w:val="24"/>
          <w:lang w:eastAsia="es-ES_tradnl"/>
        </w:rPr>
        <w:t>-</w:t>
      </w:r>
      <w:r w:rsidRPr="000034BB">
        <w:rPr>
          <w:rFonts w:ascii="Arial" w:eastAsia="Calibri" w:hAnsi="Arial" w:cs="Arial"/>
          <w:sz w:val="24"/>
          <w:szCs w:val="24"/>
          <w:lang w:eastAsia="es-ES_tradnl"/>
        </w:rPr>
        <w:t>596 de 1997</w:t>
      </w:r>
      <w:r w:rsidR="00F77029">
        <w:rPr>
          <w:rFonts w:ascii="Arial" w:eastAsia="Calibri" w:hAnsi="Arial" w:cs="Arial"/>
          <w:sz w:val="24"/>
          <w:szCs w:val="24"/>
          <w:lang w:eastAsia="es-ES_tradnl"/>
        </w:rPr>
        <w:t>. Al respecto, indicó que las mencionadas providencias definieron, por un lado, que la liquidación de la pensión a los beneficiarios del régimen de transición debía hacerse</w:t>
      </w:r>
      <w:r>
        <w:rPr>
          <w:rFonts w:ascii="Arial" w:eastAsia="Calibri" w:hAnsi="Arial" w:cs="Arial"/>
          <w:sz w:val="24"/>
          <w:szCs w:val="24"/>
          <w:lang w:eastAsia="es-ES_tradnl"/>
        </w:rPr>
        <w:t xml:space="preserve"> de acuerdo con el promedio de lo cotizado en los últimos diez años de servicio o el tiempo que les faltare</w:t>
      </w:r>
      <w:r w:rsidR="00F77029">
        <w:rPr>
          <w:rFonts w:ascii="Arial" w:eastAsia="Calibri" w:hAnsi="Arial" w:cs="Arial"/>
          <w:sz w:val="24"/>
          <w:szCs w:val="24"/>
          <w:lang w:eastAsia="es-ES_tradnl"/>
        </w:rPr>
        <w:t>;</w:t>
      </w:r>
      <w:r w:rsidR="00127A6B">
        <w:rPr>
          <w:rFonts w:ascii="Arial" w:eastAsia="Calibri" w:hAnsi="Arial" w:cs="Arial"/>
          <w:sz w:val="24"/>
          <w:szCs w:val="24"/>
          <w:lang w:eastAsia="es-ES_tradnl"/>
        </w:rPr>
        <w:t xml:space="preserve"> y</w:t>
      </w:r>
      <w:r w:rsidR="00F77029">
        <w:rPr>
          <w:rFonts w:ascii="Arial" w:eastAsia="Calibri" w:hAnsi="Arial" w:cs="Arial"/>
          <w:sz w:val="24"/>
          <w:szCs w:val="24"/>
          <w:lang w:eastAsia="es-ES_tradnl"/>
        </w:rPr>
        <w:t>, por otro,</w:t>
      </w:r>
      <w:r w:rsidR="00127A6B">
        <w:rPr>
          <w:rFonts w:ascii="Arial" w:eastAsia="Calibri" w:hAnsi="Arial" w:cs="Arial"/>
          <w:sz w:val="24"/>
          <w:szCs w:val="24"/>
          <w:lang w:eastAsia="es-ES_tradnl"/>
        </w:rPr>
        <w:t xml:space="preserve"> </w:t>
      </w:r>
      <w:r w:rsidR="00F77029">
        <w:rPr>
          <w:rFonts w:ascii="Arial" w:eastAsia="Calibri" w:hAnsi="Arial" w:cs="Arial"/>
          <w:sz w:val="24"/>
          <w:szCs w:val="24"/>
          <w:lang w:eastAsia="es-ES_tradnl"/>
        </w:rPr>
        <w:t>que el</w:t>
      </w:r>
      <w:r w:rsidR="00127A6B">
        <w:rPr>
          <w:rFonts w:ascii="Arial" w:eastAsia="Calibri" w:hAnsi="Arial" w:cs="Arial"/>
          <w:sz w:val="24"/>
          <w:szCs w:val="24"/>
          <w:lang w:eastAsia="es-ES_tradnl"/>
        </w:rPr>
        <w:t xml:space="preserve"> Ingreso Base de Liquidación</w:t>
      </w:r>
      <w:r w:rsidR="00A779E0">
        <w:rPr>
          <w:rFonts w:ascii="Arial" w:eastAsia="Calibri" w:hAnsi="Arial" w:cs="Arial"/>
          <w:sz w:val="24"/>
          <w:szCs w:val="24"/>
          <w:lang w:eastAsia="es-ES_tradnl"/>
        </w:rPr>
        <w:t xml:space="preserve"> – IBL</w:t>
      </w:r>
      <w:r w:rsidR="00F77029">
        <w:rPr>
          <w:rFonts w:ascii="Arial" w:eastAsia="Calibri" w:hAnsi="Arial" w:cs="Arial"/>
          <w:sz w:val="24"/>
          <w:szCs w:val="24"/>
          <w:lang w:eastAsia="es-ES_tradnl"/>
        </w:rPr>
        <w:t xml:space="preserve"> estaba excluido </w:t>
      </w:r>
      <w:r w:rsidR="00127A6B">
        <w:rPr>
          <w:rFonts w:ascii="Arial" w:eastAsia="Calibri" w:hAnsi="Arial" w:cs="Arial"/>
          <w:sz w:val="24"/>
          <w:szCs w:val="24"/>
          <w:lang w:eastAsia="es-ES_tradnl"/>
        </w:rPr>
        <w:t xml:space="preserve">del régimen de transición, </w:t>
      </w:r>
      <w:r w:rsidR="00F77029">
        <w:rPr>
          <w:rFonts w:ascii="Arial" w:eastAsia="Calibri" w:hAnsi="Arial" w:cs="Arial"/>
          <w:sz w:val="24"/>
          <w:szCs w:val="24"/>
          <w:lang w:eastAsia="es-ES_tradnl"/>
        </w:rPr>
        <w:t xml:space="preserve">motivo por el que </w:t>
      </w:r>
      <w:r w:rsidR="00127A6B">
        <w:rPr>
          <w:rFonts w:ascii="Arial" w:eastAsia="Calibri" w:hAnsi="Arial" w:cs="Arial"/>
          <w:sz w:val="24"/>
          <w:szCs w:val="24"/>
          <w:lang w:eastAsia="es-ES_tradnl"/>
        </w:rPr>
        <w:t>deb</w:t>
      </w:r>
      <w:r w:rsidR="00F77029">
        <w:rPr>
          <w:rFonts w:ascii="Arial" w:eastAsia="Calibri" w:hAnsi="Arial" w:cs="Arial"/>
          <w:sz w:val="24"/>
          <w:szCs w:val="24"/>
          <w:lang w:eastAsia="es-ES_tradnl"/>
        </w:rPr>
        <w:t>ía</w:t>
      </w:r>
      <w:r w:rsidR="00127A6B">
        <w:rPr>
          <w:rFonts w:ascii="Arial" w:eastAsia="Calibri" w:hAnsi="Arial" w:cs="Arial"/>
          <w:sz w:val="24"/>
          <w:szCs w:val="24"/>
          <w:lang w:eastAsia="es-ES_tradnl"/>
        </w:rPr>
        <w:t xml:space="preserve"> determinar</w:t>
      </w:r>
      <w:r w:rsidR="00F77029">
        <w:rPr>
          <w:rFonts w:ascii="Arial" w:eastAsia="Calibri" w:hAnsi="Arial" w:cs="Arial"/>
          <w:sz w:val="24"/>
          <w:szCs w:val="24"/>
          <w:lang w:eastAsia="es-ES_tradnl"/>
        </w:rPr>
        <w:t>se</w:t>
      </w:r>
      <w:r w:rsidR="00127A6B">
        <w:rPr>
          <w:rFonts w:ascii="Arial" w:eastAsia="Calibri" w:hAnsi="Arial" w:cs="Arial"/>
          <w:sz w:val="24"/>
          <w:szCs w:val="24"/>
          <w:lang w:eastAsia="es-ES_tradnl"/>
        </w:rPr>
        <w:t xml:space="preserve"> de conformidad con lo establecido en </w:t>
      </w:r>
      <w:r w:rsidR="00F77029">
        <w:rPr>
          <w:rFonts w:ascii="Arial" w:eastAsia="Calibri" w:hAnsi="Arial" w:cs="Arial"/>
          <w:sz w:val="24"/>
          <w:szCs w:val="24"/>
          <w:lang w:eastAsia="es-ES_tradnl"/>
        </w:rPr>
        <w:t>la Ley 100</w:t>
      </w:r>
      <w:r w:rsidR="00127A6B">
        <w:rPr>
          <w:rFonts w:ascii="Arial" w:eastAsia="Calibri" w:hAnsi="Arial" w:cs="Arial"/>
          <w:sz w:val="24"/>
          <w:szCs w:val="24"/>
          <w:lang w:eastAsia="es-ES_tradnl"/>
        </w:rPr>
        <w:t>.</w:t>
      </w:r>
    </w:p>
    <w:p w14:paraId="7332F8A0" w14:textId="42254C3E" w:rsidR="000034BB" w:rsidRDefault="00F77029" w:rsidP="00C64737">
      <w:pPr>
        <w:keepNext/>
        <w:spacing w:before="240" w:after="240" w:line="240" w:lineRule="auto"/>
        <w:jc w:val="both"/>
        <w:rPr>
          <w:rFonts w:ascii="Arial" w:eastAsia="Calibri" w:hAnsi="Arial" w:cs="Arial"/>
          <w:sz w:val="24"/>
          <w:szCs w:val="24"/>
          <w:lang w:eastAsia="es-ES_tradnl"/>
        </w:rPr>
      </w:pPr>
      <w:r>
        <w:rPr>
          <w:rFonts w:ascii="Arial" w:eastAsia="Calibri" w:hAnsi="Arial" w:cs="Arial"/>
          <w:sz w:val="24"/>
          <w:szCs w:val="24"/>
          <w:lang w:eastAsia="es-ES_tradnl"/>
        </w:rPr>
        <w:t>También manifestó que</w:t>
      </w:r>
      <w:r w:rsidR="000034BB">
        <w:rPr>
          <w:rFonts w:ascii="Arial" w:eastAsia="Calibri" w:hAnsi="Arial" w:cs="Arial"/>
          <w:sz w:val="24"/>
          <w:szCs w:val="24"/>
          <w:lang w:eastAsia="es-ES_tradnl"/>
        </w:rPr>
        <w:t xml:space="preserve"> el Tribunal Administrativo de Boyacá, al ordenar la reliquidación con base en el 75% de la totalidad de los factores salariales devengados durante el últim</w:t>
      </w:r>
      <w:r w:rsidR="00127A6B">
        <w:rPr>
          <w:rFonts w:ascii="Arial" w:eastAsia="Calibri" w:hAnsi="Arial" w:cs="Arial"/>
          <w:sz w:val="24"/>
          <w:szCs w:val="24"/>
          <w:lang w:eastAsia="es-ES_tradnl"/>
        </w:rPr>
        <w:t>o</w:t>
      </w:r>
      <w:r w:rsidR="000034BB">
        <w:rPr>
          <w:rFonts w:ascii="Arial" w:eastAsia="Calibri" w:hAnsi="Arial" w:cs="Arial"/>
          <w:sz w:val="24"/>
          <w:szCs w:val="24"/>
          <w:lang w:eastAsia="es-ES_tradnl"/>
        </w:rPr>
        <w:t xml:space="preserve"> año de servicios</w:t>
      </w:r>
      <w:r w:rsidR="00127A6B">
        <w:rPr>
          <w:rFonts w:ascii="Arial" w:eastAsia="Calibri" w:hAnsi="Arial" w:cs="Arial"/>
          <w:sz w:val="24"/>
          <w:szCs w:val="24"/>
          <w:lang w:eastAsia="es-ES_tradnl"/>
        </w:rPr>
        <w:t>, incluyó aquellos respecto de los que no se realizó cotización alguna, y con ello, generó un aumento excesivo de la mesada pensional, con una diferencia porcentual de 248%, que no tiene relación con el valor de los aportes efectuados por el señor Garzón Guzmán durante su vida laboral.</w:t>
      </w:r>
    </w:p>
    <w:p w14:paraId="290AFC50" w14:textId="1928CB58" w:rsidR="00127A6B" w:rsidRDefault="00127A6B" w:rsidP="00C64737">
      <w:pPr>
        <w:keepNext/>
        <w:spacing w:before="240" w:after="240" w:line="240" w:lineRule="auto"/>
        <w:jc w:val="both"/>
        <w:rPr>
          <w:rFonts w:ascii="Arial" w:eastAsia="Calibri" w:hAnsi="Arial" w:cs="Arial"/>
          <w:sz w:val="24"/>
          <w:szCs w:val="24"/>
          <w:lang w:eastAsia="es-ES_tradnl"/>
        </w:rPr>
      </w:pPr>
      <w:r>
        <w:rPr>
          <w:rFonts w:ascii="Arial" w:eastAsia="Calibri" w:hAnsi="Arial" w:cs="Arial"/>
          <w:sz w:val="24"/>
          <w:szCs w:val="24"/>
          <w:lang w:eastAsia="es-ES_tradnl"/>
        </w:rPr>
        <w:t>Finalmente, afirmó que la decisión objeto de la acción de tutela conllevó a un abuso del derecho, que representa un perjuicio irremediable a las finanzas del Estado y al Sistema General de Seguridad Social en Pensiones.</w:t>
      </w:r>
    </w:p>
    <w:p w14:paraId="4D0DBACC" w14:textId="5E4C5C35" w:rsidR="00127A6B" w:rsidRDefault="00127A6B" w:rsidP="00F77029">
      <w:pPr>
        <w:widowControl w:val="0"/>
        <w:spacing w:before="240" w:after="240" w:line="240" w:lineRule="auto"/>
        <w:jc w:val="both"/>
        <w:rPr>
          <w:rFonts w:ascii="Arial" w:eastAsia="Calibri" w:hAnsi="Arial" w:cs="Arial"/>
          <w:sz w:val="24"/>
          <w:szCs w:val="24"/>
          <w:lang w:eastAsia="es-ES_tradnl"/>
        </w:rPr>
      </w:pPr>
      <w:r>
        <w:rPr>
          <w:rFonts w:ascii="Arial" w:eastAsia="Calibri" w:hAnsi="Arial" w:cs="Arial"/>
          <w:sz w:val="24"/>
          <w:szCs w:val="24"/>
          <w:lang w:eastAsia="es-ES_tradnl"/>
        </w:rPr>
        <w:t>(</w:t>
      </w:r>
      <w:proofErr w:type="spellStart"/>
      <w:r>
        <w:rPr>
          <w:rFonts w:ascii="Arial" w:eastAsia="Calibri" w:hAnsi="Arial" w:cs="Arial"/>
          <w:sz w:val="24"/>
          <w:szCs w:val="24"/>
          <w:lang w:eastAsia="es-ES_tradnl"/>
        </w:rPr>
        <w:t>ii</w:t>
      </w:r>
      <w:proofErr w:type="spellEnd"/>
      <w:r>
        <w:rPr>
          <w:rFonts w:ascii="Arial" w:eastAsia="Calibri" w:hAnsi="Arial" w:cs="Arial"/>
          <w:sz w:val="24"/>
          <w:szCs w:val="24"/>
          <w:lang w:eastAsia="es-ES_tradnl"/>
        </w:rPr>
        <w:t xml:space="preserve">) </w:t>
      </w:r>
      <w:r w:rsidR="003D4CDA">
        <w:rPr>
          <w:rFonts w:ascii="Arial" w:eastAsia="Calibri" w:hAnsi="Arial" w:cs="Arial"/>
          <w:b/>
          <w:bCs/>
          <w:sz w:val="24"/>
          <w:szCs w:val="24"/>
          <w:lang w:eastAsia="es-ES_tradnl"/>
        </w:rPr>
        <w:t>D</w:t>
      </w:r>
      <w:r w:rsidR="00A779E0" w:rsidRPr="00A779E0">
        <w:rPr>
          <w:rFonts w:ascii="Arial" w:eastAsia="Calibri" w:hAnsi="Arial" w:cs="Arial"/>
          <w:b/>
          <w:bCs/>
          <w:sz w:val="24"/>
          <w:szCs w:val="24"/>
          <w:lang w:eastAsia="es-ES_tradnl"/>
        </w:rPr>
        <w:t>esconocimiento del precedente</w:t>
      </w:r>
      <w:r w:rsidR="00A779E0">
        <w:rPr>
          <w:rFonts w:ascii="Arial" w:eastAsia="Calibri" w:hAnsi="Arial" w:cs="Arial"/>
          <w:sz w:val="24"/>
          <w:szCs w:val="24"/>
          <w:lang w:eastAsia="es-ES_tradnl"/>
        </w:rPr>
        <w:t xml:space="preserve">, en tanto sus fundamentos son directamente contrarios a las reglas establecidas en las sentencias C-168 de 1995, C-596 de 1007 y C-258 de 2013, frente a la determinación del IBL para los beneficiarios del régimen de transición. Al respecto, indicó que en aquellos fallos se definió que la edad, el tiempo de servicio o número de semanas cotizadas y la tasa de reemplazo, se aplicarían de acuerdo con el régimen pensional anterior, mientras que el IBL se liquidaría de conformidad con el artículo 36 de la Ley 100 de 1993, puesto que no hacía parte del régimen de transición. Así, concluyó que el Tribunal Administrativo de Boyacá, al ordenar la reliquidación de la pensión con base en el 75% de la totalidad de los factores salariales devengados durante el último año de servicios, contrarió las reglas relativas al IBL y al régimen de transición. </w:t>
      </w:r>
    </w:p>
    <w:p w14:paraId="305F2C74" w14:textId="7169FCAB" w:rsidR="00A675C5" w:rsidRDefault="00A675C5" w:rsidP="00F77029">
      <w:pPr>
        <w:widowControl w:val="0"/>
        <w:spacing w:before="240" w:after="240" w:line="240" w:lineRule="auto"/>
        <w:jc w:val="both"/>
        <w:rPr>
          <w:rFonts w:ascii="Arial" w:eastAsia="Calibri" w:hAnsi="Arial" w:cs="Arial"/>
          <w:sz w:val="24"/>
          <w:szCs w:val="24"/>
          <w:lang w:eastAsia="es-ES_tradnl"/>
        </w:rPr>
      </w:pPr>
      <w:r>
        <w:rPr>
          <w:rFonts w:ascii="Arial" w:eastAsia="Calibri" w:hAnsi="Arial" w:cs="Arial"/>
          <w:sz w:val="24"/>
          <w:szCs w:val="24"/>
          <w:lang w:eastAsia="es-ES_tradnl"/>
        </w:rPr>
        <w:t>(</w:t>
      </w:r>
      <w:proofErr w:type="spellStart"/>
      <w:r>
        <w:rPr>
          <w:rFonts w:ascii="Arial" w:eastAsia="Calibri" w:hAnsi="Arial" w:cs="Arial"/>
          <w:sz w:val="24"/>
          <w:szCs w:val="24"/>
          <w:lang w:eastAsia="es-ES_tradnl"/>
        </w:rPr>
        <w:t>iii</w:t>
      </w:r>
      <w:proofErr w:type="spellEnd"/>
      <w:r>
        <w:rPr>
          <w:rFonts w:ascii="Arial" w:eastAsia="Calibri" w:hAnsi="Arial" w:cs="Arial"/>
          <w:sz w:val="24"/>
          <w:szCs w:val="24"/>
          <w:lang w:eastAsia="es-ES_tradnl"/>
        </w:rPr>
        <w:t xml:space="preserve">) </w:t>
      </w:r>
      <w:r w:rsidR="00F10AF7">
        <w:rPr>
          <w:rFonts w:ascii="Arial" w:eastAsia="Calibri" w:hAnsi="Arial" w:cs="Arial"/>
          <w:b/>
          <w:bCs/>
          <w:sz w:val="24"/>
          <w:szCs w:val="24"/>
          <w:lang w:eastAsia="es-ES_tradnl"/>
        </w:rPr>
        <w:t>V</w:t>
      </w:r>
      <w:r>
        <w:rPr>
          <w:rFonts w:ascii="Arial" w:eastAsia="Calibri" w:hAnsi="Arial" w:cs="Arial"/>
          <w:b/>
          <w:bCs/>
          <w:sz w:val="24"/>
          <w:szCs w:val="24"/>
          <w:lang w:eastAsia="es-ES_tradnl"/>
        </w:rPr>
        <w:t>iolación directa de la Constitución</w:t>
      </w:r>
      <w:r>
        <w:rPr>
          <w:rFonts w:ascii="Arial" w:eastAsia="Calibri" w:hAnsi="Arial" w:cs="Arial"/>
          <w:sz w:val="24"/>
          <w:szCs w:val="24"/>
          <w:lang w:eastAsia="es-ES_tradnl"/>
        </w:rPr>
        <w:t xml:space="preserve">, toda vez que el fallo objeto de la solicitud de amparo generó un abuso del derecho y de la sostenibilidad del sistema pensional, y con ello vulneró </w:t>
      </w:r>
      <w:r w:rsidR="00592FB2">
        <w:rPr>
          <w:rFonts w:ascii="Arial" w:eastAsia="Calibri" w:hAnsi="Arial" w:cs="Arial"/>
          <w:sz w:val="24"/>
          <w:szCs w:val="24"/>
          <w:lang w:eastAsia="es-ES_tradnl"/>
        </w:rPr>
        <w:t>los</w:t>
      </w:r>
      <w:r>
        <w:rPr>
          <w:rFonts w:ascii="Arial" w:eastAsia="Calibri" w:hAnsi="Arial" w:cs="Arial"/>
          <w:sz w:val="24"/>
          <w:szCs w:val="24"/>
          <w:lang w:eastAsia="es-ES_tradnl"/>
        </w:rPr>
        <w:t xml:space="preserve"> artículo</w:t>
      </w:r>
      <w:r w:rsidR="00592FB2">
        <w:rPr>
          <w:rFonts w:ascii="Arial" w:eastAsia="Calibri" w:hAnsi="Arial" w:cs="Arial"/>
          <w:sz w:val="24"/>
          <w:szCs w:val="24"/>
          <w:lang w:eastAsia="es-ES_tradnl"/>
        </w:rPr>
        <w:t>s</w:t>
      </w:r>
      <w:r>
        <w:rPr>
          <w:rFonts w:ascii="Arial" w:eastAsia="Calibri" w:hAnsi="Arial" w:cs="Arial"/>
          <w:sz w:val="24"/>
          <w:szCs w:val="24"/>
          <w:lang w:eastAsia="es-ES_tradnl"/>
        </w:rPr>
        <w:t xml:space="preserve"> </w:t>
      </w:r>
      <w:r w:rsidR="00592FB2">
        <w:rPr>
          <w:rFonts w:ascii="Arial" w:eastAsia="Calibri" w:hAnsi="Arial" w:cs="Arial"/>
          <w:sz w:val="24"/>
          <w:szCs w:val="24"/>
          <w:lang w:eastAsia="es-ES_tradnl"/>
        </w:rPr>
        <w:t xml:space="preserve">29, </w:t>
      </w:r>
      <w:r>
        <w:rPr>
          <w:rFonts w:ascii="Arial" w:eastAsia="Calibri" w:hAnsi="Arial" w:cs="Arial"/>
          <w:sz w:val="24"/>
          <w:szCs w:val="24"/>
          <w:lang w:eastAsia="es-ES_tradnl"/>
        </w:rPr>
        <w:t>48</w:t>
      </w:r>
      <w:r w:rsidR="00592FB2">
        <w:rPr>
          <w:rFonts w:ascii="Arial" w:eastAsia="Calibri" w:hAnsi="Arial" w:cs="Arial"/>
          <w:sz w:val="24"/>
          <w:szCs w:val="24"/>
          <w:lang w:eastAsia="es-ES_tradnl"/>
        </w:rPr>
        <w:t xml:space="preserve"> y 229</w:t>
      </w:r>
      <w:r>
        <w:rPr>
          <w:rFonts w:ascii="Arial" w:eastAsia="Calibri" w:hAnsi="Arial" w:cs="Arial"/>
          <w:sz w:val="24"/>
          <w:szCs w:val="24"/>
          <w:lang w:eastAsia="es-ES_tradnl"/>
        </w:rPr>
        <w:t xml:space="preserve"> superior</w:t>
      </w:r>
      <w:r w:rsidR="00592FB2">
        <w:rPr>
          <w:rFonts w:ascii="Arial" w:eastAsia="Calibri" w:hAnsi="Arial" w:cs="Arial"/>
          <w:sz w:val="24"/>
          <w:szCs w:val="24"/>
          <w:lang w:eastAsia="es-ES_tradnl"/>
        </w:rPr>
        <w:t>es</w:t>
      </w:r>
      <w:r>
        <w:rPr>
          <w:rFonts w:ascii="Arial" w:eastAsia="Calibri" w:hAnsi="Arial" w:cs="Arial"/>
          <w:sz w:val="24"/>
          <w:szCs w:val="24"/>
          <w:lang w:eastAsia="es-ES_tradnl"/>
        </w:rPr>
        <w:t>.</w:t>
      </w:r>
    </w:p>
    <w:p w14:paraId="7DD3C96F" w14:textId="3A298A00" w:rsidR="00FB11E7" w:rsidRDefault="00F87E30" w:rsidP="00F77029">
      <w:pPr>
        <w:widowControl w:val="0"/>
        <w:spacing w:before="240" w:after="240" w:line="240" w:lineRule="auto"/>
        <w:jc w:val="both"/>
        <w:rPr>
          <w:rFonts w:ascii="Arial" w:eastAsia="Calibri" w:hAnsi="Arial" w:cs="Arial"/>
          <w:sz w:val="24"/>
          <w:szCs w:val="24"/>
          <w:lang w:eastAsia="es-ES_tradnl"/>
        </w:rPr>
      </w:pPr>
      <w:r>
        <w:rPr>
          <w:rFonts w:ascii="Arial" w:eastAsia="Calibri" w:hAnsi="Arial" w:cs="Arial"/>
          <w:sz w:val="24"/>
          <w:szCs w:val="24"/>
          <w:lang w:eastAsia="es-ES_tradnl"/>
        </w:rPr>
        <w:t>En relación con los requisitos de procedencia de la acción de tutela</w:t>
      </w:r>
      <w:r w:rsidR="00FB11E7">
        <w:rPr>
          <w:rFonts w:ascii="Arial" w:eastAsia="Calibri" w:hAnsi="Arial" w:cs="Arial"/>
          <w:sz w:val="24"/>
          <w:szCs w:val="24"/>
          <w:lang w:eastAsia="es-ES_tradnl"/>
        </w:rPr>
        <w:t xml:space="preserve">, afirmó que en el proceso no pudo ejercer los recursos ordinarios y extraordinarios en contra de la sentencia cuestionada, </w:t>
      </w:r>
      <w:r w:rsidR="00DC78DF">
        <w:rPr>
          <w:rFonts w:ascii="Arial" w:eastAsia="Calibri" w:hAnsi="Arial" w:cs="Arial"/>
          <w:sz w:val="24"/>
          <w:szCs w:val="24"/>
          <w:lang w:eastAsia="es-ES_tradnl"/>
        </w:rPr>
        <w:t>en virtud</w:t>
      </w:r>
      <w:r w:rsidR="00FB11E7">
        <w:rPr>
          <w:rFonts w:ascii="Arial" w:eastAsia="Calibri" w:hAnsi="Arial" w:cs="Arial"/>
          <w:sz w:val="24"/>
          <w:szCs w:val="24"/>
          <w:lang w:eastAsia="es-ES_tradnl"/>
        </w:rPr>
        <w:t xml:space="preserve"> del “desorden administrativo” por el que atravesaba la entidad en la época en la que fue dictada,</w:t>
      </w:r>
      <w:r w:rsidR="00DC78DF">
        <w:rPr>
          <w:rFonts w:ascii="Arial" w:eastAsia="Calibri" w:hAnsi="Arial" w:cs="Arial"/>
          <w:sz w:val="24"/>
          <w:szCs w:val="24"/>
          <w:lang w:eastAsia="es-ES_tradnl"/>
        </w:rPr>
        <w:t xml:space="preserve"> pues, según indicó, dicha</w:t>
      </w:r>
      <w:r w:rsidR="00FB11E7">
        <w:rPr>
          <w:rFonts w:ascii="Arial" w:eastAsia="Calibri" w:hAnsi="Arial" w:cs="Arial"/>
          <w:sz w:val="24"/>
          <w:szCs w:val="24"/>
          <w:lang w:eastAsia="es-ES_tradnl"/>
        </w:rPr>
        <w:t xml:space="preserve"> situación</w:t>
      </w:r>
      <w:r w:rsidR="00863D88">
        <w:rPr>
          <w:rFonts w:ascii="Arial" w:eastAsia="Calibri" w:hAnsi="Arial" w:cs="Arial"/>
          <w:sz w:val="24"/>
          <w:szCs w:val="24"/>
          <w:lang w:eastAsia="es-ES_tradnl"/>
        </w:rPr>
        <w:t xml:space="preserve"> de fuerza mayor</w:t>
      </w:r>
      <w:r w:rsidR="00FB11E7">
        <w:rPr>
          <w:rFonts w:ascii="Arial" w:eastAsia="Calibri" w:hAnsi="Arial" w:cs="Arial"/>
          <w:sz w:val="24"/>
          <w:szCs w:val="24"/>
          <w:lang w:eastAsia="es-ES_tradnl"/>
        </w:rPr>
        <w:t xml:space="preserve"> impidió </w:t>
      </w:r>
      <w:r w:rsidR="00863D88">
        <w:rPr>
          <w:rFonts w:ascii="Arial" w:eastAsia="Calibri" w:hAnsi="Arial" w:cs="Arial"/>
          <w:sz w:val="24"/>
          <w:szCs w:val="24"/>
          <w:lang w:eastAsia="es-ES_tradnl"/>
        </w:rPr>
        <w:t xml:space="preserve">al extinto ISS </w:t>
      </w:r>
      <w:r w:rsidR="00FB11E7">
        <w:rPr>
          <w:rFonts w:ascii="Arial" w:eastAsia="Calibri" w:hAnsi="Arial" w:cs="Arial"/>
          <w:sz w:val="24"/>
          <w:szCs w:val="24"/>
          <w:lang w:eastAsia="es-ES_tradnl"/>
        </w:rPr>
        <w:t>agotar los mecanismos de defensa.</w:t>
      </w:r>
    </w:p>
    <w:p w14:paraId="07D7D0C1" w14:textId="669FE954" w:rsidR="00DC78DF" w:rsidRPr="00A675C5" w:rsidRDefault="00DC78DF" w:rsidP="00C64737">
      <w:pPr>
        <w:keepNext/>
        <w:spacing w:before="240" w:after="240" w:line="240" w:lineRule="auto"/>
        <w:jc w:val="both"/>
        <w:rPr>
          <w:rFonts w:ascii="Arial" w:eastAsia="Calibri" w:hAnsi="Arial" w:cs="Arial"/>
          <w:sz w:val="24"/>
          <w:szCs w:val="24"/>
          <w:lang w:eastAsia="es-ES_tradnl"/>
        </w:rPr>
      </w:pPr>
      <w:r>
        <w:rPr>
          <w:rFonts w:ascii="Arial" w:eastAsia="Calibri" w:hAnsi="Arial" w:cs="Arial"/>
          <w:sz w:val="24"/>
          <w:szCs w:val="24"/>
          <w:lang w:eastAsia="es-ES_tradnl"/>
        </w:rPr>
        <w:t>También adujo que</w:t>
      </w:r>
      <w:r w:rsidR="00863D88">
        <w:rPr>
          <w:rFonts w:ascii="Arial" w:eastAsia="Calibri" w:hAnsi="Arial" w:cs="Arial"/>
          <w:sz w:val="24"/>
          <w:szCs w:val="24"/>
          <w:lang w:eastAsia="es-ES_tradnl"/>
        </w:rPr>
        <w:t xml:space="preserve"> en el caso </w:t>
      </w:r>
      <w:r w:rsidR="00461D9D">
        <w:rPr>
          <w:rFonts w:ascii="Arial" w:eastAsia="Calibri" w:hAnsi="Arial" w:cs="Arial"/>
          <w:sz w:val="24"/>
          <w:szCs w:val="24"/>
          <w:lang w:eastAsia="es-ES_tradnl"/>
        </w:rPr>
        <w:t>la</w:t>
      </w:r>
      <w:r w:rsidR="00863D88">
        <w:rPr>
          <w:rFonts w:ascii="Arial" w:eastAsia="Calibri" w:hAnsi="Arial" w:cs="Arial"/>
          <w:sz w:val="24"/>
          <w:szCs w:val="24"/>
          <w:lang w:eastAsia="es-ES_tradnl"/>
        </w:rPr>
        <w:t xml:space="preserve"> vulneración</w:t>
      </w:r>
      <w:r w:rsidR="00461D9D">
        <w:rPr>
          <w:rFonts w:ascii="Arial" w:eastAsia="Calibri" w:hAnsi="Arial" w:cs="Arial"/>
          <w:sz w:val="24"/>
          <w:szCs w:val="24"/>
          <w:lang w:eastAsia="es-ES_tradnl"/>
        </w:rPr>
        <w:t xml:space="preserve"> protestada</w:t>
      </w:r>
      <w:r w:rsidR="00863D88">
        <w:rPr>
          <w:rFonts w:ascii="Arial" w:eastAsia="Calibri" w:hAnsi="Arial" w:cs="Arial"/>
          <w:sz w:val="24"/>
          <w:szCs w:val="24"/>
          <w:lang w:eastAsia="es-ES_tradnl"/>
        </w:rPr>
        <w:t xml:space="preserve"> </w:t>
      </w:r>
      <w:r w:rsidR="00461D9D">
        <w:rPr>
          <w:rFonts w:ascii="Arial" w:eastAsia="Calibri" w:hAnsi="Arial" w:cs="Arial"/>
          <w:sz w:val="24"/>
          <w:szCs w:val="24"/>
          <w:lang w:eastAsia="es-ES_tradnl"/>
        </w:rPr>
        <w:t xml:space="preserve">era </w:t>
      </w:r>
      <w:r w:rsidR="00863D88">
        <w:rPr>
          <w:rFonts w:ascii="Arial" w:eastAsia="Calibri" w:hAnsi="Arial" w:cs="Arial"/>
          <w:sz w:val="24"/>
          <w:szCs w:val="24"/>
          <w:lang w:eastAsia="es-ES_tradnl"/>
        </w:rPr>
        <w:t xml:space="preserve">permanente, continúa y actual en el tiempo, en la medida en que el pago del derecho pensional a favor del señor Garzón Guzmán </w:t>
      </w:r>
      <w:r w:rsidR="00461D9D">
        <w:rPr>
          <w:rFonts w:ascii="Arial" w:eastAsia="Calibri" w:hAnsi="Arial" w:cs="Arial"/>
          <w:sz w:val="24"/>
          <w:szCs w:val="24"/>
          <w:lang w:eastAsia="es-ES_tradnl"/>
        </w:rPr>
        <w:t>era</w:t>
      </w:r>
      <w:r w:rsidR="00863D88">
        <w:rPr>
          <w:rFonts w:ascii="Arial" w:eastAsia="Calibri" w:hAnsi="Arial" w:cs="Arial"/>
          <w:sz w:val="24"/>
          <w:szCs w:val="24"/>
          <w:lang w:eastAsia="es-ES_tradnl"/>
        </w:rPr>
        <w:t xml:space="preserve"> una prestación económica de tracto sucesivo. Aunado a ello, manifestó que con ocasión al “</w:t>
      </w:r>
      <w:r w:rsidR="00863D88" w:rsidRPr="00863D88">
        <w:rPr>
          <w:rFonts w:ascii="Arial" w:eastAsia="Calibri" w:hAnsi="Arial" w:cs="Arial"/>
          <w:sz w:val="24"/>
          <w:szCs w:val="24"/>
          <w:lang w:eastAsia="es-ES_tradnl"/>
        </w:rPr>
        <w:t>desorden administrativo que causó la transición del ISS a Colpensiones y la reducida capacidad institucional y operativa, a la luz de la jurisprudencia de la Corte Constitucional es factible flexibilizar los requisitos de subsidiariedad e inmediatez de la acción de tutela</w:t>
      </w:r>
      <w:r w:rsidR="00863D88">
        <w:rPr>
          <w:rFonts w:ascii="Arial" w:eastAsia="Calibri" w:hAnsi="Arial" w:cs="Arial"/>
          <w:sz w:val="24"/>
          <w:szCs w:val="24"/>
          <w:lang w:eastAsia="es-ES_tradnl"/>
        </w:rPr>
        <w:t>”</w:t>
      </w:r>
      <w:r w:rsidR="00F87E30">
        <w:rPr>
          <w:rStyle w:val="Refdenotaalpie"/>
          <w:rFonts w:ascii="Arial" w:eastAsia="Calibri" w:hAnsi="Arial" w:cs="Arial"/>
          <w:sz w:val="24"/>
          <w:szCs w:val="24"/>
          <w:lang w:eastAsia="es-ES_tradnl"/>
        </w:rPr>
        <w:footnoteReference w:id="8"/>
      </w:r>
      <w:r w:rsidR="00863D88">
        <w:rPr>
          <w:rFonts w:ascii="Arial" w:eastAsia="Calibri" w:hAnsi="Arial" w:cs="Arial"/>
          <w:sz w:val="24"/>
          <w:szCs w:val="24"/>
          <w:lang w:eastAsia="es-ES_tradnl"/>
        </w:rPr>
        <w:t xml:space="preserve">. </w:t>
      </w:r>
    </w:p>
    <w:p w14:paraId="3CDD68C9" w14:textId="77777777" w:rsidR="00C64737" w:rsidRPr="00DD0B06" w:rsidRDefault="00C64737" w:rsidP="00C64737">
      <w:pPr>
        <w:widowControl w:val="0"/>
        <w:spacing w:after="240" w:line="240" w:lineRule="auto"/>
        <w:jc w:val="both"/>
        <w:rPr>
          <w:rFonts w:ascii="Arial" w:eastAsia="Calibri" w:hAnsi="Arial" w:cs="Arial"/>
          <w:b/>
          <w:bCs/>
          <w:sz w:val="24"/>
          <w:szCs w:val="24"/>
          <w:lang w:eastAsia="es-ES_tradnl"/>
        </w:rPr>
      </w:pPr>
      <w:r>
        <w:rPr>
          <w:rFonts w:ascii="Arial" w:eastAsia="Calibri" w:hAnsi="Arial" w:cs="Arial"/>
          <w:b/>
          <w:bCs/>
          <w:sz w:val="24"/>
          <w:szCs w:val="24"/>
          <w:lang w:eastAsia="es-ES_tradnl"/>
        </w:rPr>
        <w:t>1.4</w:t>
      </w:r>
      <w:r w:rsidRPr="00DD0B06">
        <w:rPr>
          <w:rFonts w:ascii="Arial" w:eastAsia="Calibri" w:hAnsi="Arial" w:cs="Arial"/>
          <w:b/>
          <w:bCs/>
          <w:sz w:val="24"/>
          <w:szCs w:val="24"/>
          <w:lang w:eastAsia="es-ES_tradnl"/>
        </w:rPr>
        <w:t>. Trámite en primera instancia</w:t>
      </w:r>
      <w:r>
        <w:rPr>
          <w:rFonts w:ascii="Arial" w:eastAsia="Calibri" w:hAnsi="Arial" w:cs="Arial"/>
          <w:b/>
          <w:bCs/>
          <w:sz w:val="24"/>
          <w:szCs w:val="24"/>
          <w:lang w:eastAsia="es-ES_tradnl"/>
        </w:rPr>
        <w:t xml:space="preserve"> e intervenciones</w:t>
      </w:r>
    </w:p>
    <w:p w14:paraId="1509AA4F" w14:textId="31360F02" w:rsidR="00C64737" w:rsidRPr="008025E0" w:rsidRDefault="00C64737" w:rsidP="00C64737">
      <w:pPr>
        <w:widowControl w:val="0"/>
        <w:spacing w:line="240" w:lineRule="auto"/>
        <w:jc w:val="both"/>
        <w:rPr>
          <w:rFonts w:ascii="Arial" w:hAnsi="Arial" w:cs="Arial"/>
          <w:sz w:val="24"/>
          <w:szCs w:val="24"/>
          <w:lang w:eastAsia="es-CO"/>
        </w:rPr>
      </w:pPr>
      <w:r w:rsidRPr="00E60C3C">
        <w:rPr>
          <w:rFonts w:ascii="Arial" w:eastAsia="Calibri" w:hAnsi="Arial" w:cs="Arial"/>
          <w:sz w:val="24"/>
          <w:szCs w:val="24"/>
          <w:lang w:eastAsia="es-ES_tradnl"/>
        </w:rPr>
        <w:t>1.4.1.</w:t>
      </w:r>
      <w:r w:rsidRPr="00DD0B06">
        <w:rPr>
          <w:rFonts w:ascii="Arial" w:eastAsia="Calibri" w:hAnsi="Arial" w:cs="Arial"/>
          <w:b/>
          <w:bCs/>
          <w:sz w:val="24"/>
          <w:szCs w:val="24"/>
          <w:lang w:eastAsia="es-ES_tradnl"/>
        </w:rPr>
        <w:t xml:space="preserve"> </w:t>
      </w:r>
      <w:r>
        <w:rPr>
          <w:rFonts w:ascii="Arial" w:hAnsi="Arial" w:cs="Arial"/>
          <w:sz w:val="24"/>
          <w:szCs w:val="24"/>
          <w:lang w:eastAsia="es-CO"/>
        </w:rPr>
        <w:t>El despacho del magistrado ponente, mediante auto del 2</w:t>
      </w:r>
      <w:r w:rsidR="00592FB2">
        <w:rPr>
          <w:rFonts w:ascii="Arial" w:hAnsi="Arial" w:cs="Arial"/>
          <w:sz w:val="24"/>
          <w:szCs w:val="24"/>
          <w:lang w:eastAsia="es-CO"/>
        </w:rPr>
        <w:t>1</w:t>
      </w:r>
      <w:r>
        <w:rPr>
          <w:rFonts w:ascii="Arial" w:hAnsi="Arial" w:cs="Arial"/>
          <w:sz w:val="24"/>
          <w:szCs w:val="24"/>
          <w:lang w:eastAsia="es-CO"/>
        </w:rPr>
        <w:t xml:space="preserve"> de </w:t>
      </w:r>
      <w:r w:rsidR="00592FB2">
        <w:rPr>
          <w:rFonts w:ascii="Arial" w:hAnsi="Arial" w:cs="Arial"/>
          <w:sz w:val="24"/>
          <w:szCs w:val="24"/>
          <w:lang w:eastAsia="es-CO"/>
        </w:rPr>
        <w:t>noviembre</w:t>
      </w:r>
      <w:r>
        <w:rPr>
          <w:rFonts w:ascii="Arial" w:hAnsi="Arial" w:cs="Arial"/>
          <w:sz w:val="24"/>
          <w:szCs w:val="24"/>
          <w:lang w:eastAsia="es-CO"/>
        </w:rPr>
        <w:t xml:space="preserve"> de 202</w:t>
      </w:r>
      <w:r w:rsidR="00592FB2">
        <w:rPr>
          <w:rFonts w:ascii="Arial" w:hAnsi="Arial" w:cs="Arial"/>
          <w:sz w:val="24"/>
          <w:szCs w:val="24"/>
          <w:lang w:eastAsia="es-CO"/>
        </w:rPr>
        <w:t>2</w:t>
      </w:r>
      <w:r>
        <w:rPr>
          <w:rFonts w:ascii="Arial" w:hAnsi="Arial" w:cs="Arial"/>
          <w:sz w:val="24"/>
          <w:szCs w:val="24"/>
          <w:lang w:eastAsia="es-CO"/>
        </w:rPr>
        <w:t>, admitió la acción de tutela y ordenó comunicar a</w:t>
      </w:r>
      <w:r w:rsidRPr="00592FB2">
        <w:rPr>
          <w:rFonts w:ascii="Arial" w:hAnsi="Arial" w:cs="Arial"/>
          <w:sz w:val="24"/>
          <w:szCs w:val="24"/>
          <w:lang w:eastAsia="es-CO"/>
        </w:rPr>
        <w:t xml:space="preserve">l </w:t>
      </w:r>
      <w:r w:rsidR="00592FB2" w:rsidRPr="00592FB2">
        <w:rPr>
          <w:rFonts w:ascii="Arial" w:hAnsi="Arial" w:cs="Arial"/>
          <w:bCs/>
          <w:sz w:val="24"/>
          <w:szCs w:val="24"/>
        </w:rPr>
        <w:t>Tribunal Administrativo de Boyacá</w:t>
      </w:r>
      <w:r w:rsidRPr="00592FB2">
        <w:rPr>
          <w:rFonts w:ascii="Arial" w:hAnsi="Arial" w:cs="Arial"/>
          <w:sz w:val="24"/>
          <w:szCs w:val="24"/>
          <w:lang w:eastAsia="es-CO"/>
        </w:rPr>
        <w:t xml:space="preserve">, </w:t>
      </w:r>
      <w:r>
        <w:rPr>
          <w:rFonts w:ascii="Arial" w:hAnsi="Arial" w:cs="Arial"/>
          <w:sz w:val="24"/>
          <w:szCs w:val="24"/>
          <w:lang w:eastAsia="es-CO"/>
        </w:rPr>
        <w:t>como parte accionada, y vincular a</w:t>
      </w:r>
      <w:r w:rsidR="00592FB2">
        <w:rPr>
          <w:rFonts w:ascii="Arial" w:hAnsi="Arial" w:cs="Arial"/>
          <w:sz w:val="24"/>
          <w:szCs w:val="24"/>
          <w:lang w:eastAsia="es-CO"/>
        </w:rPr>
        <w:t xml:space="preserve"> </w:t>
      </w:r>
      <w:r w:rsidR="00592FB2" w:rsidRPr="00592FB2">
        <w:rPr>
          <w:rFonts w:ascii="Arial" w:hAnsi="Arial" w:cs="Arial"/>
          <w:bCs/>
          <w:sz w:val="24"/>
          <w:szCs w:val="24"/>
          <w:lang w:eastAsia="es-CO"/>
        </w:rPr>
        <w:t>Diógenes Leonel Garzón Guzmán</w:t>
      </w:r>
      <w:r w:rsidR="00592FB2">
        <w:rPr>
          <w:rFonts w:ascii="Arial" w:hAnsi="Arial" w:cs="Arial"/>
          <w:bCs/>
          <w:sz w:val="24"/>
          <w:szCs w:val="24"/>
          <w:lang w:eastAsia="es-CO"/>
        </w:rPr>
        <w:t xml:space="preserve"> y a quienes hubieran </w:t>
      </w:r>
      <w:r w:rsidR="00592FB2" w:rsidRPr="00592FB2">
        <w:rPr>
          <w:rFonts w:ascii="Arial" w:hAnsi="Arial" w:cs="Arial"/>
          <w:sz w:val="24"/>
          <w:szCs w:val="24"/>
          <w:lang w:eastAsia="es-CO"/>
        </w:rPr>
        <w:t>participado en el proceso ordinario con radicado 15001-23-31-005-2007-00571-00,</w:t>
      </w:r>
      <w:r w:rsidR="00592FB2">
        <w:rPr>
          <w:rFonts w:ascii="Arial" w:hAnsi="Arial" w:cs="Arial"/>
          <w:sz w:val="24"/>
          <w:szCs w:val="24"/>
          <w:lang w:eastAsia="es-CO"/>
        </w:rPr>
        <w:t xml:space="preserve"> </w:t>
      </w:r>
      <w:r>
        <w:rPr>
          <w:rFonts w:ascii="Arial" w:hAnsi="Arial" w:cs="Arial"/>
          <w:sz w:val="24"/>
          <w:szCs w:val="24"/>
          <w:lang w:eastAsia="es-CO"/>
        </w:rPr>
        <w:t>como tercer</w:t>
      </w:r>
      <w:r w:rsidR="00592FB2">
        <w:rPr>
          <w:rFonts w:ascii="Arial" w:hAnsi="Arial" w:cs="Arial"/>
          <w:sz w:val="24"/>
          <w:szCs w:val="24"/>
          <w:lang w:eastAsia="es-CO"/>
        </w:rPr>
        <w:t>o</w:t>
      </w:r>
      <w:r>
        <w:rPr>
          <w:rFonts w:ascii="Arial" w:hAnsi="Arial" w:cs="Arial"/>
          <w:sz w:val="24"/>
          <w:szCs w:val="24"/>
          <w:lang w:eastAsia="es-CO"/>
        </w:rPr>
        <w:t>s con interés.</w:t>
      </w:r>
    </w:p>
    <w:p w14:paraId="2ED75086" w14:textId="38C5CD3C" w:rsidR="00C64737" w:rsidRDefault="00C64737" w:rsidP="00C64737">
      <w:pPr>
        <w:widowControl w:val="0"/>
        <w:spacing w:before="240" w:after="240" w:line="240" w:lineRule="auto"/>
        <w:jc w:val="both"/>
        <w:rPr>
          <w:rFonts w:ascii="Arial" w:eastAsia="Calibri" w:hAnsi="Arial" w:cs="Arial"/>
          <w:sz w:val="24"/>
          <w:szCs w:val="24"/>
          <w:lang w:val="es-ES_tradnl" w:eastAsia="es-ES_tradnl"/>
        </w:rPr>
      </w:pPr>
      <w:r w:rsidRPr="00E60C3C">
        <w:rPr>
          <w:rFonts w:ascii="Arial" w:eastAsia="Calibri" w:hAnsi="Arial" w:cs="Arial"/>
          <w:sz w:val="24"/>
          <w:szCs w:val="24"/>
          <w:lang w:eastAsia="es-ES_tradnl"/>
        </w:rPr>
        <w:t>1.4.2.</w:t>
      </w:r>
      <w:r w:rsidRPr="00DD0B06">
        <w:rPr>
          <w:rFonts w:ascii="Arial" w:eastAsia="Calibri" w:hAnsi="Arial" w:cs="Arial"/>
          <w:b/>
          <w:bCs/>
          <w:sz w:val="24"/>
          <w:szCs w:val="24"/>
          <w:lang w:eastAsia="es-ES_tradnl"/>
        </w:rPr>
        <w:t xml:space="preserve"> </w:t>
      </w:r>
      <w:r>
        <w:rPr>
          <w:rFonts w:ascii="Arial" w:eastAsia="Calibri" w:hAnsi="Arial" w:cs="Arial"/>
          <w:sz w:val="24"/>
          <w:szCs w:val="24"/>
          <w:lang w:eastAsia="es-ES_tradnl"/>
        </w:rPr>
        <w:t xml:space="preserve">El </w:t>
      </w:r>
      <w:r w:rsidR="00592FB2">
        <w:rPr>
          <w:rFonts w:ascii="Arial" w:eastAsia="Calibri" w:hAnsi="Arial" w:cs="Arial"/>
          <w:b/>
          <w:bCs/>
          <w:sz w:val="24"/>
          <w:szCs w:val="24"/>
          <w:lang w:eastAsia="es-ES_tradnl"/>
        </w:rPr>
        <w:t>Tribunal Administrativo de Boyacá</w:t>
      </w:r>
      <w:r w:rsidR="00F87E30" w:rsidRPr="00F87E30">
        <w:rPr>
          <w:rStyle w:val="Refdenotaalpie"/>
          <w:rFonts w:ascii="Arial" w:eastAsia="Calibri" w:hAnsi="Arial" w:cs="Arial"/>
          <w:bCs/>
          <w:sz w:val="24"/>
          <w:szCs w:val="24"/>
          <w:lang w:eastAsia="es-ES_tradnl"/>
        </w:rPr>
        <w:footnoteReference w:id="9"/>
      </w:r>
      <w:r w:rsidRPr="00F87E30">
        <w:rPr>
          <w:rFonts w:ascii="Arial" w:eastAsia="Calibri" w:hAnsi="Arial" w:cs="Arial"/>
          <w:sz w:val="24"/>
          <w:szCs w:val="24"/>
          <w:lang w:eastAsia="es-ES_tradnl"/>
        </w:rPr>
        <w:t xml:space="preserve"> </w:t>
      </w:r>
      <w:r w:rsidR="00592FB2">
        <w:rPr>
          <w:rFonts w:ascii="Arial" w:eastAsia="Calibri" w:hAnsi="Arial" w:cs="Arial"/>
          <w:sz w:val="24"/>
          <w:szCs w:val="24"/>
          <w:lang w:eastAsia="es-ES_tradnl"/>
        </w:rPr>
        <w:t xml:space="preserve">afirmó que la </w:t>
      </w:r>
      <w:r w:rsidR="00F87E30">
        <w:rPr>
          <w:rFonts w:ascii="Arial" w:eastAsia="Calibri" w:hAnsi="Arial" w:cs="Arial"/>
          <w:sz w:val="24"/>
          <w:szCs w:val="24"/>
          <w:lang w:eastAsia="es-ES_tradnl"/>
        </w:rPr>
        <w:t>petición</w:t>
      </w:r>
      <w:r w:rsidR="00592FB2">
        <w:rPr>
          <w:rFonts w:ascii="Arial" w:eastAsia="Calibri" w:hAnsi="Arial" w:cs="Arial"/>
          <w:sz w:val="24"/>
          <w:szCs w:val="24"/>
          <w:lang w:eastAsia="es-ES_tradnl"/>
        </w:rPr>
        <w:t xml:space="preserve"> de amparo promovida por Colpensiones no cumplió los requisitos generales de procedencia de la acción de tutela contra providencias judiciales, particularmente, </w:t>
      </w:r>
      <w:r w:rsidR="00F87E30">
        <w:rPr>
          <w:rFonts w:ascii="Arial" w:eastAsia="Calibri" w:hAnsi="Arial" w:cs="Arial"/>
          <w:sz w:val="24"/>
          <w:szCs w:val="24"/>
          <w:lang w:eastAsia="es-ES_tradnl"/>
        </w:rPr>
        <w:t xml:space="preserve">los </w:t>
      </w:r>
      <w:r w:rsidR="00592FB2">
        <w:rPr>
          <w:rFonts w:ascii="Arial" w:eastAsia="Calibri" w:hAnsi="Arial" w:cs="Arial"/>
          <w:sz w:val="24"/>
          <w:szCs w:val="24"/>
          <w:lang w:eastAsia="es-ES_tradnl"/>
        </w:rPr>
        <w:t>de subsidiariedad y de inmediatez, en la medida en que, no presentó recurso de apelación en contra de la sentencia cuestionada en este trámite, e instauró la acción de tutela después de más de 13 años de ha</w:t>
      </w:r>
      <w:r w:rsidR="00F87E30">
        <w:rPr>
          <w:rFonts w:ascii="Arial" w:eastAsia="Calibri" w:hAnsi="Arial" w:cs="Arial"/>
          <w:sz w:val="24"/>
          <w:szCs w:val="24"/>
          <w:lang w:eastAsia="es-ES_tradnl"/>
        </w:rPr>
        <w:t>b</w:t>
      </w:r>
      <w:r w:rsidR="00592FB2">
        <w:rPr>
          <w:rFonts w:ascii="Arial" w:eastAsia="Calibri" w:hAnsi="Arial" w:cs="Arial"/>
          <w:sz w:val="24"/>
          <w:szCs w:val="24"/>
          <w:lang w:eastAsia="es-ES_tradnl"/>
        </w:rPr>
        <w:t>er sido proferida, sin explicar las razones</w:t>
      </w:r>
      <w:r w:rsidR="00F87E30">
        <w:rPr>
          <w:rFonts w:ascii="Arial" w:eastAsia="Calibri" w:hAnsi="Arial" w:cs="Arial"/>
          <w:sz w:val="24"/>
          <w:szCs w:val="24"/>
          <w:lang w:eastAsia="es-ES_tradnl"/>
        </w:rPr>
        <w:t xml:space="preserve"> que justificaran</w:t>
      </w:r>
      <w:r w:rsidR="00592FB2">
        <w:rPr>
          <w:rFonts w:ascii="Arial" w:eastAsia="Calibri" w:hAnsi="Arial" w:cs="Arial"/>
          <w:sz w:val="24"/>
          <w:szCs w:val="24"/>
          <w:lang w:eastAsia="es-ES_tradnl"/>
        </w:rPr>
        <w:t xml:space="preserve"> de su inactividad</w:t>
      </w:r>
      <w:r w:rsidR="00F87E30">
        <w:rPr>
          <w:rFonts w:ascii="Arial" w:eastAsia="Calibri" w:hAnsi="Arial" w:cs="Arial"/>
          <w:sz w:val="24"/>
          <w:szCs w:val="24"/>
          <w:lang w:eastAsia="es-ES_tradnl"/>
        </w:rPr>
        <w:t xml:space="preserve"> durante dicho lapso</w:t>
      </w:r>
      <w:r w:rsidR="00592FB2">
        <w:rPr>
          <w:rFonts w:ascii="Arial" w:eastAsia="Calibri" w:hAnsi="Arial" w:cs="Arial"/>
          <w:sz w:val="24"/>
          <w:szCs w:val="24"/>
          <w:lang w:eastAsia="es-ES_tradnl"/>
        </w:rPr>
        <w:t xml:space="preserve">. En ese orden de ideas, solicitó al juez constitucional que declare </w:t>
      </w:r>
      <w:r w:rsidR="00F87E30">
        <w:rPr>
          <w:rFonts w:ascii="Arial" w:eastAsia="Calibri" w:hAnsi="Arial" w:cs="Arial"/>
          <w:sz w:val="24"/>
          <w:szCs w:val="24"/>
          <w:lang w:eastAsia="es-ES_tradnl"/>
        </w:rPr>
        <w:t>la</w:t>
      </w:r>
      <w:r w:rsidR="00592FB2">
        <w:rPr>
          <w:rFonts w:ascii="Arial" w:eastAsia="Calibri" w:hAnsi="Arial" w:cs="Arial"/>
          <w:sz w:val="24"/>
          <w:szCs w:val="24"/>
          <w:lang w:eastAsia="es-ES_tradnl"/>
        </w:rPr>
        <w:t xml:space="preserve"> improcedencia</w:t>
      </w:r>
      <w:r w:rsidR="00F87E30">
        <w:rPr>
          <w:rFonts w:ascii="Arial" w:eastAsia="Calibri" w:hAnsi="Arial" w:cs="Arial"/>
          <w:sz w:val="24"/>
          <w:szCs w:val="24"/>
          <w:lang w:eastAsia="es-ES_tradnl"/>
        </w:rPr>
        <w:t xml:space="preserve"> del amparo solicitado</w:t>
      </w:r>
      <w:r>
        <w:rPr>
          <w:rFonts w:ascii="Arial" w:eastAsia="Calibri" w:hAnsi="Arial" w:cs="Arial"/>
          <w:sz w:val="24"/>
          <w:szCs w:val="24"/>
          <w:lang w:val="es-ES_tradnl" w:eastAsia="es-ES_tradnl"/>
        </w:rPr>
        <w:t>.</w:t>
      </w:r>
    </w:p>
    <w:p w14:paraId="1538E486" w14:textId="29A33D3B" w:rsidR="00C64737" w:rsidRPr="00CE626B" w:rsidRDefault="00C64737" w:rsidP="00C64737">
      <w:pPr>
        <w:widowControl w:val="0"/>
        <w:spacing w:before="240" w:after="240" w:line="240" w:lineRule="auto"/>
        <w:jc w:val="both"/>
        <w:rPr>
          <w:rFonts w:ascii="Arial" w:eastAsia="Calibri" w:hAnsi="Arial" w:cs="Arial"/>
          <w:sz w:val="24"/>
          <w:szCs w:val="24"/>
          <w:lang w:val="es-ES_tradnl" w:eastAsia="es-ES_tradnl"/>
        </w:rPr>
      </w:pPr>
      <w:r w:rsidRPr="00E60C3C">
        <w:rPr>
          <w:rFonts w:ascii="Arial" w:eastAsia="Calibri" w:hAnsi="Arial" w:cs="Arial"/>
          <w:sz w:val="24"/>
          <w:szCs w:val="24"/>
          <w:lang w:val="es-ES_tradnl" w:eastAsia="es-ES_tradnl"/>
        </w:rPr>
        <w:t>1.4.3.</w:t>
      </w:r>
      <w:r>
        <w:rPr>
          <w:rFonts w:ascii="Arial" w:eastAsia="Calibri" w:hAnsi="Arial" w:cs="Arial"/>
          <w:b/>
          <w:bCs/>
          <w:sz w:val="24"/>
          <w:szCs w:val="24"/>
          <w:lang w:val="es-ES_tradnl" w:eastAsia="es-ES_tradnl"/>
        </w:rPr>
        <w:t xml:space="preserve"> </w:t>
      </w:r>
      <w:r w:rsidR="00253B25" w:rsidRPr="00253B25">
        <w:rPr>
          <w:rFonts w:ascii="Arial" w:eastAsia="Calibri" w:hAnsi="Arial" w:cs="Arial"/>
          <w:b/>
          <w:bCs/>
          <w:sz w:val="24"/>
          <w:szCs w:val="24"/>
          <w:lang w:val="es-ES_tradnl" w:eastAsia="es-ES_tradnl"/>
        </w:rPr>
        <w:t xml:space="preserve">Diógenes </w:t>
      </w:r>
      <w:r w:rsidR="00253B25" w:rsidRPr="00D86B0C">
        <w:rPr>
          <w:rFonts w:ascii="Arial" w:eastAsia="Calibri" w:hAnsi="Arial" w:cs="Arial"/>
          <w:b/>
          <w:bCs/>
          <w:sz w:val="24"/>
          <w:szCs w:val="24"/>
        </w:rPr>
        <w:t>Leonel Garzón Guzmán</w:t>
      </w:r>
      <w:r w:rsidR="00F87E30" w:rsidRPr="005A4091">
        <w:rPr>
          <w:rStyle w:val="Refdenotaalpie"/>
          <w:rFonts w:ascii="Arial" w:eastAsia="Calibri" w:hAnsi="Arial" w:cs="Arial"/>
          <w:bCs/>
          <w:sz w:val="24"/>
          <w:szCs w:val="24"/>
        </w:rPr>
        <w:footnoteReference w:id="10"/>
      </w:r>
      <w:r w:rsidR="00253B25">
        <w:rPr>
          <w:rFonts w:ascii="Arial" w:eastAsia="Calibri" w:hAnsi="Arial" w:cs="Arial"/>
          <w:bCs/>
          <w:sz w:val="24"/>
          <w:szCs w:val="24"/>
        </w:rPr>
        <w:t xml:space="preserve"> allegó escrito en el que informó que la presente acción de tutela le fue notificada, y solicitó que una vez admitida se le concediera la posibilidad de contestarla</w:t>
      </w:r>
      <w:r w:rsidR="00253B25">
        <w:rPr>
          <w:rFonts w:ascii="Arial" w:eastAsia="Calibri" w:hAnsi="Arial" w:cs="Arial"/>
          <w:sz w:val="24"/>
          <w:szCs w:val="24"/>
          <w:lang w:val="es-ES_tradnl" w:eastAsia="es-ES_tradnl"/>
        </w:rPr>
        <w:t xml:space="preserve">, oportunidad que se le dio con la notificación </w:t>
      </w:r>
      <w:r w:rsidR="00F87E30">
        <w:rPr>
          <w:rFonts w:ascii="Arial" w:eastAsia="Calibri" w:hAnsi="Arial" w:cs="Arial"/>
          <w:sz w:val="24"/>
          <w:szCs w:val="24"/>
          <w:lang w:val="es-ES_tradnl" w:eastAsia="es-ES_tradnl"/>
        </w:rPr>
        <w:t>de la solicitud de amparo</w:t>
      </w:r>
      <w:r w:rsidR="00253B25">
        <w:rPr>
          <w:rFonts w:ascii="Arial" w:eastAsia="Calibri" w:hAnsi="Arial" w:cs="Arial"/>
          <w:sz w:val="24"/>
          <w:szCs w:val="24"/>
          <w:lang w:val="es-ES_tradnl" w:eastAsia="es-ES_tradnl"/>
        </w:rPr>
        <w:t xml:space="preserve"> y del auto que la admitió. </w:t>
      </w:r>
    </w:p>
    <w:p w14:paraId="715FAF3C" w14:textId="77777777" w:rsidR="00C64737" w:rsidRPr="00DD0B06" w:rsidRDefault="00C64737" w:rsidP="00C64737">
      <w:pPr>
        <w:spacing w:after="240" w:line="240" w:lineRule="auto"/>
        <w:jc w:val="center"/>
        <w:rPr>
          <w:rFonts w:ascii="Arial" w:eastAsia="Calibri" w:hAnsi="Arial" w:cs="Arial"/>
          <w:b/>
          <w:bCs/>
          <w:sz w:val="24"/>
          <w:szCs w:val="24"/>
          <w:lang w:eastAsia="es-ES_tradnl"/>
        </w:rPr>
      </w:pPr>
      <w:r w:rsidRPr="00DD0B06">
        <w:rPr>
          <w:rFonts w:ascii="Arial" w:eastAsia="Calibri" w:hAnsi="Arial" w:cs="Arial"/>
          <w:b/>
          <w:bCs/>
          <w:sz w:val="24"/>
          <w:szCs w:val="24"/>
          <w:lang w:eastAsia="es-ES_tradnl"/>
        </w:rPr>
        <w:t>II. CONSIDERACIONES</w:t>
      </w:r>
    </w:p>
    <w:p w14:paraId="7ED29198" w14:textId="77777777" w:rsidR="00C64737" w:rsidRDefault="00C64737" w:rsidP="00C64737">
      <w:pPr>
        <w:spacing w:after="240" w:line="240" w:lineRule="auto"/>
        <w:jc w:val="both"/>
        <w:rPr>
          <w:rFonts w:ascii="Arial" w:eastAsia="Calibri" w:hAnsi="Arial" w:cs="Arial"/>
          <w:b/>
          <w:bCs/>
          <w:sz w:val="24"/>
          <w:szCs w:val="24"/>
          <w:lang w:eastAsia="es-ES_tradnl"/>
        </w:rPr>
      </w:pPr>
      <w:r>
        <w:rPr>
          <w:rFonts w:ascii="Arial" w:eastAsia="Calibri" w:hAnsi="Arial" w:cs="Arial"/>
          <w:b/>
          <w:bCs/>
          <w:sz w:val="24"/>
          <w:szCs w:val="24"/>
          <w:lang w:eastAsia="es-ES_tradnl"/>
        </w:rPr>
        <w:t>2.</w:t>
      </w:r>
      <w:r w:rsidRPr="00DD0B06">
        <w:rPr>
          <w:rFonts w:ascii="Arial" w:eastAsia="Calibri" w:hAnsi="Arial" w:cs="Arial"/>
          <w:b/>
          <w:bCs/>
          <w:sz w:val="24"/>
          <w:szCs w:val="24"/>
          <w:lang w:eastAsia="es-ES_tradnl"/>
        </w:rPr>
        <w:t>1. Competencia</w:t>
      </w:r>
    </w:p>
    <w:p w14:paraId="6F287DB6" w14:textId="77777777" w:rsidR="00C64737" w:rsidRDefault="00C64737" w:rsidP="00C64737">
      <w:pPr>
        <w:pStyle w:val="Prrafodelista"/>
        <w:spacing w:before="240" w:after="240"/>
        <w:ind w:left="0"/>
        <w:jc w:val="both"/>
        <w:rPr>
          <w:rFonts w:ascii="Arial" w:hAnsi="Arial" w:cs="Arial"/>
          <w:sz w:val="24"/>
          <w:szCs w:val="24"/>
        </w:rPr>
      </w:pPr>
      <w:r>
        <w:rPr>
          <w:rFonts w:ascii="Arial" w:hAnsi="Arial" w:cs="Arial"/>
          <w:sz w:val="24"/>
          <w:szCs w:val="24"/>
        </w:rPr>
        <w:t>La Sala tiene competencia para decidir la presente acción de tutela en virtud de lo dispuesto en el artículo 86 de la Constitución Política y en el artículo 37 del Decreto 2591 de 1991.</w:t>
      </w:r>
    </w:p>
    <w:p w14:paraId="149BAB3D" w14:textId="33FFD6C6" w:rsidR="00C64737" w:rsidRPr="00871F32" w:rsidRDefault="00C64737" w:rsidP="00E60C3C">
      <w:pPr>
        <w:pStyle w:val="Prrafodelista"/>
        <w:keepNext/>
        <w:spacing w:before="240" w:after="240"/>
        <w:ind w:left="0"/>
        <w:jc w:val="both"/>
        <w:rPr>
          <w:rFonts w:ascii="Arial" w:hAnsi="Arial" w:cs="Arial"/>
          <w:sz w:val="24"/>
          <w:szCs w:val="24"/>
        </w:rPr>
      </w:pPr>
      <w:r w:rsidRPr="004A597E">
        <w:rPr>
          <w:rFonts w:ascii="Arial" w:hAnsi="Arial" w:cs="Arial"/>
          <w:b/>
          <w:bCs/>
          <w:sz w:val="24"/>
          <w:szCs w:val="24"/>
        </w:rPr>
        <w:t xml:space="preserve">2.2. </w:t>
      </w:r>
      <w:r w:rsidR="00E60C3C" w:rsidRPr="00DD0B06">
        <w:rPr>
          <w:rFonts w:ascii="Arial" w:hAnsi="Arial" w:cs="Arial"/>
          <w:b/>
          <w:bCs/>
          <w:sz w:val="24"/>
          <w:szCs w:val="24"/>
          <w:lang w:eastAsia="es-CO"/>
        </w:rPr>
        <w:t>Procedibilidad de la acción</w:t>
      </w:r>
    </w:p>
    <w:p w14:paraId="0BD842B9" w14:textId="77777777" w:rsidR="005A4091" w:rsidRPr="005A4091" w:rsidRDefault="005A4091" w:rsidP="005A4091">
      <w:pPr>
        <w:widowControl w:val="0"/>
        <w:spacing w:after="240" w:line="240" w:lineRule="auto"/>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2.2.1. </w:t>
      </w:r>
      <w:r w:rsidRPr="005A4091">
        <w:rPr>
          <w:rFonts w:ascii="Arial" w:eastAsia="Times New Roman" w:hAnsi="Arial" w:cs="Arial"/>
          <w:sz w:val="24"/>
          <w:szCs w:val="24"/>
          <w:lang w:eastAsia="es-CO"/>
        </w:rPr>
        <w:t>La acción de tutela, dispuesta en el artículo 86 de la Constitución Política es un mecanismo judicial preferente y sumario que toda persona tiene a su alcance para reclamar la protección inmediata de los derechos constitucionales vulnerados o amenazados por la acción o la omisión de cualquier autoridad pública o de un particular, en los casos que establece la ley</w:t>
      </w:r>
      <w:r w:rsidRPr="005A4091">
        <w:rPr>
          <w:rFonts w:ascii="Arial" w:eastAsia="Times New Roman" w:hAnsi="Arial" w:cs="Arial"/>
          <w:sz w:val="24"/>
          <w:szCs w:val="24"/>
          <w:vertAlign w:val="superscript"/>
          <w:lang w:eastAsia="es-CO"/>
        </w:rPr>
        <w:footnoteReference w:id="11"/>
      </w:r>
      <w:r w:rsidRPr="005A4091">
        <w:rPr>
          <w:rFonts w:ascii="Arial" w:eastAsia="Times New Roman" w:hAnsi="Arial" w:cs="Arial"/>
          <w:sz w:val="24"/>
          <w:szCs w:val="24"/>
          <w:lang w:eastAsia="es-CO"/>
        </w:rPr>
        <w:t xml:space="preserve">.  </w:t>
      </w:r>
    </w:p>
    <w:p w14:paraId="02845B4C" w14:textId="5F64090B" w:rsidR="005A4091" w:rsidRPr="005A4091" w:rsidRDefault="005A4091" w:rsidP="005A4091">
      <w:pPr>
        <w:widowControl w:val="0"/>
        <w:spacing w:after="240" w:line="240" w:lineRule="auto"/>
        <w:jc w:val="both"/>
        <w:textAlignment w:val="baseline"/>
        <w:rPr>
          <w:rFonts w:ascii="Arial" w:eastAsia="Times New Roman" w:hAnsi="Arial" w:cs="Arial"/>
          <w:sz w:val="24"/>
          <w:szCs w:val="24"/>
          <w:lang w:eastAsia="es-CO"/>
        </w:rPr>
      </w:pPr>
      <w:r w:rsidRPr="005A4091">
        <w:rPr>
          <w:rFonts w:ascii="Arial" w:eastAsia="Times New Roman" w:hAnsi="Arial" w:cs="Arial"/>
          <w:sz w:val="24"/>
          <w:szCs w:val="24"/>
          <w:lang w:eastAsia="es-CO"/>
        </w:rPr>
        <w:t>La jurisprudencia constitucional ha establecido que, cuando una solicitud de amparo va dirigida en contra de una providencia judicial, el juez de tutela debe, de forma preliminar, analizar los requisitos generales de procedibilidad de la acción</w:t>
      </w:r>
      <w:r w:rsidRPr="005A4091">
        <w:rPr>
          <w:rFonts w:ascii="Arial" w:eastAsia="Times New Roman" w:hAnsi="Arial" w:cs="Arial"/>
          <w:sz w:val="24"/>
          <w:szCs w:val="24"/>
          <w:vertAlign w:val="superscript"/>
          <w:lang w:eastAsia="es-CO"/>
        </w:rPr>
        <w:footnoteReference w:id="12"/>
      </w:r>
      <w:r w:rsidRPr="005A4091">
        <w:rPr>
          <w:rFonts w:ascii="Arial" w:eastAsia="Times New Roman" w:hAnsi="Arial" w:cs="Arial"/>
          <w:sz w:val="24"/>
          <w:szCs w:val="24"/>
          <w:lang w:eastAsia="es-CO"/>
        </w:rPr>
        <w:t>. Así, una vez verificad</w:t>
      </w:r>
      <w:r w:rsidR="00B102A3">
        <w:rPr>
          <w:rFonts w:ascii="Arial" w:eastAsia="Times New Roman" w:hAnsi="Arial" w:cs="Arial"/>
          <w:sz w:val="24"/>
          <w:szCs w:val="24"/>
          <w:lang w:eastAsia="es-CO"/>
        </w:rPr>
        <w:t xml:space="preserve">o el cumplimiento </w:t>
      </w:r>
      <w:r w:rsidRPr="005A4091">
        <w:rPr>
          <w:rFonts w:ascii="Arial" w:eastAsia="Times New Roman" w:hAnsi="Arial" w:cs="Arial"/>
          <w:sz w:val="24"/>
          <w:szCs w:val="24"/>
          <w:lang w:eastAsia="es-CO"/>
        </w:rPr>
        <w:t>de los presupuestos que la determinan, procede el pronunciamiento de fondo sobre la problemática jurídica que el actor plantea en función de los defectos en que incurre la actuación acusada y conforme a las causales específicas de procedencia de la acción de tutela contra providencias judiciales</w:t>
      </w:r>
      <w:r w:rsidRPr="005A4091">
        <w:rPr>
          <w:rFonts w:ascii="Arial" w:eastAsia="Times New Roman" w:hAnsi="Arial" w:cs="Arial"/>
          <w:sz w:val="24"/>
          <w:szCs w:val="24"/>
          <w:vertAlign w:val="superscript"/>
          <w:lang w:eastAsia="es-CO"/>
        </w:rPr>
        <w:footnoteReference w:id="13"/>
      </w:r>
      <w:r w:rsidRPr="005A4091">
        <w:rPr>
          <w:rFonts w:ascii="Arial" w:eastAsia="Times New Roman" w:hAnsi="Arial" w:cs="Arial"/>
          <w:sz w:val="24"/>
          <w:szCs w:val="24"/>
          <w:lang w:eastAsia="es-CO"/>
        </w:rPr>
        <w:t xml:space="preserve">. </w:t>
      </w:r>
    </w:p>
    <w:p w14:paraId="2AAF2CE8" w14:textId="77777777" w:rsidR="005A4091" w:rsidRPr="005A4091" w:rsidRDefault="005A4091" w:rsidP="005A4091">
      <w:pPr>
        <w:spacing w:after="240" w:line="240" w:lineRule="auto"/>
        <w:jc w:val="both"/>
        <w:textAlignment w:val="baseline"/>
        <w:rPr>
          <w:rFonts w:ascii="Arial" w:eastAsia="Times New Roman" w:hAnsi="Arial" w:cs="Arial"/>
          <w:sz w:val="24"/>
          <w:szCs w:val="24"/>
          <w:lang w:eastAsia="es-CO"/>
        </w:rPr>
      </w:pPr>
      <w:r w:rsidRPr="005A4091">
        <w:rPr>
          <w:rFonts w:ascii="Arial" w:eastAsia="Times New Roman" w:hAnsi="Arial" w:cs="Arial"/>
          <w:sz w:val="24"/>
          <w:szCs w:val="24"/>
          <w:lang w:eastAsia="es-CO"/>
        </w:rPr>
        <w:t xml:space="preserve">Así las cosas, es preciso revisar si, en el caso </w:t>
      </w:r>
      <w:r w:rsidRPr="005A4091">
        <w:rPr>
          <w:rFonts w:ascii="Arial" w:eastAsia="Times New Roman" w:hAnsi="Arial" w:cs="Arial"/>
          <w:i/>
          <w:iCs/>
          <w:sz w:val="24"/>
          <w:szCs w:val="24"/>
          <w:lang w:eastAsia="es-CO"/>
        </w:rPr>
        <w:t>sub iudice</w:t>
      </w:r>
      <w:r w:rsidRPr="005A4091">
        <w:rPr>
          <w:rFonts w:ascii="Arial" w:eastAsia="Times New Roman" w:hAnsi="Arial" w:cs="Arial"/>
          <w:sz w:val="24"/>
          <w:szCs w:val="24"/>
          <w:lang w:eastAsia="es-CO"/>
        </w:rPr>
        <w:t xml:space="preserve">, se encuentran superados los requisitos de procedibilidad de la acción de tutela. </w:t>
      </w:r>
    </w:p>
    <w:p w14:paraId="45BE3831" w14:textId="77777777" w:rsidR="00735A86" w:rsidRDefault="005A4091" w:rsidP="005A4091">
      <w:pPr>
        <w:widowControl w:val="0"/>
        <w:spacing w:after="240" w:line="240" w:lineRule="auto"/>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2.2.2. </w:t>
      </w:r>
      <w:r w:rsidR="00C64737">
        <w:rPr>
          <w:rFonts w:ascii="Arial" w:eastAsia="Times New Roman" w:hAnsi="Arial" w:cs="Arial"/>
          <w:sz w:val="24"/>
          <w:szCs w:val="24"/>
          <w:lang w:eastAsia="es-CO"/>
        </w:rPr>
        <w:t xml:space="preserve">En relación con el requisito de </w:t>
      </w:r>
      <w:r w:rsidR="00C64737">
        <w:rPr>
          <w:rFonts w:ascii="Arial" w:eastAsia="Times New Roman" w:hAnsi="Arial" w:cs="Arial"/>
          <w:b/>
          <w:bCs/>
          <w:i/>
          <w:iCs/>
          <w:sz w:val="24"/>
          <w:szCs w:val="24"/>
          <w:lang w:eastAsia="es-CO"/>
        </w:rPr>
        <w:t>inmediatez</w:t>
      </w:r>
      <w:r w:rsidR="00C64737">
        <w:rPr>
          <w:rFonts w:ascii="Arial" w:eastAsia="Times New Roman" w:hAnsi="Arial" w:cs="Arial"/>
          <w:sz w:val="24"/>
          <w:szCs w:val="24"/>
          <w:lang w:eastAsia="es-CO"/>
        </w:rPr>
        <w:t>, es preciso resaltar que, si bien la acción de tutela se puede presentar en cualquier momento y lugar, su finalidad es la protección inmediata de los derechos fundamentales, de manera que se debe ejercer dentro de un plazo razonable,</w:t>
      </w:r>
      <w:r w:rsidR="00C64737" w:rsidRPr="00297B8D">
        <w:rPr>
          <w:rStyle w:val="normaltextrun"/>
          <w:rFonts w:ascii="Arial" w:hAnsi="Arial" w:cs="Arial"/>
          <w:sz w:val="24"/>
          <w:szCs w:val="24"/>
        </w:rPr>
        <w:t xml:space="preserve"> </w:t>
      </w:r>
      <w:r w:rsidR="00C64737">
        <w:rPr>
          <w:rStyle w:val="normaltextrun"/>
          <w:rFonts w:ascii="Arial" w:hAnsi="Arial" w:cs="Arial"/>
          <w:sz w:val="24"/>
          <w:szCs w:val="24"/>
        </w:rPr>
        <w:t>según las condiciones de tiempo, modo y lugar del caso concreto, para asegurar la protección oportuna del derecho vulnerado</w:t>
      </w:r>
      <w:r w:rsidR="00C64737">
        <w:rPr>
          <w:rFonts w:ascii="Arial" w:eastAsia="Times New Roman" w:hAnsi="Arial" w:cs="Arial"/>
          <w:sz w:val="24"/>
          <w:szCs w:val="24"/>
          <w:lang w:eastAsia="es-CO"/>
        </w:rPr>
        <w:t xml:space="preserve">. De lo contrario, la urgencia y la necesidad de intervención del juez de tutela quedarían desvirtuadas. </w:t>
      </w:r>
    </w:p>
    <w:p w14:paraId="5A847601" w14:textId="3830DDEA" w:rsidR="00C64737" w:rsidRDefault="00C64737" w:rsidP="005A4091">
      <w:pPr>
        <w:widowControl w:val="0"/>
        <w:spacing w:after="240" w:line="240" w:lineRule="auto"/>
        <w:jc w:val="both"/>
        <w:textAlignment w:val="baseline"/>
        <w:rPr>
          <w:rStyle w:val="normaltextrun"/>
          <w:rFonts w:ascii="Arial" w:hAnsi="Arial" w:cs="Arial"/>
          <w:sz w:val="24"/>
          <w:szCs w:val="24"/>
        </w:rPr>
      </w:pPr>
      <w:r>
        <w:rPr>
          <w:rFonts w:ascii="Arial" w:eastAsia="Times New Roman" w:hAnsi="Arial" w:cs="Arial"/>
          <w:sz w:val="24"/>
          <w:szCs w:val="24"/>
          <w:lang w:eastAsia="es-CO"/>
        </w:rPr>
        <w:t xml:space="preserve">Ahora bien, cuando la solicitud de amparo se presenta en contra de una providencia judicial, el requisito de inmediatez también se traduce en una garantía de seguridad jurídica y de los intereses de terceros, pues la sentencia que se cuestione, previamente ha definido un litigio y una situación jurídica en particular. Por esta razón, este tipo de solicitudes </w:t>
      </w:r>
      <w:r>
        <w:rPr>
          <w:rStyle w:val="normaltextrun"/>
          <w:rFonts w:ascii="Arial" w:hAnsi="Arial" w:cs="Arial"/>
          <w:sz w:val="24"/>
          <w:szCs w:val="24"/>
        </w:rPr>
        <w:t>exige una mayor rigurosidad</w:t>
      </w:r>
      <w:r>
        <w:rPr>
          <w:rStyle w:val="Refdenotaalpie"/>
          <w:rFonts w:ascii="Arial" w:hAnsi="Arial" w:cs="Arial"/>
          <w:sz w:val="24"/>
          <w:szCs w:val="24"/>
        </w:rPr>
        <w:footnoteReference w:id="14"/>
      </w:r>
      <w:r>
        <w:rPr>
          <w:rStyle w:val="normaltextrun"/>
          <w:rFonts w:ascii="Arial" w:hAnsi="Arial" w:cs="Arial"/>
          <w:sz w:val="24"/>
          <w:szCs w:val="24"/>
        </w:rPr>
        <w:t xml:space="preserve">, al punto que la doctrina constitucional ha definido la razonabilidad, </w:t>
      </w:r>
      <w:r>
        <w:rPr>
          <w:rStyle w:val="normaltextrun"/>
          <w:rFonts w:ascii="Arial" w:hAnsi="Arial" w:cs="Arial"/>
          <w:i/>
          <w:iCs/>
          <w:sz w:val="24"/>
          <w:szCs w:val="24"/>
        </w:rPr>
        <w:t xml:space="preserve">prima facie, </w:t>
      </w:r>
      <w:r>
        <w:rPr>
          <w:rStyle w:val="normaltextrun"/>
          <w:rFonts w:ascii="Arial" w:hAnsi="Arial" w:cs="Arial"/>
          <w:sz w:val="24"/>
          <w:szCs w:val="24"/>
        </w:rPr>
        <w:t>en</w:t>
      </w:r>
      <w:r>
        <w:rPr>
          <w:rStyle w:val="normaltextrun"/>
          <w:rFonts w:ascii="Arial" w:hAnsi="Arial" w:cs="Arial"/>
          <w:i/>
          <w:iCs/>
          <w:sz w:val="24"/>
          <w:szCs w:val="24"/>
        </w:rPr>
        <w:t xml:space="preserve"> </w:t>
      </w:r>
      <w:r>
        <w:rPr>
          <w:rStyle w:val="normaltextrun"/>
          <w:rFonts w:ascii="Arial" w:hAnsi="Arial" w:cs="Arial"/>
          <w:sz w:val="24"/>
          <w:szCs w:val="24"/>
        </w:rPr>
        <w:t>un lapso de seis meses</w:t>
      </w:r>
      <w:r>
        <w:rPr>
          <w:rStyle w:val="Refdenotaalpie"/>
          <w:rFonts w:ascii="Arial" w:hAnsi="Arial" w:cs="Arial"/>
          <w:sz w:val="24"/>
          <w:szCs w:val="24"/>
        </w:rPr>
        <w:footnoteReference w:id="15"/>
      </w:r>
      <w:r>
        <w:rPr>
          <w:rStyle w:val="normaltextrun"/>
          <w:rFonts w:ascii="Arial" w:hAnsi="Arial" w:cs="Arial"/>
          <w:sz w:val="24"/>
          <w:szCs w:val="24"/>
        </w:rPr>
        <w:t>.</w:t>
      </w:r>
    </w:p>
    <w:p w14:paraId="29115B1F" w14:textId="336FE4D7" w:rsidR="005A4091" w:rsidRDefault="005A4091" w:rsidP="005A4091">
      <w:pPr>
        <w:keepNext/>
        <w:widowControl w:val="0"/>
        <w:spacing w:after="240" w:line="240" w:lineRule="auto"/>
        <w:jc w:val="both"/>
        <w:textAlignment w:val="baseline"/>
        <w:rPr>
          <w:rFonts w:ascii="Arial" w:eastAsia="Calibri" w:hAnsi="Arial" w:cs="Arial"/>
          <w:bCs/>
          <w:sz w:val="24"/>
          <w:szCs w:val="24"/>
        </w:rPr>
      </w:pPr>
      <w:r>
        <w:rPr>
          <w:rFonts w:ascii="Arial" w:eastAsia="Times New Roman" w:hAnsi="Arial" w:cs="Arial"/>
          <w:sz w:val="24"/>
          <w:szCs w:val="24"/>
          <w:lang w:eastAsia="es-CO"/>
        </w:rPr>
        <w:t xml:space="preserve">En el caso concreto, la acción de tutela está dirigida en contra del fallo proferido en primera instancia, al interior del proceso de nulidad y restablecimiento del derecho con número de radicado </w:t>
      </w:r>
      <w:r w:rsidRPr="00D86B0C">
        <w:rPr>
          <w:rFonts w:ascii="Arial" w:eastAsia="Calibri" w:hAnsi="Arial" w:cs="Arial"/>
          <w:bCs/>
          <w:sz w:val="24"/>
          <w:szCs w:val="24"/>
        </w:rPr>
        <w:t>15001-23-31-005-2007-00571-00</w:t>
      </w:r>
      <w:r>
        <w:rPr>
          <w:rFonts w:ascii="Arial" w:eastAsia="Calibri" w:hAnsi="Arial" w:cs="Arial"/>
          <w:bCs/>
          <w:sz w:val="24"/>
          <w:szCs w:val="24"/>
        </w:rPr>
        <w:t xml:space="preserve">. Dicha providencia fue notificada </w:t>
      </w:r>
      <w:r w:rsidR="002D6DC6">
        <w:rPr>
          <w:rFonts w:ascii="Arial" w:eastAsia="Calibri" w:hAnsi="Arial" w:cs="Arial"/>
          <w:bCs/>
          <w:sz w:val="24"/>
          <w:szCs w:val="24"/>
        </w:rPr>
        <w:t xml:space="preserve">por edicto fijado por el término de tres días hábiles, desde el 22 </w:t>
      </w:r>
      <w:r w:rsidR="0065627A">
        <w:rPr>
          <w:rFonts w:ascii="Arial" w:eastAsia="Calibri" w:hAnsi="Arial" w:cs="Arial"/>
          <w:bCs/>
          <w:sz w:val="24"/>
          <w:szCs w:val="24"/>
        </w:rPr>
        <w:t xml:space="preserve">hasta el 24 </w:t>
      </w:r>
      <w:r w:rsidR="002D6DC6">
        <w:rPr>
          <w:rFonts w:ascii="Arial" w:eastAsia="Calibri" w:hAnsi="Arial" w:cs="Arial"/>
          <w:bCs/>
          <w:sz w:val="24"/>
          <w:szCs w:val="24"/>
        </w:rPr>
        <w:t>de julio de 2009</w:t>
      </w:r>
      <w:r>
        <w:rPr>
          <w:rStyle w:val="Refdenotaalpie"/>
          <w:rFonts w:ascii="Arial" w:eastAsia="Calibri" w:hAnsi="Arial" w:cs="Arial"/>
          <w:bCs/>
          <w:sz w:val="24"/>
          <w:szCs w:val="24"/>
        </w:rPr>
        <w:footnoteReference w:id="16"/>
      </w:r>
      <w:r>
        <w:rPr>
          <w:rFonts w:ascii="Arial" w:eastAsia="Calibri" w:hAnsi="Arial" w:cs="Arial"/>
          <w:bCs/>
          <w:sz w:val="24"/>
          <w:szCs w:val="24"/>
        </w:rPr>
        <w:t xml:space="preserve">, y cuestionada en sede de tutela, el </w:t>
      </w:r>
      <w:r w:rsidR="00B85469">
        <w:rPr>
          <w:rFonts w:ascii="Arial" w:eastAsia="Calibri" w:hAnsi="Arial" w:cs="Arial"/>
          <w:bCs/>
          <w:sz w:val="24"/>
          <w:szCs w:val="24"/>
        </w:rPr>
        <w:t>17</w:t>
      </w:r>
      <w:r>
        <w:rPr>
          <w:rFonts w:ascii="Arial" w:eastAsia="Calibri" w:hAnsi="Arial" w:cs="Arial"/>
          <w:bCs/>
          <w:sz w:val="24"/>
          <w:szCs w:val="24"/>
        </w:rPr>
        <w:t xml:space="preserve"> de </w:t>
      </w:r>
      <w:r w:rsidR="00B85469">
        <w:rPr>
          <w:rFonts w:ascii="Arial" w:eastAsia="Calibri" w:hAnsi="Arial" w:cs="Arial"/>
          <w:bCs/>
          <w:sz w:val="24"/>
          <w:szCs w:val="24"/>
        </w:rPr>
        <w:t>noviembre</w:t>
      </w:r>
      <w:r>
        <w:rPr>
          <w:rFonts w:ascii="Arial" w:eastAsia="Calibri" w:hAnsi="Arial" w:cs="Arial"/>
          <w:bCs/>
          <w:sz w:val="24"/>
          <w:szCs w:val="24"/>
        </w:rPr>
        <w:t xml:space="preserve"> de 202</w:t>
      </w:r>
      <w:r w:rsidR="00B85469">
        <w:rPr>
          <w:rFonts w:ascii="Arial" w:eastAsia="Calibri" w:hAnsi="Arial" w:cs="Arial"/>
          <w:bCs/>
          <w:sz w:val="24"/>
          <w:szCs w:val="24"/>
        </w:rPr>
        <w:t>2</w:t>
      </w:r>
      <w:r w:rsidR="006E4E4D">
        <w:rPr>
          <w:rStyle w:val="Refdenotaalpie"/>
          <w:rFonts w:ascii="Arial" w:eastAsia="Calibri" w:hAnsi="Arial" w:cs="Arial"/>
          <w:bCs/>
          <w:sz w:val="24"/>
          <w:szCs w:val="24"/>
        </w:rPr>
        <w:footnoteReference w:id="17"/>
      </w:r>
      <w:r>
        <w:rPr>
          <w:rFonts w:ascii="Arial" w:eastAsia="Calibri" w:hAnsi="Arial" w:cs="Arial"/>
          <w:bCs/>
          <w:sz w:val="24"/>
          <w:szCs w:val="24"/>
        </w:rPr>
        <w:t xml:space="preserve">. En este orden de ideas, entre la conducta que, </w:t>
      </w:r>
      <w:r w:rsidR="0065627A">
        <w:rPr>
          <w:rFonts w:ascii="Arial" w:eastAsia="Calibri" w:hAnsi="Arial" w:cs="Arial"/>
          <w:bCs/>
          <w:sz w:val="24"/>
          <w:szCs w:val="24"/>
        </w:rPr>
        <w:t>a juicio de Colpensiones</w:t>
      </w:r>
      <w:r>
        <w:rPr>
          <w:rFonts w:ascii="Arial" w:eastAsia="Calibri" w:hAnsi="Arial" w:cs="Arial"/>
          <w:bCs/>
          <w:sz w:val="24"/>
          <w:szCs w:val="24"/>
        </w:rPr>
        <w:t xml:space="preserve">, </w:t>
      </w:r>
      <w:r w:rsidR="0065627A">
        <w:rPr>
          <w:rFonts w:ascii="Arial" w:eastAsia="Calibri" w:hAnsi="Arial" w:cs="Arial"/>
          <w:bCs/>
          <w:sz w:val="24"/>
          <w:szCs w:val="24"/>
        </w:rPr>
        <w:t>vulneró los derechos que invocó en este trámite</w:t>
      </w:r>
      <w:r>
        <w:rPr>
          <w:rFonts w:ascii="Arial" w:eastAsia="Calibri" w:hAnsi="Arial" w:cs="Arial"/>
          <w:bCs/>
          <w:sz w:val="24"/>
          <w:szCs w:val="24"/>
        </w:rPr>
        <w:t xml:space="preserve">, y el ejercicio de la acción de tutela, trascurrieron alrededor de </w:t>
      </w:r>
      <w:r w:rsidR="0065627A">
        <w:rPr>
          <w:rFonts w:ascii="Arial" w:eastAsia="Calibri" w:hAnsi="Arial" w:cs="Arial"/>
          <w:bCs/>
          <w:sz w:val="24"/>
          <w:szCs w:val="24"/>
        </w:rPr>
        <w:t>trece</w:t>
      </w:r>
      <w:r>
        <w:rPr>
          <w:rFonts w:ascii="Arial" w:eastAsia="Calibri" w:hAnsi="Arial" w:cs="Arial"/>
          <w:bCs/>
          <w:sz w:val="24"/>
          <w:szCs w:val="24"/>
        </w:rPr>
        <w:t xml:space="preserve"> años, </w:t>
      </w:r>
      <w:r w:rsidR="0065627A">
        <w:rPr>
          <w:rFonts w:ascii="Arial" w:eastAsia="Calibri" w:hAnsi="Arial" w:cs="Arial"/>
          <w:bCs/>
          <w:sz w:val="24"/>
          <w:szCs w:val="24"/>
        </w:rPr>
        <w:t>tres</w:t>
      </w:r>
      <w:r>
        <w:rPr>
          <w:rFonts w:ascii="Arial" w:eastAsia="Calibri" w:hAnsi="Arial" w:cs="Arial"/>
          <w:bCs/>
          <w:sz w:val="24"/>
          <w:szCs w:val="24"/>
        </w:rPr>
        <w:t xml:space="preserve"> meses y </w:t>
      </w:r>
      <w:r w:rsidR="0065627A">
        <w:rPr>
          <w:rFonts w:ascii="Arial" w:eastAsia="Calibri" w:hAnsi="Arial" w:cs="Arial"/>
          <w:bCs/>
          <w:sz w:val="24"/>
          <w:szCs w:val="24"/>
        </w:rPr>
        <w:t>diecinueve</w:t>
      </w:r>
      <w:r>
        <w:rPr>
          <w:rFonts w:ascii="Arial" w:eastAsia="Calibri" w:hAnsi="Arial" w:cs="Arial"/>
          <w:bCs/>
          <w:sz w:val="24"/>
          <w:szCs w:val="24"/>
        </w:rPr>
        <w:t xml:space="preserve"> días. De esta manera, es claro que, </w:t>
      </w:r>
      <w:r>
        <w:rPr>
          <w:rFonts w:ascii="Arial" w:eastAsia="Calibri" w:hAnsi="Arial" w:cs="Arial"/>
          <w:bCs/>
          <w:i/>
          <w:iCs/>
          <w:sz w:val="24"/>
          <w:szCs w:val="24"/>
        </w:rPr>
        <w:t xml:space="preserve">prima </w:t>
      </w:r>
      <w:r w:rsidRPr="00DF0605">
        <w:rPr>
          <w:rFonts w:ascii="Arial" w:eastAsia="Calibri" w:hAnsi="Arial" w:cs="Arial"/>
          <w:bCs/>
          <w:i/>
          <w:iCs/>
          <w:sz w:val="24"/>
          <w:szCs w:val="24"/>
        </w:rPr>
        <w:t>facie</w:t>
      </w:r>
      <w:r>
        <w:rPr>
          <w:rFonts w:ascii="Arial" w:eastAsia="Calibri" w:hAnsi="Arial" w:cs="Arial"/>
          <w:bCs/>
          <w:sz w:val="24"/>
          <w:szCs w:val="24"/>
        </w:rPr>
        <w:t xml:space="preserve">, </w:t>
      </w:r>
      <w:r w:rsidRPr="00DF0605">
        <w:rPr>
          <w:rFonts w:ascii="Arial" w:eastAsia="Calibri" w:hAnsi="Arial" w:cs="Arial"/>
          <w:bCs/>
          <w:sz w:val="24"/>
          <w:szCs w:val="24"/>
        </w:rPr>
        <w:t>en</w:t>
      </w:r>
      <w:r>
        <w:rPr>
          <w:rFonts w:ascii="Arial" w:eastAsia="Calibri" w:hAnsi="Arial" w:cs="Arial"/>
          <w:bCs/>
          <w:sz w:val="24"/>
          <w:szCs w:val="24"/>
        </w:rPr>
        <w:t xml:space="preserve"> este </w:t>
      </w:r>
      <w:r w:rsidRPr="00E53B7A">
        <w:rPr>
          <w:rFonts w:ascii="Arial" w:eastAsia="Calibri" w:hAnsi="Arial" w:cs="Arial"/>
          <w:bCs/>
          <w:sz w:val="24"/>
          <w:szCs w:val="24"/>
        </w:rPr>
        <w:t>caso</w:t>
      </w:r>
      <w:r>
        <w:rPr>
          <w:rFonts w:ascii="Arial" w:eastAsia="Calibri" w:hAnsi="Arial" w:cs="Arial"/>
          <w:bCs/>
          <w:sz w:val="24"/>
          <w:szCs w:val="24"/>
        </w:rPr>
        <w:t xml:space="preserve"> se superó el plazo razonable para acudir ante el juez constitucional. </w:t>
      </w:r>
    </w:p>
    <w:p w14:paraId="19E17DC5" w14:textId="77777777" w:rsidR="005A4091" w:rsidRPr="00262C81" w:rsidRDefault="005A4091" w:rsidP="005A4091">
      <w:pPr>
        <w:keepNext/>
        <w:widowControl w:val="0"/>
        <w:spacing w:after="240" w:line="240" w:lineRule="auto"/>
        <w:jc w:val="both"/>
        <w:textAlignment w:val="baseline"/>
        <w:rPr>
          <w:rFonts w:ascii="Arial" w:eastAsia="Times New Roman" w:hAnsi="Arial" w:cs="Arial"/>
          <w:sz w:val="24"/>
          <w:szCs w:val="24"/>
          <w:lang w:eastAsia="es-CO"/>
        </w:rPr>
      </w:pPr>
      <w:r w:rsidRPr="00262C81">
        <w:rPr>
          <w:rFonts w:ascii="Arial" w:eastAsia="Times New Roman" w:hAnsi="Arial" w:cs="Arial"/>
          <w:sz w:val="24"/>
          <w:szCs w:val="24"/>
          <w:lang w:eastAsia="es-CO"/>
        </w:rPr>
        <w:t>Ahora bien, la jurisprudencia constitucional ha permitido flexibilizar dicho lapso cuando en el caso concreto, se presenten circunstancias fácticas o situaciones excepcionales que justifiquen la inactividad del accionante para acudir ante el juez de tutela. Algunas de aquellas situaciones son las siguientes: “(i) cuando exista un motivo válido para la inactividad de los accionantes, por ejemplo, el estado de indefensión, interdicción, abandono, minoría de edad, incapacidad física, entre otros; ii) la inactividad injustificada vulnere el núcleo esencial de los derechos de terceros afectados con la decisión; iii) exista un nexo causal entre el ejercicio inoportuno de la acción y la vulneración de los derechos de los interesados; o iv) cuando se demuestre que la vulneración es permanente en el tiempo y que, pese a que el hecho que la originó es muy antiguo respecto de la presentación de la tutela, la situación desfavorable del actor derivada del irrespeto por sus derechos, continúa y es actual”</w:t>
      </w:r>
      <w:r w:rsidRPr="00262C81">
        <w:rPr>
          <w:rFonts w:ascii="Arial" w:eastAsia="Times New Roman" w:hAnsi="Arial" w:cs="Arial"/>
          <w:sz w:val="24"/>
          <w:szCs w:val="24"/>
          <w:vertAlign w:val="superscript"/>
          <w:lang w:eastAsia="es-CO"/>
        </w:rPr>
        <w:footnoteReference w:id="18"/>
      </w:r>
      <w:r w:rsidRPr="00262C81">
        <w:rPr>
          <w:rFonts w:ascii="Arial" w:eastAsia="Times New Roman" w:hAnsi="Arial" w:cs="Arial"/>
          <w:sz w:val="24"/>
          <w:szCs w:val="24"/>
          <w:lang w:eastAsia="es-CO"/>
        </w:rPr>
        <w:t xml:space="preserve">. </w:t>
      </w:r>
    </w:p>
    <w:p w14:paraId="7AA2A94F" w14:textId="4B857207" w:rsidR="005A4091" w:rsidRDefault="005A4091" w:rsidP="00B85469">
      <w:pPr>
        <w:widowControl w:val="0"/>
        <w:spacing w:after="240" w:line="240" w:lineRule="auto"/>
        <w:jc w:val="both"/>
        <w:textAlignment w:val="baseline"/>
        <w:rPr>
          <w:rFonts w:ascii="Arial" w:eastAsia="Times New Roman" w:hAnsi="Arial" w:cs="Arial"/>
          <w:sz w:val="24"/>
          <w:szCs w:val="24"/>
          <w:lang w:eastAsia="es-CO"/>
        </w:rPr>
      </w:pPr>
      <w:r>
        <w:rPr>
          <w:rFonts w:ascii="Arial" w:eastAsia="Times New Roman" w:hAnsi="Arial" w:cs="Arial"/>
          <w:sz w:val="24"/>
          <w:szCs w:val="24"/>
          <w:lang w:eastAsia="es-CO"/>
        </w:rPr>
        <w:t xml:space="preserve">En el caso concreto, </w:t>
      </w:r>
      <w:r w:rsidR="0065627A">
        <w:rPr>
          <w:rFonts w:ascii="Arial" w:eastAsia="Times New Roman" w:hAnsi="Arial" w:cs="Arial"/>
          <w:sz w:val="24"/>
          <w:szCs w:val="24"/>
          <w:lang w:eastAsia="es-CO"/>
        </w:rPr>
        <w:t>Colp</w:t>
      </w:r>
      <w:r w:rsidR="00B85469">
        <w:rPr>
          <w:rFonts w:ascii="Arial" w:eastAsia="Times New Roman" w:hAnsi="Arial" w:cs="Arial"/>
          <w:sz w:val="24"/>
          <w:szCs w:val="24"/>
          <w:lang w:eastAsia="es-CO"/>
        </w:rPr>
        <w:t>en</w:t>
      </w:r>
      <w:r w:rsidR="0065627A">
        <w:rPr>
          <w:rFonts w:ascii="Arial" w:eastAsia="Times New Roman" w:hAnsi="Arial" w:cs="Arial"/>
          <w:sz w:val="24"/>
          <w:szCs w:val="24"/>
          <w:lang w:eastAsia="es-CO"/>
        </w:rPr>
        <w:t>siones</w:t>
      </w:r>
      <w:r w:rsidR="00B85469">
        <w:rPr>
          <w:rFonts w:ascii="Arial" w:eastAsia="Times New Roman" w:hAnsi="Arial" w:cs="Arial"/>
          <w:sz w:val="24"/>
          <w:szCs w:val="24"/>
          <w:lang w:eastAsia="es-CO"/>
        </w:rPr>
        <w:t xml:space="preserve"> manifestó que</w:t>
      </w:r>
      <w:r>
        <w:rPr>
          <w:rFonts w:ascii="Arial" w:eastAsia="Times New Roman" w:hAnsi="Arial" w:cs="Arial"/>
          <w:sz w:val="24"/>
          <w:szCs w:val="24"/>
          <w:lang w:eastAsia="es-CO"/>
        </w:rPr>
        <w:t xml:space="preserve"> la afectación </w:t>
      </w:r>
      <w:r w:rsidR="00B85469">
        <w:rPr>
          <w:rFonts w:ascii="Arial" w:eastAsia="Times New Roman" w:hAnsi="Arial" w:cs="Arial"/>
          <w:sz w:val="24"/>
          <w:szCs w:val="24"/>
          <w:lang w:eastAsia="es-CO"/>
        </w:rPr>
        <w:t>protestada era permanente y actual</w:t>
      </w:r>
      <w:r>
        <w:rPr>
          <w:rFonts w:ascii="Arial" w:eastAsia="Times New Roman" w:hAnsi="Arial" w:cs="Arial"/>
          <w:sz w:val="24"/>
          <w:szCs w:val="24"/>
          <w:lang w:eastAsia="es-CO"/>
        </w:rPr>
        <w:t xml:space="preserve"> en el tiempo</w:t>
      </w:r>
      <w:r w:rsidR="00B85469">
        <w:rPr>
          <w:rFonts w:ascii="Arial" w:eastAsia="Times New Roman" w:hAnsi="Arial" w:cs="Arial"/>
          <w:sz w:val="24"/>
          <w:szCs w:val="24"/>
          <w:lang w:eastAsia="es-CO"/>
        </w:rPr>
        <w:t>, en la medida en que la prestación pensional reconocida a favor del señor Garzón Guzmán es de tracto sucesivo</w:t>
      </w:r>
      <w:r>
        <w:rPr>
          <w:rFonts w:ascii="Arial" w:eastAsia="Times New Roman" w:hAnsi="Arial" w:cs="Arial"/>
          <w:sz w:val="24"/>
          <w:szCs w:val="24"/>
          <w:lang w:eastAsia="es-CO"/>
        </w:rPr>
        <w:t xml:space="preserve">. Al respecto, cabe resaltar que, cuando la afectación de los derechos al debido proceso y al acceso </w:t>
      </w:r>
      <w:r w:rsidR="00B85469">
        <w:rPr>
          <w:rFonts w:ascii="Arial" w:eastAsia="Times New Roman" w:hAnsi="Arial" w:cs="Arial"/>
          <w:sz w:val="24"/>
          <w:szCs w:val="24"/>
          <w:lang w:eastAsia="es-CO"/>
        </w:rPr>
        <w:t>a la administración de justicia</w:t>
      </w:r>
      <w:r>
        <w:rPr>
          <w:rFonts w:ascii="Arial" w:eastAsia="Times New Roman" w:hAnsi="Arial" w:cs="Arial"/>
          <w:sz w:val="24"/>
          <w:szCs w:val="24"/>
          <w:lang w:eastAsia="es-CO"/>
        </w:rPr>
        <w:t xml:space="preserve"> se protesta en relación con acciones u omisiones al interior de un trámite judicial, el juez constitucional debe estudiar la solicitud de amparo a la luz de los defectos que se invoquen en el escrito de tutela, y no en razón a </w:t>
      </w:r>
      <w:r w:rsidR="00B85469">
        <w:rPr>
          <w:rFonts w:ascii="Arial" w:eastAsia="Times New Roman" w:hAnsi="Arial" w:cs="Arial"/>
          <w:sz w:val="24"/>
          <w:szCs w:val="24"/>
          <w:lang w:eastAsia="es-CO"/>
        </w:rPr>
        <w:t>los aspectos litigiosos</w:t>
      </w:r>
      <w:r>
        <w:rPr>
          <w:rFonts w:ascii="Arial" w:eastAsia="Times New Roman" w:hAnsi="Arial" w:cs="Arial"/>
          <w:sz w:val="24"/>
          <w:szCs w:val="24"/>
          <w:lang w:eastAsia="es-CO"/>
        </w:rPr>
        <w:t xml:space="preserve"> del proceso ordinario, pues su intervención no corresponde a una tercera instancia. En este orden de ideas, la evaluación del requisito de inmediatez está definido por el momento en que, supuestamente, se genera la afectación </w:t>
      </w:r>
      <w:proofErr w:type="spellStart"/>
      <w:r>
        <w:rPr>
          <w:rFonts w:ascii="Arial" w:eastAsia="Times New Roman" w:hAnsi="Arial" w:cs="Arial"/>
          <w:i/>
          <w:iCs/>
          <w:sz w:val="24"/>
          <w:szCs w:val="24"/>
          <w:lang w:eastAsia="es-CO"/>
        </w:rPr>
        <w:t>iusfundamental</w:t>
      </w:r>
      <w:proofErr w:type="spellEnd"/>
      <w:r>
        <w:rPr>
          <w:rFonts w:ascii="Arial" w:eastAsia="Times New Roman" w:hAnsi="Arial" w:cs="Arial"/>
          <w:sz w:val="24"/>
          <w:szCs w:val="24"/>
          <w:lang w:eastAsia="es-CO"/>
        </w:rPr>
        <w:t xml:space="preserve">, y que tiene lugar con la decisión a la que se le acusan los defectos. Por tanto, la vulneración de derechos constitucionales puede fijarse en el momento preciso en que la persona solicitante de protección conoce la providencia cuestionada. En el caso, cuando </w:t>
      </w:r>
      <w:r w:rsidR="00B85469">
        <w:rPr>
          <w:rFonts w:ascii="Arial" w:eastAsia="Times New Roman" w:hAnsi="Arial" w:cs="Arial"/>
          <w:sz w:val="24"/>
          <w:szCs w:val="24"/>
          <w:lang w:eastAsia="es-CO"/>
        </w:rPr>
        <w:t xml:space="preserve">el extinto ISS, ahora </w:t>
      </w:r>
      <w:r w:rsidR="00B85469">
        <w:rPr>
          <w:rFonts w:ascii="Arial" w:eastAsia="Calibri" w:hAnsi="Arial" w:cs="Arial"/>
          <w:bCs/>
          <w:sz w:val="24"/>
          <w:szCs w:val="24"/>
          <w:lang w:val="es-ES"/>
        </w:rPr>
        <w:t>Colpensiones,</w:t>
      </w:r>
      <w:r>
        <w:rPr>
          <w:rFonts w:ascii="Arial" w:eastAsia="Times New Roman" w:hAnsi="Arial" w:cs="Arial"/>
          <w:sz w:val="24"/>
          <w:szCs w:val="24"/>
          <w:lang w:eastAsia="es-CO"/>
        </w:rPr>
        <w:t xml:space="preserve"> fue notificad</w:t>
      </w:r>
      <w:r w:rsidR="00B85469">
        <w:rPr>
          <w:rFonts w:ascii="Arial" w:eastAsia="Times New Roman" w:hAnsi="Arial" w:cs="Arial"/>
          <w:sz w:val="24"/>
          <w:szCs w:val="24"/>
          <w:lang w:eastAsia="es-CO"/>
        </w:rPr>
        <w:t>o</w:t>
      </w:r>
      <w:r>
        <w:rPr>
          <w:rFonts w:ascii="Arial" w:eastAsia="Times New Roman" w:hAnsi="Arial" w:cs="Arial"/>
          <w:sz w:val="24"/>
          <w:szCs w:val="24"/>
          <w:lang w:eastAsia="es-CO"/>
        </w:rPr>
        <w:t xml:space="preserve"> de la </w:t>
      </w:r>
      <w:r>
        <w:rPr>
          <w:rFonts w:ascii="Arial" w:eastAsia="Calibri" w:hAnsi="Arial" w:cs="Arial"/>
          <w:sz w:val="24"/>
          <w:szCs w:val="24"/>
          <w:lang w:eastAsia="es-ES_tradnl"/>
        </w:rPr>
        <w:t xml:space="preserve">sentencia del </w:t>
      </w:r>
      <w:r w:rsidR="00B85469">
        <w:rPr>
          <w:rFonts w:ascii="Arial" w:eastAsia="Calibri" w:hAnsi="Arial" w:cs="Arial"/>
          <w:sz w:val="24"/>
          <w:szCs w:val="24"/>
          <w:lang w:eastAsia="es-ES_tradnl"/>
        </w:rPr>
        <w:t>15</w:t>
      </w:r>
      <w:r>
        <w:rPr>
          <w:rFonts w:ascii="Arial" w:eastAsia="Calibri" w:hAnsi="Arial" w:cs="Arial"/>
          <w:sz w:val="24"/>
          <w:szCs w:val="24"/>
          <w:lang w:eastAsia="es-ES_tradnl"/>
        </w:rPr>
        <w:t xml:space="preserve"> de </w:t>
      </w:r>
      <w:r w:rsidR="00B85469">
        <w:rPr>
          <w:rFonts w:ascii="Arial" w:eastAsia="Calibri" w:hAnsi="Arial" w:cs="Arial"/>
          <w:sz w:val="24"/>
          <w:szCs w:val="24"/>
          <w:lang w:eastAsia="es-ES_tradnl"/>
        </w:rPr>
        <w:t>julio de 200</w:t>
      </w:r>
      <w:r>
        <w:rPr>
          <w:rFonts w:ascii="Arial" w:eastAsia="Calibri" w:hAnsi="Arial" w:cs="Arial"/>
          <w:sz w:val="24"/>
          <w:szCs w:val="24"/>
          <w:lang w:eastAsia="es-ES_tradnl"/>
        </w:rPr>
        <w:t xml:space="preserve">9 proferida por el Tribunal Administrativo de </w:t>
      </w:r>
      <w:r w:rsidR="00B85469">
        <w:rPr>
          <w:rFonts w:ascii="Arial" w:eastAsia="Calibri" w:hAnsi="Arial" w:cs="Arial"/>
          <w:sz w:val="24"/>
          <w:szCs w:val="24"/>
          <w:lang w:eastAsia="es-ES_tradnl"/>
        </w:rPr>
        <w:t>Boyacá, a saber, el 29 siguiente</w:t>
      </w:r>
      <w:r w:rsidR="00B102A3">
        <w:rPr>
          <w:rFonts w:ascii="Arial" w:eastAsia="Calibri" w:hAnsi="Arial" w:cs="Arial"/>
          <w:sz w:val="24"/>
          <w:szCs w:val="24"/>
          <w:lang w:eastAsia="es-ES_tradnl"/>
        </w:rPr>
        <w:t xml:space="preserve">. </w:t>
      </w:r>
      <w:r>
        <w:rPr>
          <w:rFonts w:ascii="Arial" w:eastAsia="Times New Roman" w:hAnsi="Arial" w:cs="Arial"/>
          <w:sz w:val="24"/>
          <w:szCs w:val="24"/>
          <w:lang w:eastAsia="es-CO"/>
        </w:rPr>
        <w:t xml:space="preserve">En consecuencia, la Sala no encuentra de recibo el argumento </w:t>
      </w:r>
      <w:r w:rsidR="00B85469">
        <w:rPr>
          <w:rFonts w:ascii="Arial" w:eastAsia="Times New Roman" w:hAnsi="Arial" w:cs="Arial"/>
          <w:sz w:val="24"/>
          <w:szCs w:val="24"/>
          <w:lang w:eastAsia="es-CO"/>
        </w:rPr>
        <w:t>bajo análisis.</w:t>
      </w:r>
    </w:p>
    <w:p w14:paraId="768458D4" w14:textId="1B2EF8AA" w:rsidR="005A4091" w:rsidRDefault="00B85469" w:rsidP="00B85469">
      <w:pPr>
        <w:widowControl w:val="0"/>
        <w:spacing w:after="240" w:line="240" w:lineRule="auto"/>
        <w:jc w:val="both"/>
        <w:textAlignment w:val="baseline"/>
        <w:rPr>
          <w:rStyle w:val="normaltextrun"/>
          <w:rFonts w:ascii="Arial" w:hAnsi="Arial" w:cs="Arial"/>
          <w:sz w:val="24"/>
          <w:szCs w:val="24"/>
        </w:rPr>
      </w:pPr>
      <w:r>
        <w:rPr>
          <w:rStyle w:val="normaltextrun"/>
          <w:rFonts w:ascii="Arial" w:hAnsi="Arial" w:cs="Arial"/>
          <w:sz w:val="24"/>
          <w:szCs w:val="24"/>
        </w:rPr>
        <w:t xml:space="preserve">Ahora bien, la Subsección no pierde de vista que Colpensiones también manifestó que se encontraba en una situación de fuerza mayor causada por el “desorden administrativo” </w:t>
      </w:r>
      <w:r w:rsidR="000A3FC2">
        <w:rPr>
          <w:rStyle w:val="normaltextrun"/>
          <w:rFonts w:ascii="Arial" w:hAnsi="Arial" w:cs="Arial"/>
          <w:sz w:val="24"/>
          <w:szCs w:val="24"/>
        </w:rPr>
        <w:t xml:space="preserve">y por el estado de cosas inconstitucionales que generó la transición del ISS a Colpensiones, </w:t>
      </w:r>
      <w:r w:rsidR="00C34FB3">
        <w:rPr>
          <w:rStyle w:val="normaltextrun"/>
          <w:rFonts w:ascii="Arial" w:hAnsi="Arial" w:cs="Arial"/>
          <w:sz w:val="24"/>
          <w:szCs w:val="24"/>
        </w:rPr>
        <w:t>como</w:t>
      </w:r>
      <w:r w:rsidR="000A3FC2">
        <w:rPr>
          <w:rStyle w:val="normaltextrun"/>
          <w:rFonts w:ascii="Arial" w:hAnsi="Arial" w:cs="Arial"/>
          <w:sz w:val="24"/>
          <w:szCs w:val="24"/>
        </w:rPr>
        <w:t xml:space="preserve"> razón suficiente para flexibilizar el estudio del requisito de inmediatez. Sin embargo, este argumento tampoco es de recibo, pues </w:t>
      </w:r>
      <w:r w:rsidR="008E0657">
        <w:rPr>
          <w:rStyle w:val="normaltextrun"/>
          <w:rFonts w:ascii="Arial" w:hAnsi="Arial" w:cs="Arial"/>
          <w:sz w:val="24"/>
          <w:szCs w:val="24"/>
        </w:rPr>
        <w:t xml:space="preserve">si bien la Corte Constitucional, mediante auto 110 de 2013, verificó la existencia de un estado de cosas inconstitucionales en </w:t>
      </w:r>
      <w:r w:rsidR="00C34FB3">
        <w:rPr>
          <w:rStyle w:val="normaltextrun"/>
          <w:rFonts w:ascii="Arial" w:hAnsi="Arial" w:cs="Arial"/>
          <w:sz w:val="24"/>
          <w:szCs w:val="24"/>
        </w:rPr>
        <w:t>dicha</w:t>
      </w:r>
      <w:r w:rsidR="008E0657">
        <w:rPr>
          <w:rStyle w:val="normaltextrun"/>
          <w:rFonts w:ascii="Arial" w:hAnsi="Arial" w:cs="Arial"/>
          <w:sz w:val="24"/>
          <w:szCs w:val="24"/>
        </w:rPr>
        <w:t xml:space="preserve"> transición, lo cierto es que declaró superada </w:t>
      </w:r>
      <w:r w:rsidR="00C34FB3">
        <w:rPr>
          <w:rStyle w:val="normaltextrun"/>
          <w:rFonts w:ascii="Arial" w:hAnsi="Arial" w:cs="Arial"/>
          <w:sz w:val="24"/>
          <w:szCs w:val="24"/>
        </w:rPr>
        <w:t>tal</w:t>
      </w:r>
      <w:r w:rsidR="008E0657">
        <w:rPr>
          <w:rStyle w:val="normaltextrun"/>
          <w:rFonts w:ascii="Arial" w:hAnsi="Arial" w:cs="Arial"/>
          <w:sz w:val="24"/>
          <w:szCs w:val="24"/>
        </w:rPr>
        <w:t xml:space="preserve"> situación en la sentencia T-774 del 18 de diciembre de 2015, es decir, aproximadamente</w:t>
      </w:r>
      <w:r w:rsidR="00C34FB3">
        <w:rPr>
          <w:rStyle w:val="normaltextrun"/>
          <w:rFonts w:ascii="Arial" w:hAnsi="Arial" w:cs="Arial"/>
          <w:sz w:val="24"/>
          <w:szCs w:val="24"/>
        </w:rPr>
        <w:t xml:space="preserve"> hace</w:t>
      </w:r>
      <w:r w:rsidR="008E0657">
        <w:rPr>
          <w:rStyle w:val="normaltextrun"/>
          <w:rFonts w:ascii="Arial" w:hAnsi="Arial" w:cs="Arial"/>
          <w:sz w:val="24"/>
          <w:szCs w:val="24"/>
        </w:rPr>
        <w:t xml:space="preserve"> 7 años.</w:t>
      </w:r>
    </w:p>
    <w:p w14:paraId="23C26F57" w14:textId="39B7D2D6" w:rsidR="008E0657" w:rsidRDefault="008E0657" w:rsidP="00C34FB3">
      <w:pPr>
        <w:widowControl w:val="0"/>
        <w:spacing w:after="240" w:line="240" w:lineRule="auto"/>
        <w:jc w:val="both"/>
        <w:textAlignment w:val="baseline"/>
        <w:rPr>
          <w:rStyle w:val="normaltextrun"/>
          <w:rFonts w:ascii="Arial" w:hAnsi="Arial" w:cs="Arial"/>
          <w:sz w:val="24"/>
          <w:szCs w:val="24"/>
        </w:rPr>
      </w:pPr>
      <w:r>
        <w:rPr>
          <w:rStyle w:val="normaltextrun"/>
          <w:rFonts w:ascii="Arial" w:hAnsi="Arial" w:cs="Arial"/>
          <w:sz w:val="24"/>
          <w:szCs w:val="24"/>
        </w:rPr>
        <w:t xml:space="preserve">Así las cosas, para la Subsección los argumentos planteados por Colpensiones no son suficientes para flexibilizar el estudio de la inmediatez, </w:t>
      </w:r>
      <w:r w:rsidR="00C34FB3">
        <w:rPr>
          <w:rStyle w:val="normaltextrun"/>
          <w:rFonts w:ascii="Arial" w:hAnsi="Arial" w:cs="Arial"/>
          <w:sz w:val="24"/>
          <w:szCs w:val="24"/>
        </w:rPr>
        <w:t>pues no</w:t>
      </w:r>
      <w:r w:rsidR="00C34FB3" w:rsidRPr="00C34FB3">
        <w:rPr>
          <w:rStyle w:val="normaltextrun"/>
          <w:rFonts w:ascii="Arial" w:hAnsi="Arial" w:cs="Arial"/>
          <w:sz w:val="24"/>
          <w:szCs w:val="24"/>
        </w:rPr>
        <w:t xml:space="preserve"> </w:t>
      </w:r>
      <w:r w:rsidR="00C34FB3">
        <w:rPr>
          <w:rStyle w:val="normaltextrun"/>
          <w:rFonts w:ascii="Arial" w:hAnsi="Arial" w:cs="Arial"/>
          <w:sz w:val="24"/>
          <w:szCs w:val="24"/>
        </w:rPr>
        <w:t xml:space="preserve">demuestran la configuración de una situación o circunstancia especial que justifique su inactividad. Por el contrario, hacen que se pierda el carácter de urgencia de la protección de los derechos invocados. </w:t>
      </w:r>
    </w:p>
    <w:p w14:paraId="28684BC9" w14:textId="0C775AD3" w:rsidR="005A4091" w:rsidRDefault="005A4091" w:rsidP="00B85469">
      <w:pPr>
        <w:widowControl w:val="0"/>
        <w:spacing w:after="240" w:line="240" w:lineRule="auto"/>
        <w:jc w:val="both"/>
        <w:textAlignment w:val="baseline"/>
        <w:rPr>
          <w:rFonts w:ascii="Arial" w:hAnsi="Arial" w:cs="Arial"/>
          <w:sz w:val="24"/>
          <w:szCs w:val="24"/>
        </w:rPr>
      </w:pPr>
      <w:r>
        <w:rPr>
          <w:rFonts w:ascii="Arial" w:hAnsi="Arial" w:cs="Arial"/>
          <w:sz w:val="24"/>
          <w:szCs w:val="24"/>
        </w:rPr>
        <w:t xml:space="preserve">2.2.3. </w:t>
      </w:r>
      <w:r w:rsidR="00C34FB3">
        <w:rPr>
          <w:rFonts w:ascii="Arial" w:hAnsi="Arial" w:cs="Arial"/>
          <w:sz w:val="24"/>
          <w:szCs w:val="24"/>
        </w:rPr>
        <w:t>Frente al</w:t>
      </w:r>
      <w:r w:rsidRPr="005A4091">
        <w:rPr>
          <w:rFonts w:ascii="Arial" w:hAnsi="Arial" w:cs="Arial"/>
          <w:sz w:val="24"/>
          <w:szCs w:val="24"/>
        </w:rPr>
        <w:t xml:space="preserve"> requisito de </w:t>
      </w:r>
      <w:r w:rsidRPr="005A4091">
        <w:rPr>
          <w:rFonts w:ascii="Arial" w:hAnsi="Arial" w:cs="Arial"/>
          <w:b/>
          <w:bCs/>
          <w:sz w:val="24"/>
          <w:szCs w:val="24"/>
        </w:rPr>
        <w:t>subsidiariedad</w:t>
      </w:r>
      <w:r w:rsidRPr="005A4091">
        <w:rPr>
          <w:rFonts w:ascii="Arial" w:hAnsi="Arial" w:cs="Arial"/>
          <w:sz w:val="24"/>
          <w:szCs w:val="24"/>
          <w:vertAlign w:val="superscript"/>
        </w:rPr>
        <w:footnoteReference w:id="19"/>
      </w:r>
      <w:r w:rsidRPr="005A4091">
        <w:rPr>
          <w:rFonts w:ascii="Arial" w:hAnsi="Arial" w:cs="Arial"/>
          <w:sz w:val="24"/>
          <w:szCs w:val="24"/>
        </w:rPr>
        <w:t xml:space="preserve">, </w:t>
      </w:r>
      <w:r w:rsidR="00C34FB3">
        <w:rPr>
          <w:rFonts w:ascii="Arial" w:hAnsi="Arial" w:cs="Arial"/>
          <w:sz w:val="24"/>
          <w:szCs w:val="24"/>
        </w:rPr>
        <w:t xml:space="preserve">cabe resaltar que </w:t>
      </w:r>
      <w:r w:rsidRPr="005A4091">
        <w:rPr>
          <w:rFonts w:ascii="Arial" w:hAnsi="Arial" w:cs="Arial"/>
          <w:sz w:val="24"/>
          <w:szCs w:val="24"/>
        </w:rPr>
        <w:t>el artículo 86 superior establece que el mecanismo de amparo “solo procederá cuando el afectado no disponga de otro medio de defensa judicial, salvo que aquella se utilice como mecanismo transitorio para evitar un perjuicio irremediable”</w:t>
      </w:r>
      <w:r w:rsidRPr="005A4091">
        <w:rPr>
          <w:rFonts w:ascii="Arial" w:hAnsi="Arial" w:cs="Arial"/>
          <w:sz w:val="24"/>
          <w:szCs w:val="24"/>
          <w:vertAlign w:val="superscript"/>
        </w:rPr>
        <w:footnoteReference w:id="20"/>
      </w:r>
      <w:r w:rsidRPr="005A4091">
        <w:rPr>
          <w:rFonts w:ascii="Arial" w:hAnsi="Arial" w:cs="Arial"/>
          <w:sz w:val="24"/>
          <w:szCs w:val="24"/>
        </w:rPr>
        <w:t>. Así mismo, el numeral 1 del artículo 6 del Decreto 2591 de 1991 advierte que “la existencia de dichos medios [judiciales de defensa] será apreciada en concreto, en cuanto a su eficacia, atendiendo las circunstancias en que se encuentra el solicitante”. Ello indica que el juez constitucional deberá verificar que los mecanismos jurisdiccionales con los que cuente una persona sean idóneos para la defensa de sus intereses</w:t>
      </w:r>
      <w:r w:rsidRPr="005A4091">
        <w:rPr>
          <w:rFonts w:ascii="Arial" w:hAnsi="Arial" w:cs="Arial"/>
          <w:sz w:val="24"/>
          <w:szCs w:val="24"/>
          <w:vertAlign w:val="superscript"/>
        </w:rPr>
        <w:footnoteReference w:id="21"/>
      </w:r>
      <w:r w:rsidRPr="005A4091">
        <w:rPr>
          <w:rFonts w:ascii="Arial" w:hAnsi="Arial" w:cs="Arial"/>
          <w:sz w:val="24"/>
          <w:szCs w:val="24"/>
        </w:rPr>
        <w:t>. De lo contrario, la mera existencia de un conducto judicial no será suficiente</w:t>
      </w:r>
      <w:r w:rsidRPr="005A4091">
        <w:rPr>
          <w:rFonts w:ascii="Arial" w:hAnsi="Arial" w:cs="Arial"/>
          <w:sz w:val="24"/>
          <w:szCs w:val="24"/>
          <w:vertAlign w:val="superscript"/>
        </w:rPr>
        <w:footnoteReference w:id="22"/>
      </w:r>
      <w:r w:rsidRPr="005A4091">
        <w:rPr>
          <w:rFonts w:ascii="Arial" w:hAnsi="Arial" w:cs="Arial"/>
          <w:sz w:val="24"/>
          <w:szCs w:val="24"/>
        </w:rPr>
        <w:t>.</w:t>
      </w:r>
    </w:p>
    <w:p w14:paraId="48BB8C96" w14:textId="047B93CE" w:rsidR="001A2977" w:rsidRDefault="00C34FB3" w:rsidP="00B85469">
      <w:pPr>
        <w:widowControl w:val="0"/>
        <w:spacing w:after="240" w:line="240" w:lineRule="auto"/>
        <w:jc w:val="both"/>
        <w:textAlignment w:val="baseline"/>
        <w:rPr>
          <w:rFonts w:ascii="Arial" w:eastAsia="Calibri" w:hAnsi="Arial" w:cs="Arial"/>
          <w:bCs/>
          <w:sz w:val="24"/>
          <w:szCs w:val="24"/>
        </w:rPr>
      </w:pPr>
      <w:r>
        <w:rPr>
          <w:rFonts w:ascii="Arial" w:hAnsi="Arial" w:cs="Arial"/>
          <w:sz w:val="24"/>
          <w:szCs w:val="24"/>
        </w:rPr>
        <w:t>En el caso concreto,</w:t>
      </w:r>
      <w:r w:rsidR="001A2977" w:rsidRPr="001A2977">
        <w:rPr>
          <w:rFonts w:ascii="Arial" w:hAnsi="Arial" w:cs="Arial"/>
          <w:sz w:val="24"/>
          <w:szCs w:val="24"/>
        </w:rPr>
        <w:t xml:space="preserve"> </w:t>
      </w:r>
      <w:r w:rsidR="001A2977">
        <w:rPr>
          <w:rFonts w:ascii="Arial" w:hAnsi="Arial" w:cs="Arial"/>
          <w:sz w:val="24"/>
          <w:szCs w:val="24"/>
        </w:rPr>
        <w:t xml:space="preserve">el Tribunal Administrativo de Boyacá dictó sentencia de primera instancia en el proceso con número de radicado </w:t>
      </w:r>
      <w:r w:rsidR="001A2977" w:rsidRPr="00D86B0C">
        <w:rPr>
          <w:rFonts w:ascii="Arial" w:eastAsia="Calibri" w:hAnsi="Arial" w:cs="Arial"/>
          <w:bCs/>
          <w:sz w:val="24"/>
          <w:szCs w:val="24"/>
        </w:rPr>
        <w:t>15001-23-31-005-2007-00571-00</w:t>
      </w:r>
      <w:r w:rsidR="001A2977">
        <w:rPr>
          <w:rFonts w:ascii="Arial" w:eastAsia="Calibri" w:hAnsi="Arial" w:cs="Arial"/>
          <w:bCs/>
          <w:sz w:val="24"/>
          <w:szCs w:val="24"/>
        </w:rPr>
        <w:t xml:space="preserve">, el 15 de julio de 2009. Al respecto, la Sala destaca que el artículo 181 del Código Contencioso Administrativo establecía </w:t>
      </w:r>
      <w:r w:rsidR="006E4E4D">
        <w:rPr>
          <w:rFonts w:ascii="Arial" w:eastAsia="Calibri" w:hAnsi="Arial" w:cs="Arial"/>
          <w:bCs/>
          <w:sz w:val="24"/>
          <w:szCs w:val="24"/>
        </w:rPr>
        <w:t>la posibilidad de presentar recurso de alzada contra de la sentencias de primera instancia, de la siguiente manera</w:t>
      </w:r>
      <w:r w:rsidR="001A2977">
        <w:rPr>
          <w:rFonts w:ascii="Arial" w:eastAsia="Calibri" w:hAnsi="Arial" w:cs="Arial"/>
          <w:bCs/>
          <w:sz w:val="24"/>
          <w:szCs w:val="24"/>
        </w:rPr>
        <w:t>:</w:t>
      </w:r>
    </w:p>
    <w:p w14:paraId="4DF26212" w14:textId="68CE2910" w:rsidR="001A2977" w:rsidRPr="001A2977" w:rsidRDefault="001A2977" w:rsidP="001A2977">
      <w:pPr>
        <w:widowControl w:val="0"/>
        <w:spacing w:after="240" w:line="240" w:lineRule="auto"/>
        <w:ind w:left="705"/>
        <w:jc w:val="both"/>
        <w:textAlignment w:val="baseline"/>
        <w:rPr>
          <w:rFonts w:ascii="Arial" w:eastAsia="Calibri" w:hAnsi="Arial" w:cs="Arial"/>
          <w:bCs/>
          <w:szCs w:val="24"/>
        </w:rPr>
      </w:pPr>
      <w:r>
        <w:rPr>
          <w:rFonts w:ascii="Arial" w:eastAsia="Calibri" w:hAnsi="Arial" w:cs="Arial"/>
          <w:bCs/>
          <w:szCs w:val="24"/>
        </w:rPr>
        <w:t>“Artículo 181.</w:t>
      </w:r>
      <w:r w:rsidRPr="001A2977">
        <w:rPr>
          <w:rFonts w:ascii="Arial" w:hAnsi="Arial" w:cs="Arial"/>
          <w:color w:val="333333"/>
          <w:sz w:val="25"/>
          <w:szCs w:val="25"/>
          <w:shd w:val="clear" w:color="auto" w:fill="FFFFFF"/>
        </w:rPr>
        <w:t xml:space="preserve"> </w:t>
      </w:r>
      <w:r w:rsidRPr="001A2977">
        <w:rPr>
          <w:rFonts w:ascii="Arial" w:eastAsia="Calibri" w:hAnsi="Arial" w:cs="Arial"/>
          <w:bCs/>
          <w:szCs w:val="24"/>
        </w:rPr>
        <w:t>Son apelables las sentencias de primera instancia de los tribunales de los jueces y los siguientes autos proferidos en la misma instancia por dichos organismos, en pleno o en una de sus secciones o subsecciones, según el caso; o por los jueces administrativos</w:t>
      </w:r>
      <w:r>
        <w:rPr>
          <w:rFonts w:ascii="Arial" w:eastAsia="Calibri" w:hAnsi="Arial" w:cs="Arial"/>
          <w:bCs/>
          <w:szCs w:val="24"/>
        </w:rPr>
        <w:t xml:space="preserve"> (…)”.</w:t>
      </w:r>
    </w:p>
    <w:p w14:paraId="2ED8AF7C" w14:textId="5DCA7EAF" w:rsidR="001A2977" w:rsidRDefault="001A2977" w:rsidP="00B85469">
      <w:pPr>
        <w:widowControl w:val="0"/>
        <w:spacing w:after="240" w:line="240" w:lineRule="auto"/>
        <w:jc w:val="both"/>
        <w:textAlignment w:val="baseline"/>
        <w:rPr>
          <w:rFonts w:ascii="Arial" w:hAnsi="Arial" w:cs="Arial"/>
          <w:sz w:val="24"/>
          <w:szCs w:val="24"/>
        </w:rPr>
      </w:pPr>
      <w:r>
        <w:rPr>
          <w:rFonts w:ascii="Arial" w:eastAsia="Calibri" w:hAnsi="Arial" w:cs="Arial"/>
          <w:bCs/>
          <w:sz w:val="24"/>
          <w:szCs w:val="24"/>
        </w:rPr>
        <w:t xml:space="preserve">En ese sentido, es claro que el </w:t>
      </w:r>
      <w:r>
        <w:rPr>
          <w:rFonts w:ascii="Arial" w:hAnsi="Arial" w:cs="Arial"/>
          <w:sz w:val="24"/>
          <w:szCs w:val="24"/>
        </w:rPr>
        <w:t xml:space="preserve">extinto ISS, ahora Colpensiones, tenía la posibilidad de </w:t>
      </w:r>
      <w:r w:rsidR="006E4E4D">
        <w:rPr>
          <w:rFonts w:ascii="Arial" w:hAnsi="Arial" w:cs="Arial"/>
          <w:sz w:val="24"/>
          <w:szCs w:val="24"/>
        </w:rPr>
        <w:t>recurrir</w:t>
      </w:r>
      <w:r>
        <w:rPr>
          <w:rFonts w:ascii="Arial" w:hAnsi="Arial" w:cs="Arial"/>
          <w:sz w:val="24"/>
          <w:szCs w:val="24"/>
        </w:rPr>
        <w:t xml:space="preserve"> dicha decisión, y poner en conocimiento del juez ordinario los argumentos que planteó en su escrito de tutela. Sin embargo, tal y como quedó consignado en los antecedentes de esta decisión, </w:t>
      </w:r>
      <w:r w:rsidR="006E4E4D">
        <w:rPr>
          <w:rFonts w:ascii="Arial" w:hAnsi="Arial" w:cs="Arial"/>
          <w:sz w:val="24"/>
          <w:szCs w:val="24"/>
        </w:rPr>
        <w:t>la mencionada</w:t>
      </w:r>
      <w:r>
        <w:rPr>
          <w:rFonts w:ascii="Arial" w:hAnsi="Arial" w:cs="Arial"/>
          <w:sz w:val="24"/>
          <w:szCs w:val="24"/>
        </w:rPr>
        <w:t xml:space="preserve"> entidad no utilizó </w:t>
      </w:r>
      <w:r w:rsidR="006E4E4D">
        <w:rPr>
          <w:rFonts w:ascii="Arial" w:hAnsi="Arial" w:cs="Arial"/>
          <w:sz w:val="24"/>
          <w:szCs w:val="24"/>
        </w:rPr>
        <w:t>ese</w:t>
      </w:r>
      <w:r>
        <w:rPr>
          <w:rFonts w:ascii="Arial" w:hAnsi="Arial" w:cs="Arial"/>
          <w:sz w:val="24"/>
          <w:szCs w:val="24"/>
        </w:rPr>
        <w:t xml:space="preserve"> mecanismo, que en el caso era el idóneo y eficaz </w:t>
      </w:r>
      <w:r w:rsidR="006E4E4D">
        <w:rPr>
          <w:rFonts w:ascii="Arial" w:hAnsi="Arial" w:cs="Arial"/>
          <w:sz w:val="24"/>
          <w:szCs w:val="24"/>
        </w:rPr>
        <w:t>para la defensa</w:t>
      </w:r>
      <w:r>
        <w:rPr>
          <w:rFonts w:ascii="Arial" w:hAnsi="Arial" w:cs="Arial"/>
          <w:sz w:val="24"/>
          <w:szCs w:val="24"/>
        </w:rPr>
        <w:t xml:space="preserve"> de los derechos fundamentales que consideró vulnerados por la sentencia cuestionada en este trámite. </w:t>
      </w:r>
      <w:r w:rsidR="0032593E">
        <w:rPr>
          <w:rFonts w:ascii="Arial" w:hAnsi="Arial" w:cs="Arial"/>
          <w:sz w:val="24"/>
          <w:szCs w:val="24"/>
        </w:rPr>
        <w:t>Por esa razón,</w:t>
      </w:r>
      <w:r w:rsidR="008E5181">
        <w:rPr>
          <w:rFonts w:ascii="Arial" w:hAnsi="Arial" w:cs="Arial"/>
          <w:sz w:val="24"/>
          <w:szCs w:val="24"/>
        </w:rPr>
        <w:t xml:space="preserve"> para </w:t>
      </w:r>
      <w:r w:rsidR="0032593E">
        <w:rPr>
          <w:rFonts w:ascii="Arial" w:hAnsi="Arial" w:cs="Arial"/>
          <w:sz w:val="24"/>
          <w:szCs w:val="24"/>
        </w:rPr>
        <w:t>la Subsección la acción de tutela tampoco cumplió con el requisito de subsidiariedad.</w:t>
      </w:r>
    </w:p>
    <w:p w14:paraId="3553892D" w14:textId="1880F6AA" w:rsidR="008E5181" w:rsidRPr="008E5181" w:rsidRDefault="008E5181" w:rsidP="00B85469">
      <w:pPr>
        <w:widowControl w:val="0"/>
        <w:spacing w:after="240" w:line="240" w:lineRule="auto"/>
        <w:jc w:val="both"/>
        <w:textAlignment w:val="baseline"/>
        <w:rPr>
          <w:rFonts w:ascii="Arial" w:hAnsi="Arial" w:cs="Arial"/>
          <w:b/>
          <w:sz w:val="24"/>
          <w:szCs w:val="24"/>
        </w:rPr>
      </w:pPr>
      <w:r>
        <w:rPr>
          <w:rFonts w:ascii="Arial" w:hAnsi="Arial" w:cs="Arial"/>
          <w:b/>
          <w:sz w:val="24"/>
          <w:szCs w:val="24"/>
        </w:rPr>
        <w:t>2.3. Conclusión</w:t>
      </w:r>
    </w:p>
    <w:p w14:paraId="77837854" w14:textId="46E1BC5A" w:rsidR="00C64737" w:rsidRPr="00622A7F" w:rsidRDefault="00C64737" w:rsidP="00C64737">
      <w:pPr>
        <w:widowControl w:val="0"/>
        <w:spacing w:after="240" w:line="240" w:lineRule="auto"/>
        <w:jc w:val="both"/>
        <w:textAlignment w:val="baseline"/>
        <w:rPr>
          <w:rFonts w:ascii="Arial" w:hAnsi="Arial" w:cs="Arial"/>
          <w:sz w:val="24"/>
          <w:szCs w:val="24"/>
        </w:rPr>
      </w:pPr>
      <w:r>
        <w:rPr>
          <w:rFonts w:ascii="Arial" w:hAnsi="Arial" w:cs="Arial"/>
          <w:sz w:val="24"/>
          <w:szCs w:val="24"/>
        </w:rPr>
        <w:t>Así las cosas, en la medida en que en el presente caso no se cumplió con l</w:t>
      </w:r>
      <w:r w:rsidR="00B102A3">
        <w:rPr>
          <w:rFonts w:ascii="Arial" w:hAnsi="Arial" w:cs="Arial"/>
          <w:sz w:val="24"/>
          <w:szCs w:val="24"/>
        </w:rPr>
        <w:t>os</w:t>
      </w:r>
      <w:r>
        <w:rPr>
          <w:rFonts w:ascii="Arial" w:hAnsi="Arial" w:cs="Arial"/>
          <w:sz w:val="24"/>
          <w:szCs w:val="24"/>
        </w:rPr>
        <w:t xml:space="preserve"> requisito</w:t>
      </w:r>
      <w:r w:rsidR="00B102A3">
        <w:rPr>
          <w:rFonts w:ascii="Arial" w:hAnsi="Arial" w:cs="Arial"/>
          <w:sz w:val="24"/>
          <w:szCs w:val="24"/>
        </w:rPr>
        <w:t>s</w:t>
      </w:r>
      <w:bookmarkStart w:id="0" w:name="_GoBack"/>
      <w:bookmarkEnd w:id="0"/>
      <w:r>
        <w:rPr>
          <w:rFonts w:ascii="Arial" w:hAnsi="Arial" w:cs="Arial"/>
          <w:sz w:val="24"/>
          <w:szCs w:val="24"/>
        </w:rPr>
        <w:t xml:space="preserve"> de </w:t>
      </w:r>
      <w:r w:rsidR="008E5181">
        <w:rPr>
          <w:rFonts w:ascii="Arial" w:hAnsi="Arial" w:cs="Arial"/>
          <w:sz w:val="24"/>
          <w:szCs w:val="24"/>
        </w:rPr>
        <w:t xml:space="preserve">subsidiariedad e </w:t>
      </w:r>
      <w:r>
        <w:rPr>
          <w:rFonts w:ascii="Arial" w:hAnsi="Arial" w:cs="Arial"/>
          <w:sz w:val="24"/>
          <w:szCs w:val="24"/>
        </w:rPr>
        <w:t>inmediatez</w:t>
      </w:r>
      <w:r w:rsidR="008E5181">
        <w:rPr>
          <w:rFonts w:ascii="Arial" w:hAnsi="Arial" w:cs="Arial"/>
          <w:sz w:val="24"/>
          <w:szCs w:val="24"/>
        </w:rPr>
        <w:t xml:space="preserve">, y no </w:t>
      </w:r>
      <w:r>
        <w:rPr>
          <w:rFonts w:ascii="Arial" w:hAnsi="Arial" w:cs="Arial"/>
          <w:sz w:val="24"/>
          <w:szCs w:val="24"/>
        </w:rPr>
        <w:t>se advirtieron situaciones excepcionales que permitan flexibilizar su estudio,</w:t>
      </w:r>
      <w:r w:rsidR="008E5181">
        <w:rPr>
          <w:rFonts w:ascii="Arial" w:hAnsi="Arial" w:cs="Arial"/>
          <w:sz w:val="24"/>
          <w:szCs w:val="24"/>
        </w:rPr>
        <w:t xml:space="preserve"> </w:t>
      </w:r>
      <w:r>
        <w:rPr>
          <w:rFonts w:ascii="Arial" w:hAnsi="Arial" w:cs="Arial"/>
          <w:sz w:val="24"/>
          <w:szCs w:val="24"/>
        </w:rPr>
        <w:t>la Sala declarará la impro</w:t>
      </w:r>
      <w:r w:rsidR="008E5181">
        <w:rPr>
          <w:rFonts w:ascii="Arial" w:hAnsi="Arial" w:cs="Arial"/>
          <w:sz w:val="24"/>
          <w:szCs w:val="24"/>
        </w:rPr>
        <w:t>cedencia de la acción de tutela instaurada por la Administradora Colombiana de Pensiones – Colpensiones en contra del Tribunal Administrativo de Boyacá.</w:t>
      </w:r>
    </w:p>
    <w:p w14:paraId="09AC1DF0" w14:textId="77777777" w:rsidR="00C64737" w:rsidRPr="00DD0B06" w:rsidRDefault="00C64737" w:rsidP="008E5181">
      <w:pPr>
        <w:keepNext/>
        <w:spacing w:after="240" w:line="240" w:lineRule="auto"/>
        <w:jc w:val="center"/>
        <w:textAlignment w:val="baseline"/>
        <w:rPr>
          <w:rFonts w:ascii="Arial" w:eastAsia="Calibri" w:hAnsi="Arial" w:cs="Arial"/>
          <w:b/>
          <w:bCs/>
          <w:sz w:val="24"/>
          <w:szCs w:val="24"/>
          <w:shd w:val="clear" w:color="auto" w:fill="FFFFFF"/>
          <w:lang w:eastAsia="es-ES_tradnl"/>
        </w:rPr>
      </w:pPr>
      <w:r w:rsidRPr="00DD0B06">
        <w:rPr>
          <w:rFonts w:ascii="Arial" w:eastAsia="Calibri" w:hAnsi="Arial" w:cs="Arial"/>
          <w:b/>
          <w:bCs/>
          <w:sz w:val="24"/>
          <w:szCs w:val="24"/>
          <w:shd w:val="clear" w:color="auto" w:fill="FFFFFF"/>
          <w:lang w:eastAsia="es-ES_tradnl"/>
        </w:rPr>
        <w:t>III. DECISIÓN</w:t>
      </w:r>
    </w:p>
    <w:p w14:paraId="2B053790" w14:textId="77777777" w:rsidR="00C64737" w:rsidRPr="008E38DF" w:rsidRDefault="00C64737" w:rsidP="008E5181">
      <w:pPr>
        <w:keepNext/>
        <w:spacing w:after="240" w:line="240" w:lineRule="auto"/>
        <w:jc w:val="both"/>
        <w:textAlignment w:val="baseline"/>
        <w:rPr>
          <w:rFonts w:ascii="Arial" w:eastAsia="Calibri" w:hAnsi="Arial" w:cs="Arial"/>
          <w:sz w:val="24"/>
          <w:szCs w:val="24"/>
          <w:shd w:val="clear" w:color="auto" w:fill="FFFFFF"/>
          <w:lang w:eastAsia="es-ES_tradnl"/>
        </w:rPr>
      </w:pPr>
      <w:r w:rsidRPr="00DD0B06">
        <w:rPr>
          <w:rFonts w:ascii="Arial" w:eastAsia="Calibri" w:hAnsi="Arial" w:cs="Arial"/>
          <w:sz w:val="24"/>
          <w:szCs w:val="24"/>
          <w:shd w:val="clear" w:color="auto" w:fill="FFFFFF"/>
          <w:lang w:eastAsia="es-ES_tradnl"/>
        </w:rPr>
        <w:t>En mérito de lo expuesto, el Consejo de Estado, Sala de lo Contencioso Administrativo, Sección Tercera, Subsección C, administrando justicia en nombre de la República y por autoridad de la ley, </w:t>
      </w:r>
    </w:p>
    <w:p w14:paraId="02314BB5" w14:textId="77777777" w:rsidR="00C64737" w:rsidRPr="00DD0B06" w:rsidRDefault="00C64737" w:rsidP="008E5181">
      <w:pPr>
        <w:keepNext/>
        <w:spacing w:before="240" w:after="240" w:line="240" w:lineRule="auto"/>
        <w:jc w:val="center"/>
        <w:textAlignment w:val="baseline"/>
        <w:rPr>
          <w:rFonts w:ascii="Arial" w:eastAsia="Calibri" w:hAnsi="Arial" w:cs="Arial"/>
          <w:b/>
          <w:bCs/>
          <w:sz w:val="24"/>
          <w:szCs w:val="24"/>
          <w:shd w:val="clear" w:color="auto" w:fill="FFFFFF"/>
          <w:lang w:eastAsia="es-ES_tradnl"/>
        </w:rPr>
      </w:pPr>
      <w:r>
        <w:rPr>
          <w:rFonts w:ascii="Arial" w:eastAsia="Calibri" w:hAnsi="Arial" w:cs="Arial"/>
          <w:b/>
          <w:bCs/>
          <w:sz w:val="24"/>
          <w:szCs w:val="24"/>
          <w:shd w:val="clear" w:color="auto" w:fill="FFFFFF"/>
          <w:lang w:eastAsia="es-ES_tradnl"/>
        </w:rPr>
        <w:t>RESUELVE</w:t>
      </w:r>
    </w:p>
    <w:p w14:paraId="383221AA" w14:textId="3898D648" w:rsidR="00C64737" w:rsidRPr="00FA222C" w:rsidRDefault="00C64737" w:rsidP="008E5181">
      <w:pPr>
        <w:keepNext/>
        <w:spacing w:before="240" w:after="240" w:line="240" w:lineRule="auto"/>
        <w:jc w:val="both"/>
        <w:textAlignment w:val="baseline"/>
        <w:rPr>
          <w:rFonts w:ascii="Arial" w:eastAsia="Calibri" w:hAnsi="Arial" w:cs="Arial"/>
          <w:sz w:val="24"/>
          <w:szCs w:val="24"/>
          <w:shd w:val="clear" w:color="auto" w:fill="FFFFFF"/>
          <w:lang w:eastAsia="es-ES_tradnl"/>
        </w:rPr>
      </w:pPr>
      <w:r w:rsidRPr="00DD0B06">
        <w:rPr>
          <w:rFonts w:ascii="Arial" w:eastAsia="Calibri" w:hAnsi="Arial" w:cs="Arial"/>
          <w:b/>
          <w:bCs/>
          <w:sz w:val="24"/>
          <w:szCs w:val="24"/>
          <w:shd w:val="clear" w:color="auto" w:fill="FFFFFF"/>
          <w:lang w:eastAsia="es-ES_tradnl"/>
        </w:rPr>
        <w:t>PRIMERO</w:t>
      </w:r>
      <w:r>
        <w:rPr>
          <w:rFonts w:ascii="Arial" w:eastAsia="Calibri" w:hAnsi="Arial" w:cs="Arial"/>
          <w:b/>
          <w:bCs/>
          <w:sz w:val="24"/>
          <w:szCs w:val="24"/>
          <w:shd w:val="clear" w:color="auto" w:fill="FFFFFF"/>
          <w:lang w:eastAsia="es-ES_tradnl"/>
        </w:rPr>
        <w:t>.</w:t>
      </w:r>
      <w:r w:rsidRPr="00DD0B06">
        <w:rPr>
          <w:rFonts w:ascii="Arial" w:eastAsia="Calibri" w:hAnsi="Arial" w:cs="Arial"/>
          <w:b/>
          <w:bCs/>
          <w:sz w:val="24"/>
          <w:szCs w:val="24"/>
          <w:shd w:val="clear" w:color="auto" w:fill="FFFFFF"/>
          <w:lang w:eastAsia="es-ES_tradnl"/>
        </w:rPr>
        <w:t xml:space="preserve"> </w:t>
      </w:r>
      <w:r w:rsidR="00E60C3C">
        <w:rPr>
          <w:rFonts w:ascii="Arial" w:eastAsia="Calibri" w:hAnsi="Arial" w:cs="Arial"/>
          <w:b/>
          <w:bCs/>
          <w:sz w:val="24"/>
          <w:szCs w:val="24"/>
          <w:shd w:val="clear" w:color="auto" w:fill="FFFFFF"/>
          <w:lang w:eastAsia="es-ES_tradnl"/>
        </w:rPr>
        <w:t xml:space="preserve">DECLARAR </w:t>
      </w:r>
      <w:r w:rsidR="00E60C3C">
        <w:rPr>
          <w:rFonts w:ascii="Arial" w:eastAsia="Calibri" w:hAnsi="Arial" w:cs="Arial"/>
          <w:sz w:val="24"/>
          <w:szCs w:val="24"/>
          <w:shd w:val="clear" w:color="auto" w:fill="FFFFFF"/>
          <w:lang w:eastAsia="es-ES_tradnl"/>
        </w:rPr>
        <w:t>la improcedencia de</w:t>
      </w:r>
      <w:r w:rsidR="00E60C3C">
        <w:rPr>
          <w:rFonts w:ascii="Arial" w:eastAsia="Calibri" w:hAnsi="Arial" w:cs="Arial"/>
          <w:b/>
          <w:bCs/>
          <w:sz w:val="24"/>
          <w:szCs w:val="24"/>
          <w:shd w:val="clear" w:color="auto" w:fill="FFFFFF"/>
          <w:lang w:eastAsia="es-ES_tradnl"/>
        </w:rPr>
        <w:t xml:space="preserve"> </w:t>
      </w:r>
      <w:r w:rsidR="00E60C3C">
        <w:rPr>
          <w:rFonts w:ascii="Arial" w:eastAsia="Calibri" w:hAnsi="Arial" w:cs="Arial"/>
          <w:sz w:val="24"/>
          <w:szCs w:val="24"/>
          <w:shd w:val="clear" w:color="auto" w:fill="FFFFFF"/>
          <w:lang w:eastAsia="es-ES_tradnl"/>
        </w:rPr>
        <w:t>la acción de tutela,</w:t>
      </w:r>
      <w:r w:rsidR="00E60C3C" w:rsidRPr="00DD0B06">
        <w:rPr>
          <w:rFonts w:ascii="Arial" w:eastAsia="Calibri" w:hAnsi="Arial" w:cs="Arial"/>
          <w:sz w:val="24"/>
          <w:szCs w:val="24"/>
          <w:shd w:val="clear" w:color="auto" w:fill="FFFFFF"/>
          <w:lang w:eastAsia="es-ES_tradnl"/>
        </w:rPr>
        <w:t xml:space="preserve"> por las razones expuestas en la parte considerativa de este proveído.</w:t>
      </w:r>
    </w:p>
    <w:p w14:paraId="76425877" w14:textId="25A3A6A4" w:rsidR="00C64737" w:rsidRPr="00DD0B06" w:rsidRDefault="00C64737" w:rsidP="00C64737">
      <w:pPr>
        <w:spacing w:before="240" w:after="240" w:line="240" w:lineRule="auto"/>
        <w:jc w:val="both"/>
        <w:textAlignment w:val="baseline"/>
        <w:rPr>
          <w:rFonts w:ascii="Arial" w:eastAsia="Calibri" w:hAnsi="Arial" w:cs="Arial"/>
          <w:sz w:val="24"/>
          <w:szCs w:val="24"/>
          <w:shd w:val="clear" w:color="auto" w:fill="FFFFFF"/>
          <w:lang w:eastAsia="es-ES_tradnl"/>
        </w:rPr>
      </w:pPr>
      <w:r w:rsidRPr="00DD0B06">
        <w:rPr>
          <w:rFonts w:ascii="Arial" w:eastAsia="Calibri" w:hAnsi="Arial" w:cs="Arial"/>
          <w:b/>
          <w:bCs/>
          <w:sz w:val="24"/>
          <w:szCs w:val="24"/>
          <w:shd w:val="clear" w:color="auto" w:fill="FFFFFF"/>
          <w:lang w:eastAsia="es-ES_tradnl"/>
        </w:rPr>
        <w:t>SEGUNDO</w:t>
      </w:r>
      <w:r>
        <w:rPr>
          <w:rFonts w:ascii="Arial" w:eastAsia="Calibri" w:hAnsi="Arial" w:cs="Arial"/>
          <w:b/>
          <w:bCs/>
          <w:sz w:val="24"/>
          <w:szCs w:val="24"/>
          <w:shd w:val="clear" w:color="auto" w:fill="FFFFFF"/>
          <w:lang w:eastAsia="es-ES_tradnl"/>
        </w:rPr>
        <w:t xml:space="preserve">. </w:t>
      </w:r>
      <w:r w:rsidR="00E60C3C" w:rsidRPr="00DD0B06">
        <w:rPr>
          <w:rFonts w:ascii="Arial" w:eastAsia="Calibri" w:hAnsi="Arial" w:cs="Arial"/>
          <w:b/>
          <w:bCs/>
          <w:sz w:val="24"/>
          <w:szCs w:val="24"/>
          <w:shd w:val="clear" w:color="auto" w:fill="FFFFFF"/>
          <w:lang w:eastAsia="es-ES_tradnl"/>
        </w:rPr>
        <w:t xml:space="preserve">NOTIFICAR </w:t>
      </w:r>
      <w:r w:rsidR="00E60C3C" w:rsidRPr="00DD0B06">
        <w:rPr>
          <w:rFonts w:ascii="Arial" w:eastAsia="Calibri" w:hAnsi="Arial" w:cs="Arial"/>
          <w:sz w:val="24"/>
          <w:szCs w:val="24"/>
          <w:shd w:val="clear" w:color="auto" w:fill="FFFFFF"/>
          <w:lang w:eastAsia="es-ES_tradnl"/>
        </w:rPr>
        <w:t>la presente decisión a las partes por el medio más expedito.</w:t>
      </w:r>
    </w:p>
    <w:p w14:paraId="274EF80E" w14:textId="6124CE11" w:rsidR="00C64737" w:rsidRPr="00E60C3C" w:rsidRDefault="00C64737" w:rsidP="00E60C3C">
      <w:pPr>
        <w:spacing w:after="240" w:line="240" w:lineRule="auto"/>
        <w:jc w:val="both"/>
        <w:textAlignment w:val="baseline"/>
        <w:rPr>
          <w:rFonts w:ascii="Arial" w:eastAsia="Calibri" w:hAnsi="Arial" w:cs="Arial"/>
          <w:sz w:val="24"/>
          <w:szCs w:val="24"/>
          <w:shd w:val="clear" w:color="auto" w:fill="FFFFFF"/>
          <w:lang w:eastAsia="es-ES_tradnl"/>
        </w:rPr>
      </w:pPr>
      <w:r w:rsidRPr="00DD0B06">
        <w:rPr>
          <w:rFonts w:ascii="Arial" w:eastAsia="Calibri" w:hAnsi="Arial" w:cs="Arial"/>
          <w:b/>
          <w:bCs/>
          <w:sz w:val="24"/>
          <w:szCs w:val="24"/>
          <w:shd w:val="clear" w:color="auto" w:fill="FFFFFF"/>
          <w:lang w:eastAsia="es-ES_tradnl"/>
        </w:rPr>
        <w:t>TERCERO</w:t>
      </w:r>
      <w:r>
        <w:rPr>
          <w:rFonts w:ascii="Arial" w:eastAsia="Calibri" w:hAnsi="Arial" w:cs="Arial"/>
          <w:b/>
          <w:bCs/>
          <w:sz w:val="24"/>
          <w:szCs w:val="24"/>
          <w:shd w:val="clear" w:color="auto" w:fill="FFFFFF"/>
          <w:lang w:eastAsia="es-ES_tradnl"/>
        </w:rPr>
        <w:t>.</w:t>
      </w:r>
      <w:r w:rsidRPr="00DD0B06">
        <w:rPr>
          <w:rFonts w:ascii="Arial" w:eastAsia="Calibri" w:hAnsi="Arial" w:cs="Arial"/>
          <w:b/>
          <w:bCs/>
          <w:sz w:val="24"/>
          <w:szCs w:val="24"/>
          <w:shd w:val="clear" w:color="auto" w:fill="FFFFFF"/>
          <w:lang w:eastAsia="es-ES_tradnl"/>
        </w:rPr>
        <w:t xml:space="preserve"> </w:t>
      </w:r>
      <w:r w:rsidR="00E60C3C" w:rsidRPr="00DD0B06">
        <w:rPr>
          <w:rFonts w:ascii="Arial" w:eastAsia="Calibri" w:hAnsi="Arial" w:cs="Arial"/>
          <w:b/>
          <w:bCs/>
          <w:sz w:val="24"/>
          <w:szCs w:val="24"/>
          <w:shd w:val="clear" w:color="auto" w:fill="FFFFFF"/>
          <w:lang w:eastAsia="es-ES_tradnl"/>
        </w:rPr>
        <w:t xml:space="preserve">ENVIAR </w:t>
      </w:r>
      <w:r w:rsidR="00E60C3C" w:rsidRPr="00DD0B06">
        <w:rPr>
          <w:rFonts w:ascii="Arial" w:eastAsia="Calibri" w:hAnsi="Arial" w:cs="Arial"/>
          <w:sz w:val="24"/>
          <w:szCs w:val="24"/>
          <w:shd w:val="clear" w:color="auto" w:fill="FFFFFF"/>
          <w:lang w:eastAsia="es-ES_tradnl"/>
        </w:rPr>
        <w:t>la presente providencia a la Corte Constitucional para su eventual revisión</w:t>
      </w:r>
      <w:r w:rsidR="00E60C3C">
        <w:rPr>
          <w:rFonts w:ascii="Arial" w:eastAsia="Calibri" w:hAnsi="Arial" w:cs="Arial"/>
          <w:sz w:val="24"/>
          <w:szCs w:val="24"/>
          <w:shd w:val="clear" w:color="auto" w:fill="FFFFFF"/>
          <w:lang w:eastAsia="es-ES_tradnl"/>
        </w:rPr>
        <w:t>, en caso de que no sea impugnada.</w:t>
      </w:r>
    </w:p>
    <w:p w14:paraId="585B5D84" w14:textId="59C0F748" w:rsidR="00C64737" w:rsidRPr="005E0AF0" w:rsidRDefault="00C64737" w:rsidP="00C64737">
      <w:pPr>
        <w:spacing w:after="0" w:line="240" w:lineRule="auto"/>
        <w:jc w:val="both"/>
        <w:textAlignment w:val="baseline"/>
        <w:rPr>
          <w:rFonts w:ascii="Arial" w:eastAsia="Calibri" w:hAnsi="Arial" w:cs="Arial"/>
          <w:b/>
          <w:bCs/>
          <w:color w:val="000000"/>
          <w:sz w:val="24"/>
          <w:szCs w:val="24"/>
          <w:shd w:val="clear" w:color="auto" w:fill="FFFFFF"/>
          <w:lang w:eastAsia="es-ES_tradnl"/>
        </w:rPr>
      </w:pPr>
      <w:r w:rsidRPr="005E0AF0">
        <w:rPr>
          <w:rFonts w:ascii="Arial" w:eastAsia="Calibri" w:hAnsi="Arial" w:cs="Arial"/>
          <w:b/>
          <w:bCs/>
          <w:color w:val="000000"/>
          <w:sz w:val="24"/>
          <w:szCs w:val="24"/>
          <w:shd w:val="clear" w:color="auto" w:fill="FFFFFF"/>
          <w:lang w:eastAsia="es-ES_tradnl"/>
        </w:rPr>
        <w:t>Notifíquese y cúmplase</w:t>
      </w:r>
      <w:r w:rsidR="00E60C3C">
        <w:rPr>
          <w:rFonts w:ascii="Arial" w:eastAsia="Calibri" w:hAnsi="Arial" w:cs="Arial"/>
          <w:b/>
          <w:bCs/>
          <w:color w:val="000000"/>
          <w:sz w:val="24"/>
          <w:szCs w:val="24"/>
          <w:shd w:val="clear" w:color="auto" w:fill="FFFFFF"/>
          <w:lang w:eastAsia="es-ES_tradnl"/>
        </w:rPr>
        <w:t>,</w:t>
      </w:r>
    </w:p>
    <w:p w14:paraId="441F6AB8" w14:textId="77777777" w:rsidR="00C64737" w:rsidRDefault="00C64737" w:rsidP="00C64737">
      <w:pPr>
        <w:spacing w:after="0" w:line="240" w:lineRule="auto"/>
        <w:textAlignment w:val="baseline"/>
        <w:rPr>
          <w:rFonts w:ascii="Arial" w:eastAsia="Calibri" w:hAnsi="Arial" w:cs="Arial"/>
          <w:b/>
          <w:bCs/>
          <w:color w:val="000000"/>
          <w:sz w:val="24"/>
          <w:szCs w:val="24"/>
          <w:shd w:val="clear" w:color="auto" w:fill="FFFFFF"/>
          <w:lang w:eastAsia="es-ES_tradnl"/>
        </w:rPr>
      </w:pPr>
    </w:p>
    <w:p w14:paraId="044DDF8D" w14:textId="77777777" w:rsidR="00C64737" w:rsidRPr="005E0AF0" w:rsidRDefault="00C64737" w:rsidP="00C64737">
      <w:pPr>
        <w:spacing w:after="0" w:line="240" w:lineRule="auto"/>
        <w:textAlignment w:val="baseline"/>
        <w:rPr>
          <w:rFonts w:ascii="Arial" w:eastAsia="Calibri" w:hAnsi="Arial" w:cs="Arial"/>
          <w:b/>
          <w:bCs/>
          <w:color w:val="000000"/>
          <w:sz w:val="24"/>
          <w:szCs w:val="24"/>
          <w:shd w:val="clear" w:color="auto" w:fill="FFFFFF"/>
          <w:lang w:eastAsia="es-ES_tradnl"/>
        </w:rPr>
      </w:pPr>
    </w:p>
    <w:p w14:paraId="1D534635" w14:textId="77777777" w:rsidR="003D4CDA" w:rsidRPr="005E0AF0" w:rsidRDefault="003D4CDA" w:rsidP="003D4CDA">
      <w:pPr>
        <w:spacing w:after="0" w:line="240" w:lineRule="auto"/>
        <w:jc w:val="center"/>
        <w:textAlignment w:val="baseline"/>
        <w:rPr>
          <w:rFonts w:ascii="Arial" w:eastAsia="Calibri" w:hAnsi="Arial" w:cs="Arial"/>
          <w:b/>
          <w:bCs/>
          <w:color w:val="000000"/>
          <w:sz w:val="24"/>
          <w:szCs w:val="24"/>
          <w:shd w:val="clear" w:color="auto" w:fill="FFFFFF"/>
          <w:lang w:eastAsia="es-ES_tradnl"/>
        </w:rPr>
      </w:pPr>
      <w:r w:rsidRPr="005E0AF0">
        <w:rPr>
          <w:rFonts w:ascii="Arial" w:eastAsia="Calibri" w:hAnsi="Arial" w:cs="Arial"/>
          <w:b/>
          <w:bCs/>
          <w:color w:val="000000"/>
          <w:sz w:val="24"/>
          <w:szCs w:val="24"/>
          <w:shd w:val="clear" w:color="auto" w:fill="FFFFFF"/>
          <w:lang w:eastAsia="es-ES_tradnl"/>
        </w:rPr>
        <w:t>NICOLAS YEPES CORRALES</w:t>
      </w:r>
    </w:p>
    <w:p w14:paraId="22315410" w14:textId="77777777" w:rsidR="00C64737" w:rsidRDefault="00C64737" w:rsidP="00C64737">
      <w:pPr>
        <w:spacing w:after="0" w:line="240" w:lineRule="auto"/>
        <w:jc w:val="center"/>
        <w:textAlignment w:val="baseline"/>
        <w:rPr>
          <w:rFonts w:ascii="Arial" w:eastAsia="Calibri" w:hAnsi="Arial" w:cs="Arial"/>
          <w:b/>
          <w:bCs/>
          <w:color w:val="000000"/>
          <w:sz w:val="24"/>
          <w:szCs w:val="24"/>
          <w:shd w:val="clear" w:color="auto" w:fill="FFFFFF"/>
          <w:lang w:eastAsia="es-ES_tradnl"/>
        </w:rPr>
      </w:pPr>
      <w:r w:rsidRPr="005E0AF0">
        <w:rPr>
          <w:rFonts w:ascii="Arial" w:eastAsia="Calibri" w:hAnsi="Arial" w:cs="Arial"/>
          <w:b/>
          <w:bCs/>
          <w:color w:val="000000"/>
          <w:sz w:val="24"/>
          <w:szCs w:val="24"/>
          <w:shd w:val="clear" w:color="auto" w:fill="FFFFFF"/>
          <w:lang w:eastAsia="es-ES_tradnl"/>
        </w:rPr>
        <w:t>Presidente de Sala</w:t>
      </w:r>
    </w:p>
    <w:p w14:paraId="5972A408" w14:textId="77777777" w:rsidR="00C64737" w:rsidRPr="005E0AF0" w:rsidRDefault="00C64737" w:rsidP="00C64737">
      <w:pPr>
        <w:spacing w:after="0" w:line="240" w:lineRule="auto"/>
        <w:jc w:val="center"/>
        <w:textAlignment w:val="baseline"/>
        <w:rPr>
          <w:rFonts w:ascii="Arial" w:eastAsia="Calibri" w:hAnsi="Arial" w:cs="Arial"/>
          <w:b/>
          <w:bCs/>
          <w:color w:val="000000"/>
          <w:sz w:val="24"/>
          <w:szCs w:val="24"/>
          <w:shd w:val="clear" w:color="auto" w:fill="FFFFFF"/>
          <w:lang w:eastAsia="es-ES_tradnl"/>
        </w:rPr>
      </w:pPr>
    </w:p>
    <w:p w14:paraId="1E0BA5EB" w14:textId="77777777" w:rsidR="00C64737" w:rsidRPr="005E0AF0" w:rsidRDefault="00C64737" w:rsidP="00C64737">
      <w:pPr>
        <w:spacing w:after="0" w:line="240" w:lineRule="auto"/>
        <w:textAlignment w:val="baseline"/>
        <w:rPr>
          <w:rFonts w:ascii="Arial" w:eastAsia="Calibri" w:hAnsi="Arial" w:cs="Arial"/>
          <w:b/>
          <w:bCs/>
          <w:color w:val="000000"/>
          <w:sz w:val="24"/>
          <w:szCs w:val="24"/>
          <w:shd w:val="clear" w:color="auto" w:fill="FFFFFF"/>
          <w:lang w:eastAsia="es-ES_tradnl"/>
        </w:rPr>
      </w:pPr>
    </w:p>
    <w:p w14:paraId="7C54C440" w14:textId="77777777" w:rsidR="003D4CDA" w:rsidRPr="005E0AF0" w:rsidRDefault="003D4CDA" w:rsidP="003D4CDA">
      <w:pPr>
        <w:spacing w:after="0" w:line="240" w:lineRule="auto"/>
        <w:jc w:val="center"/>
        <w:textAlignment w:val="baseline"/>
        <w:rPr>
          <w:rFonts w:ascii="Arial" w:eastAsia="Calibri" w:hAnsi="Arial" w:cs="Arial"/>
          <w:b/>
          <w:bCs/>
          <w:color w:val="000000"/>
          <w:sz w:val="24"/>
          <w:szCs w:val="24"/>
          <w:shd w:val="clear" w:color="auto" w:fill="FFFFFF"/>
          <w:lang w:eastAsia="es-ES_tradnl"/>
        </w:rPr>
      </w:pPr>
      <w:r w:rsidRPr="005E0AF0">
        <w:rPr>
          <w:rFonts w:ascii="Arial" w:eastAsia="Calibri" w:hAnsi="Arial" w:cs="Arial"/>
          <w:b/>
          <w:bCs/>
          <w:color w:val="000000"/>
          <w:sz w:val="24"/>
          <w:szCs w:val="24"/>
          <w:shd w:val="clear" w:color="auto" w:fill="FFFFFF"/>
          <w:lang w:eastAsia="es-ES_tradnl"/>
        </w:rPr>
        <w:t>JAIME ENRIQUE RODRÍGUEZ NAVAS</w:t>
      </w:r>
    </w:p>
    <w:p w14:paraId="651E504B" w14:textId="77777777" w:rsidR="00C64737" w:rsidRDefault="00C64737" w:rsidP="00C64737">
      <w:pPr>
        <w:spacing w:after="0" w:line="240" w:lineRule="auto"/>
        <w:jc w:val="center"/>
        <w:textAlignment w:val="baseline"/>
        <w:rPr>
          <w:rFonts w:ascii="Arial" w:eastAsia="Calibri" w:hAnsi="Arial" w:cs="Arial"/>
          <w:b/>
          <w:bCs/>
          <w:color w:val="000000"/>
          <w:sz w:val="24"/>
          <w:szCs w:val="24"/>
          <w:shd w:val="clear" w:color="auto" w:fill="FFFFFF"/>
          <w:lang w:eastAsia="es-ES_tradnl"/>
        </w:rPr>
      </w:pPr>
      <w:r w:rsidRPr="005E0AF0">
        <w:rPr>
          <w:rFonts w:ascii="Arial" w:eastAsia="Calibri" w:hAnsi="Arial" w:cs="Arial"/>
          <w:b/>
          <w:bCs/>
          <w:color w:val="000000"/>
          <w:sz w:val="24"/>
          <w:szCs w:val="24"/>
          <w:shd w:val="clear" w:color="auto" w:fill="FFFFFF"/>
          <w:lang w:eastAsia="es-ES_tradnl"/>
        </w:rPr>
        <w:t>Magistrado</w:t>
      </w:r>
    </w:p>
    <w:p w14:paraId="56FB3552" w14:textId="77777777" w:rsidR="00C64737" w:rsidRDefault="00C64737" w:rsidP="00C64737">
      <w:pPr>
        <w:spacing w:after="0" w:line="240" w:lineRule="auto"/>
        <w:jc w:val="center"/>
        <w:textAlignment w:val="baseline"/>
        <w:rPr>
          <w:rFonts w:ascii="Arial" w:eastAsia="Calibri" w:hAnsi="Arial" w:cs="Arial"/>
          <w:b/>
          <w:bCs/>
          <w:color w:val="000000"/>
          <w:sz w:val="24"/>
          <w:szCs w:val="24"/>
          <w:shd w:val="clear" w:color="auto" w:fill="FFFFFF"/>
          <w:lang w:eastAsia="es-ES_tradnl"/>
        </w:rPr>
      </w:pPr>
    </w:p>
    <w:p w14:paraId="7E397017" w14:textId="77777777" w:rsidR="00C64737" w:rsidRPr="005E0AF0" w:rsidRDefault="00C64737" w:rsidP="00C64737">
      <w:pPr>
        <w:spacing w:after="0" w:line="240" w:lineRule="auto"/>
        <w:jc w:val="center"/>
        <w:textAlignment w:val="baseline"/>
        <w:rPr>
          <w:rFonts w:ascii="Arial" w:eastAsia="Calibri" w:hAnsi="Arial" w:cs="Arial"/>
          <w:b/>
          <w:bCs/>
          <w:color w:val="000000"/>
          <w:sz w:val="24"/>
          <w:szCs w:val="24"/>
          <w:shd w:val="clear" w:color="auto" w:fill="FFFFFF"/>
          <w:lang w:eastAsia="es-ES_tradnl"/>
        </w:rPr>
      </w:pPr>
    </w:p>
    <w:p w14:paraId="30F1B2B2" w14:textId="77777777" w:rsidR="003D4CDA" w:rsidRPr="005E0AF0" w:rsidRDefault="003D4CDA" w:rsidP="003D4CDA">
      <w:pPr>
        <w:spacing w:after="0" w:line="240" w:lineRule="auto"/>
        <w:jc w:val="center"/>
        <w:textAlignment w:val="baseline"/>
        <w:rPr>
          <w:rFonts w:ascii="Arial" w:eastAsia="Calibri" w:hAnsi="Arial" w:cs="Arial"/>
          <w:b/>
          <w:bCs/>
          <w:color w:val="000000"/>
          <w:sz w:val="24"/>
          <w:szCs w:val="24"/>
          <w:shd w:val="clear" w:color="auto" w:fill="FFFFFF"/>
          <w:lang w:eastAsia="es-ES_tradnl"/>
        </w:rPr>
      </w:pPr>
      <w:r w:rsidRPr="005E0AF0">
        <w:rPr>
          <w:rFonts w:ascii="Arial" w:eastAsia="Calibri" w:hAnsi="Arial" w:cs="Arial"/>
          <w:b/>
          <w:bCs/>
          <w:color w:val="000000"/>
          <w:sz w:val="24"/>
          <w:szCs w:val="24"/>
          <w:shd w:val="clear" w:color="auto" w:fill="FFFFFF"/>
          <w:lang w:eastAsia="es-ES_tradnl"/>
        </w:rPr>
        <w:t>GUILLERMO SÁNCHEZ LUQUE</w:t>
      </w:r>
    </w:p>
    <w:p w14:paraId="7163B5A1" w14:textId="1EB90FF6" w:rsidR="00C64737" w:rsidRDefault="00C64737" w:rsidP="00C64737">
      <w:pPr>
        <w:spacing w:after="0" w:line="240" w:lineRule="auto"/>
        <w:jc w:val="center"/>
        <w:textAlignment w:val="baseline"/>
        <w:rPr>
          <w:rFonts w:ascii="Arial" w:eastAsia="Calibri" w:hAnsi="Arial" w:cs="Arial"/>
          <w:b/>
          <w:bCs/>
          <w:color w:val="000000"/>
          <w:sz w:val="24"/>
          <w:szCs w:val="24"/>
          <w:shd w:val="clear" w:color="auto" w:fill="FFFFFF"/>
          <w:lang w:eastAsia="es-ES_tradnl"/>
        </w:rPr>
      </w:pPr>
      <w:r w:rsidRPr="005E0AF0">
        <w:rPr>
          <w:rFonts w:ascii="Arial" w:eastAsia="Calibri" w:hAnsi="Arial" w:cs="Arial"/>
          <w:b/>
          <w:bCs/>
          <w:color w:val="000000"/>
          <w:sz w:val="24"/>
          <w:szCs w:val="24"/>
          <w:shd w:val="clear" w:color="auto" w:fill="FFFFFF"/>
          <w:lang w:eastAsia="es-ES_tradnl"/>
        </w:rPr>
        <w:t>Magistrado</w:t>
      </w:r>
    </w:p>
    <w:p w14:paraId="3CA60664" w14:textId="3CDEEF9B" w:rsidR="003D4CDA" w:rsidRPr="003D4CDA" w:rsidRDefault="003D4CDA" w:rsidP="00C64737">
      <w:pPr>
        <w:spacing w:after="0" w:line="240" w:lineRule="auto"/>
        <w:jc w:val="center"/>
        <w:textAlignment w:val="baseline"/>
        <w:rPr>
          <w:rFonts w:ascii="Arial" w:eastAsia="Calibri" w:hAnsi="Arial" w:cs="Arial"/>
          <w:b/>
          <w:bCs/>
          <w:sz w:val="24"/>
          <w:szCs w:val="24"/>
          <w:lang w:eastAsia="es-ES_tradnl"/>
        </w:rPr>
      </w:pPr>
      <w:r w:rsidRPr="003D4CDA">
        <w:rPr>
          <w:rFonts w:ascii="Arial" w:eastAsia="Calibri" w:hAnsi="Arial" w:cs="Arial"/>
          <w:b/>
          <w:bCs/>
          <w:sz w:val="24"/>
          <w:szCs w:val="24"/>
          <w:lang w:eastAsia="es-ES_tradnl"/>
        </w:rPr>
        <w:t>Aclaración de voto Cfr. Rad. 11001-03-15-000-2019-00022-00</w:t>
      </w:r>
    </w:p>
    <w:p w14:paraId="193BC9B7" w14:textId="77777777" w:rsidR="00C64737" w:rsidRPr="00DD0B06" w:rsidRDefault="00C64737" w:rsidP="00C64737">
      <w:pPr>
        <w:spacing w:after="0" w:line="240" w:lineRule="auto"/>
        <w:jc w:val="both"/>
        <w:textAlignment w:val="baseline"/>
      </w:pPr>
    </w:p>
    <w:p w14:paraId="25B63E6F" w14:textId="77777777" w:rsidR="00C64737" w:rsidRDefault="00C64737" w:rsidP="00C64737">
      <w:pPr>
        <w:spacing w:line="240" w:lineRule="auto"/>
      </w:pPr>
    </w:p>
    <w:p w14:paraId="5B85F0B4" w14:textId="77777777" w:rsidR="00C64737" w:rsidRDefault="00C64737" w:rsidP="00C64737"/>
    <w:p w14:paraId="2A9243B3" w14:textId="23451920" w:rsidR="00E267CE" w:rsidRPr="00253B25" w:rsidRDefault="00253B25">
      <w:pPr>
        <w:rPr>
          <w:rFonts w:ascii="Arial" w:hAnsi="Arial" w:cs="Arial"/>
          <w:sz w:val="16"/>
          <w:szCs w:val="16"/>
        </w:rPr>
      </w:pPr>
      <w:r>
        <w:rPr>
          <w:rFonts w:ascii="Arial" w:hAnsi="Arial" w:cs="Arial"/>
          <w:sz w:val="16"/>
          <w:szCs w:val="16"/>
        </w:rPr>
        <w:t>MOG</w:t>
      </w:r>
    </w:p>
    <w:sectPr w:rsidR="00E267CE" w:rsidRPr="00253B25" w:rsidSect="00B85469">
      <w:headerReference w:type="default" r:id="rId10"/>
      <w:footerReference w:type="default" r:id="rId11"/>
      <w:headerReference w:type="first" r:id="rId12"/>
      <w:footerReference w:type="first" r:id="rId13"/>
      <w:pgSz w:w="12240" w:h="20160" w:code="5"/>
      <w:pgMar w:top="1418" w:right="1701"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E2472" w14:textId="77777777" w:rsidR="00E956AE" w:rsidRDefault="00E956AE" w:rsidP="00C64737">
      <w:pPr>
        <w:spacing w:after="0" w:line="240" w:lineRule="auto"/>
      </w:pPr>
      <w:r>
        <w:separator/>
      </w:r>
    </w:p>
  </w:endnote>
  <w:endnote w:type="continuationSeparator" w:id="0">
    <w:p w14:paraId="06875AB5" w14:textId="77777777" w:rsidR="00E956AE" w:rsidRDefault="00E956AE" w:rsidP="00C6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083936"/>
      <w:docPartObj>
        <w:docPartGallery w:val="Page Numbers (Bottom of Page)"/>
        <w:docPartUnique/>
      </w:docPartObj>
    </w:sdtPr>
    <w:sdtEndPr>
      <w:rPr>
        <w:rFonts w:ascii="Arial" w:hAnsi="Arial" w:cs="Arial"/>
      </w:rPr>
    </w:sdtEndPr>
    <w:sdtContent>
      <w:p w14:paraId="6819DBB7" w14:textId="77777777" w:rsidR="00255DE0" w:rsidRPr="008E2720" w:rsidRDefault="00253B25" w:rsidP="00255DE0">
        <w:pPr>
          <w:pStyle w:val="Piedepgina"/>
          <w:jc w:val="right"/>
          <w:rPr>
            <w:rFonts w:ascii="Arial" w:hAnsi="Arial" w:cs="Arial"/>
          </w:rPr>
        </w:pPr>
        <w:r w:rsidRPr="008E2720">
          <w:rPr>
            <w:rFonts w:ascii="Arial" w:hAnsi="Arial" w:cs="Arial"/>
          </w:rPr>
          <w:fldChar w:fldCharType="begin"/>
        </w:r>
        <w:r w:rsidRPr="008E2720">
          <w:rPr>
            <w:rFonts w:ascii="Arial" w:hAnsi="Arial" w:cs="Arial"/>
          </w:rPr>
          <w:instrText>PAGE   \* MERGEFORMAT</w:instrText>
        </w:r>
        <w:r w:rsidRPr="008E2720">
          <w:rPr>
            <w:rFonts w:ascii="Arial" w:hAnsi="Arial" w:cs="Arial"/>
          </w:rPr>
          <w:fldChar w:fldCharType="separate"/>
        </w:r>
        <w:r w:rsidR="006E4E4D">
          <w:rPr>
            <w:rFonts w:ascii="Arial" w:hAnsi="Arial" w:cs="Arial"/>
            <w:noProof/>
          </w:rPr>
          <w:t>7</w:t>
        </w:r>
        <w:r w:rsidRPr="008E2720">
          <w:rPr>
            <w:rFonts w:ascii="Arial" w:hAnsi="Arial" w:cs="Arial"/>
          </w:rPr>
          <w:fldChar w:fldCharType="end"/>
        </w:r>
      </w:p>
    </w:sdtContent>
  </w:sdt>
  <w:p w14:paraId="430EEAAD" w14:textId="77777777" w:rsidR="00255DE0" w:rsidRPr="008E2720" w:rsidRDefault="00253B25" w:rsidP="00255DE0">
    <w:pPr>
      <w:pStyle w:val="Encabezado"/>
      <w:jc w:val="center"/>
      <w:rPr>
        <w:rFonts w:ascii="Arial" w:hAnsi="Arial" w:cs="Arial"/>
        <w:color w:val="767171"/>
        <w:sz w:val="20"/>
        <w:szCs w:val="20"/>
      </w:rPr>
    </w:pPr>
    <w:r w:rsidRPr="008E2720">
      <w:rPr>
        <w:rFonts w:ascii="Arial" w:hAnsi="Arial" w:cs="Arial"/>
        <w:color w:val="767171"/>
        <w:sz w:val="20"/>
        <w:szCs w:val="20"/>
      </w:rPr>
      <w:t>Calle 12 No. 7-65 – Tel: (57-1) 350-6700 – Bogotá D.C. – Colombia</w:t>
    </w:r>
  </w:p>
  <w:p w14:paraId="2E4DB79B" w14:textId="77777777" w:rsidR="00255DE0" w:rsidRPr="008E2720" w:rsidRDefault="00253B25" w:rsidP="00255DE0">
    <w:pPr>
      <w:pStyle w:val="Piedepgina"/>
      <w:jc w:val="center"/>
      <w:rPr>
        <w:rFonts w:ascii="Arial" w:hAnsi="Arial" w:cs="Arial"/>
        <w:sz w:val="20"/>
        <w:szCs w:val="20"/>
      </w:rPr>
    </w:pPr>
    <w:r w:rsidRPr="008E2720">
      <w:rPr>
        <w:rFonts w:ascii="Arial" w:hAnsi="Arial" w:cs="Arial"/>
        <w:color w:val="767171"/>
        <w:sz w:val="20"/>
        <w:szCs w:val="20"/>
      </w:rPr>
      <w:t>www.consejodeestado.gov.co</w:t>
    </w:r>
  </w:p>
  <w:p w14:paraId="76897718" w14:textId="77777777" w:rsidR="00255DE0" w:rsidRDefault="00E956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937331"/>
      <w:docPartObj>
        <w:docPartGallery w:val="Page Numbers (Bottom of Page)"/>
        <w:docPartUnique/>
      </w:docPartObj>
    </w:sdtPr>
    <w:sdtEndPr>
      <w:rPr>
        <w:rFonts w:ascii="Arial" w:hAnsi="Arial" w:cs="Arial"/>
        <w:sz w:val="24"/>
        <w:szCs w:val="24"/>
      </w:rPr>
    </w:sdtEndPr>
    <w:sdtContent>
      <w:p w14:paraId="09DE128D" w14:textId="77777777" w:rsidR="00255DE0" w:rsidRPr="008E2720" w:rsidRDefault="00253B25" w:rsidP="00255DE0">
        <w:pPr>
          <w:pStyle w:val="Piedepgina"/>
          <w:jc w:val="right"/>
          <w:rPr>
            <w:rFonts w:ascii="Arial" w:hAnsi="Arial" w:cs="Arial"/>
            <w:sz w:val="24"/>
            <w:szCs w:val="24"/>
          </w:rPr>
        </w:pPr>
        <w:r w:rsidRPr="0049671C">
          <w:rPr>
            <w:rFonts w:ascii="Arial" w:hAnsi="Arial" w:cs="Arial"/>
            <w:sz w:val="24"/>
            <w:szCs w:val="24"/>
          </w:rPr>
          <w:fldChar w:fldCharType="begin"/>
        </w:r>
        <w:r w:rsidRPr="0049671C">
          <w:rPr>
            <w:rFonts w:ascii="Arial" w:hAnsi="Arial" w:cs="Arial"/>
            <w:sz w:val="24"/>
            <w:szCs w:val="24"/>
          </w:rPr>
          <w:instrText>PAGE   \* MERGEFORMAT</w:instrText>
        </w:r>
        <w:r w:rsidRPr="0049671C">
          <w:rPr>
            <w:rFonts w:ascii="Arial" w:hAnsi="Arial" w:cs="Arial"/>
            <w:sz w:val="24"/>
            <w:szCs w:val="24"/>
          </w:rPr>
          <w:fldChar w:fldCharType="separate"/>
        </w:r>
        <w:r w:rsidR="006E4E4D" w:rsidRPr="006E4E4D">
          <w:rPr>
            <w:rFonts w:ascii="Arial" w:hAnsi="Arial" w:cs="Arial"/>
            <w:noProof/>
            <w:sz w:val="24"/>
            <w:szCs w:val="24"/>
            <w:lang w:val="es-ES"/>
          </w:rPr>
          <w:t>1</w:t>
        </w:r>
        <w:r w:rsidRPr="0049671C">
          <w:rPr>
            <w:rFonts w:ascii="Arial" w:hAnsi="Arial" w:cs="Arial"/>
            <w:sz w:val="24"/>
            <w:szCs w:val="24"/>
          </w:rPr>
          <w:fldChar w:fldCharType="end"/>
        </w:r>
      </w:p>
    </w:sdtContent>
  </w:sdt>
  <w:p w14:paraId="277A5E40" w14:textId="77777777" w:rsidR="00255DE0" w:rsidRPr="008E2720" w:rsidRDefault="00253B25" w:rsidP="00255DE0">
    <w:pPr>
      <w:pStyle w:val="Encabezado"/>
      <w:jc w:val="center"/>
      <w:rPr>
        <w:rFonts w:ascii="Arial" w:hAnsi="Arial" w:cs="Arial"/>
        <w:color w:val="767171"/>
        <w:sz w:val="20"/>
        <w:szCs w:val="20"/>
      </w:rPr>
    </w:pPr>
    <w:bookmarkStart w:id="2" w:name="_Hlk63668048"/>
    <w:r w:rsidRPr="008E2720">
      <w:rPr>
        <w:rFonts w:ascii="Arial" w:hAnsi="Arial" w:cs="Arial"/>
        <w:color w:val="767171"/>
        <w:sz w:val="20"/>
        <w:szCs w:val="20"/>
      </w:rPr>
      <w:t>Calle 12 No. 7-65 – Tel: (57-1) 350-6700 – Bogotá D.C. – Colombia</w:t>
    </w:r>
  </w:p>
  <w:p w14:paraId="1C7E8B7A" w14:textId="77777777" w:rsidR="00255DE0" w:rsidRPr="008E2720" w:rsidRDefault="00253B25" w:rsidP="00255DE0">
    <w:pPr>
      <w:pStyle w:val="Piedepgina"/>
      <w:jc w:val="center"/>
      <w:rPr>
        <w:rFonts w:ascii="Arial" w:hAnsi="Arial" w:cs="Arial"/>
        <w:sz w:val="20"/>
        <w:szCs w:val="20"/>
      </w:rPr>
    </w:pPr>
    <w:r w:rsidRPr="008E2720">
      <w:rPr>
        <w:rFonts w:ascii="Arial" w:hAnsi="Arial" w:cs="Arial"/>
        <w:color w:val="767171"/>
        <w:sz w:val="20"/>
        <w:szCs w:val="20"/>
      </w:rPr>
      <w:t>www.consejodeestado.gov.co</w:t>
    </w:r>
    <w:bookmarkEnd w:id="2"/>
  </w:p>
  <w:p w14:paraId="3DB99313" w14:textId="77777777" w:rsidR="00255DE0" w:rsidRDefault="00E956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A9974" w14:textId="77777777" w:rsidR="00E956AE" w:rsidRDefault="00E956AE" w:rsidP="00C64737">
      <w:pPr>
        <w:spacing w:after="0" w:line="240" w:lineRule="auto"/>
      </w:pPr>
      <w:r>
        <w:separator/>
      </w:r>
    </w:p>
  </w:footnote>
  <w:footnote w:type="continuationSeparator" w:id="0">
    <w:p w14:paraId="6E912A4E" w14:textId="77777777" w:rsidR="00E956AE" w:rsidRDefault="00E956AE" w:rsidP="00C64737">
      <w:pPr>
        <w:spacing w:after="0" w:line="240" w:lineRule="auto"/>
      </w:pPr>
      <w:r>
        <w:continuationSeparator/>
      </w:r>
    </w:p>
  </w:footnote>
  <w:footnote w:id="1">
    <w:p w14:paraId="1C768F0B" w14:textId="022B1BDC" w:rsidR="00581DD4" w:rsidRDefault="00581DD4">
      <w:pPr>
        <w:pStyle w:val="Textonotapie"/>
      </w:pPr>
      <w:r>
        <w:rPr>
          <w:rStyle w:val="Refdenotaalpie"/>
        </w:rPr>
        <w:footnoteRef/>
      </w:r>
      <w:r>
        <w:t xml:space="preserve"> Archivo electrónico identificado con certificado </w:t>
      </w:r>
      <w:r w:rsidRPr="00581DD4">
        <w:t>44157AC2B98B3134 B0862233B90E7D68 32D2BD4EFEBF905D 3EE2ED9E4C9930F7</w:t>
      </w:r>
      <w:r>
        <w:t>, ubicado en el índice 2 del expediente digital.</w:t>
      </w:r>
    </w:p>
  </w:footnote>
  <w:footnote w:id="2">
    <w:p w14:paraId="705A9004" w14:textId="45A86A8C" w:rsidR="00581DD4" w:rsidRDefault="00581DD4">
      <w:pPr>
        <w:pStyle w:val="Textonotapie"/>
      </w:pPr>
      <w:r>
        <w:rPr>
          <w:rStyle w:val="Refdenotaalpie"/>
        </w:rPr>
        <w:footnoteRef/>
      </w:r>
      <w:r>
        <w:t xml:space="preserve"> Archivo electrónico identificado con certificado </w:t>
      </w:r>
      <w:r w:rsidRPr="00581DD4">
        <w:t>0C33E28CF8F3E723 0932CC1D32F3B58B E893295C60D3DFD1 0BC2C794B3EC77CA</w:t>
      </w:r>
      <w:r>
        <w:t>, ubicado en el índice 2 del expediente digital.</w:t>
      </w:r>
    </w:p>
  </w:footnote>
  <w:footnote w:id="3">
    <w:p w14:paraId="1B104F90" w14:textId="34686296" w:rsidR="00581DD4" w:rsidRDefault="00581DD4">
      <w:pPr>
        <w:pStyle w:val="Textonotapie"/>
      </w:pPr>
      <w:r>
        <w:rPr>
          <w:rStyle w:val="Refdenotaalpie"/>
        </w:rPr>
        <w:footnoteRef/>
      </w:r>
      <w:r>
        <w:t xml:space="preserve"> Archivo electrónico identificado con certificado </w:t>
      </w:r>
      <w:r w:rsidRPr="00581DD4">
        <w:t>41E0C447EA4B50AE E7829B717A4F4E9F 328322B75A232E7E BAA7007989339D3C</w:t>
      </w:r>
      <w:r>
        <w:t>, ubicado en el índice 2 del expediente digital.</w:t>
      </w:r>
    </w:p>
  </w:footnote>
  <w:footnote w:id="4">
    <w:p w14:paraId="65755385" w14:textId="77777777" w:rsidR="00F77029" w:rsidRDefault="00F77029" w:rsidP="00F77029">
      <w:pPr>
        <w:pStyle w:val="Textonotapie"/>
      </w:pPr>
      <w:r>
        <w:rPr>
          <w:rStyle w:val="Refdenotaalpie"/>
        </w:rPr>
        <w:footnoteRef/>
      </w:r>
      <w:r>
        <w:t xml:space="preserve"> Archivo electrónico identificado con certificado </w:t>
      </w:r>
      <w:r w:rsidRPr="00F77029">
        <w:t>4F12D037C82B3E4B AA7954835B8211BB 73A523AB80E080F9 965DA0DF86648A34</w:t>
      </w:r>
      <w:r>
        <w:t>, ubicado en el índice 2 del expediente digital.</w:t>
      </w:r>
    </w:p>
  </w:footnote>
  <w:footnote w:id="5">
    <w:p w14:paraId="0DCAA140" w14:textId="332EECC4" w:rsidR="00F77029" w:rsidRDefault="00F77029">
      <w:pPr>
        <w:pStyle w:val="Textonotapie"/>
      </w:pPr>
      <w:r>
        <w:rPr>
          <w:rStyle w:val="Refdenotaalpie"/>
        </w:rPr>
        <w:footnoteRef/>
      </w:r>
      <w:r>
        <w:t xml:space="preserve"> Ibidem.</w:t>
      </w:r>
    </w:p>
  </w:footnote>
  <w:footnote w:id="6">
    <w:p w14:paraId="55374E28" w14:textId="0DF69627" w:rsidR="00F77029" w:rsidRDefault="00F77029">
      <w:pPr>
        <w:pStyle w:val="Textonotapie"/>
      </w:pPr>
      <w:r>
        <w:rPr>
          <w:rStyle w:val="Refdenotaalpie"/>
        </w:rPr>
        <w:footnoteRef/>
      </w:r>
      <w:r>
        <w:t xml:space="preserve"> Ibidem.</w:t>
      </w:r>
    </w:p>
  </w:footnote>
  <w:footnote w:id="7">
    <w:p w14:paraId="0C02B1EE" w14:textId="78175BF0" w:rsidR="00F77029" w:rsidRDefault="00F77029">
      <w:pPr>
        <w:pStyle w:val="Textonotapie"/>
      </w:pPr>
      <w:r>
        <w:rPr>
          <w:rStyle w:val="Refdenotaalpie"/>
        </w:rPr>
        <w:footnoteRef/>
      </w:r>
      <w:r>
        <w:t xml:space="preserve"> Archivo electrónico identificado con certificado </w:t>
      </w:r>
      <w:r w:rsidRPr="00581DD4">
        <w:t>0C33E28CF8F3E723 0932CC1D32F3B58B E893295C60D3DFD1 0BC2C794B3EC77CA</w:t>
      </w:r>
      <w:r>
        <w:t>, ubicado en el índice 2 del expediente digital.</w:t>
      </w:r>
    </w:p>
  </w:footnote>
  <w:footnote w:id="8">
    <w:p w14:paraId="1FC738B9" w14:textId="70749E15" w:rsidR="00F87E30" w:rsidRDefault="00F87E30">
      <w:pPr>
        <w:pStyle w:val="Textonotapie"/>
      </w:pPr>
      <w:r>
        <w:rPr>
          <w:rStyle w:val="Refdenotaalpie"/>
        </w:rPr>
        <w:footnoteRef/>
      </w:r>
      <w:r>
        <w:t xml:space="preserve"> Ibidem.</w:t>
      </w:r>
    </w:p>
  </w:footnote>
  <w:footnote w:id="9">
    <w:p w14:paraId="175F404E" w14:textId="3268E4E1" w:rsidR="00F87E30" w:rsidRDefault="00F87E30">
      <w:pPr>
        <w:pStyle w:val="Textonotapie"/>
      </w:pPr>
      <w:r>
        <w:rPr>
          <w:rStyle w:val="Refdenotaalpie"/>
        </w:rPr>
        <w:footnoteRef/>
      </w:r>
      <w:r>
        <w:t xml:space="preserve"> Archivo electrónico identificado con certificado </w:t>
      </w:r>
      <w:r w:rsidRPr="00F87E30">
        <w:t>998710465A5B667F 0FAB0D748FBE6341 BDB1FBBB5B4897B1 F566C1B8FF4C6CAE</w:t>
      </w:r>
      <w:r>
        <w:t>, ubicado en el índice 9 del expediente digital.</w:t>
      </w:r>
    </w:p>
  </w:footnote>
  <w:footnote w:id="10">
    <w:p w14:paraId="7670B687" w14:textId="5B2EAB23" w:rsidR="00F87E30" w:rsidRDefault="00F87E30">
      <w:pPr>
        <w:pStyle w:val="Textonotapie"/>
      </w:pPr>
      <w:r>
        <w:rPr>
          <w:rStyle w:val="Refdenotaalpie"/>
        </w:rPr>
        <w:footnoteRef/>
      </w:r>
      <w:r>
        <w:t xml:space="preserve"> Archivo electrónico identificado con certificado </w:t>
      </w:r>
      <w:r w:rsidRPr="00F87E30">
        <w:t>F5BB99A0E5A6FF41 86E6DF5FFB60D0A4 E7</w:t>
      </w:r>
      <w:r>
        <w:t xml:space="preserve">BCB191CBB5B535 59708D135DB54761, ubicado </w:t>
      </w:r>
      <w:r w:rsidR="005A4091">
        <w:t>en el índice 11 del expediente digital.</w:t>
      </w:r>
    </w:p>
  </w:footnote>
  <w:footnote w:id="11">
    <w:p w14:paraId="1D5A7FE6" w14:textId="77777777" w:rsidR="005A4091" w:rsidRDefault="005A4091" w:rsidP="005A4091">
      <w:pPr>
        <w:pStyle w:val="Textonotapie"/>
        <w:rPr>
          <w:lang w:val="es-MX"/>
        </w:rPr>
      </w:pPr>
      <w:r>
        <w:rPr>
          <w:rStyle w:val="Refdenotaalpie"/>
        </w:rPr>
        <w:footnoteRef/>
      </w:r>
      <w:r>
        <w:t xml:space="preserve"> </w:t>
      </w:r>
      <w:r>
        <w:rPr>
          <w:color w:val="000000"/>
          <w:shd w:val="clear" w:color="auto" w:fill="FFFFFF"/>
        </w:rPr>
        <w:t>Corte Constitucional, sentencia T-867 de 2013: “[e]</w:t>
      </w:r>
      <w:proofErr w:type="spellStart"/>
      <w:r>
        <w:rPr>
          <w:color w:val="000000"/>
          <w:shd w:val="clear" w:color="auto" w:fill="FFFFFF"/>
        </w:rPr>
        <w:t>sta</w:t>
      </w:r>
      <w:proofErr w:type="spellEnd"/>
      <w:r>
        <w:rPr>
          <w:color w:val="000000"/>
          <w:shd w:val="clear" w:color="auto" w:fill="FFFFFF"/>
        </w:rPr>
        <w:t xml:space="preserve"> Corporación, en ejercicio de su labor como intérprete autorizado de la Constitución, ha determinado en reiterada jurisprudencia, el alcance y contenido que el Constituyente otorgó al artículo 86 de la Carta Política, resaltando que la acción judicial en él contemplada, además de ostentar un carácter preferente y sumario, tiene por principal objeto, la protección concreta e inmediata de los derechos constitucionales fundamentales de los ciudadanos, siempre que estos se vean afectados o amenazados por la acción u omisión de cualquier autoridad pública, o de un particular que se encuentre dentro de los supuestos de hecho contemplados en la ley”.</w:t>
      </w:r>
      <w:r>
        <w:rPr>
          <w:shd w:val="clear" w:color="auto" w:fill="FFFFFF"/>
        </w:rPr>
        <w:t> </w:t>
      </w:r>
    </w:p>
  </w:footnote>
  <w:footnote w:id="12">
    <w:p w14:paraId="33E96D34" w14:textId="77777777" w:rsidR="005A4091" w:rsidRDefault="005A4091" w:rsidP="005A4091">
      <w:pPr>
        <w:pStyle w:val="Textonotapie"/>
        <w:rPr>
          <w:lang w:val="es-MX"/>
        </w:rPr>
      </w:pPr>
      <w:r>
        <w:rPr>
          <w:rStyle w:val="Refdenotaalpie"/>
        </w:rPr>
        <w:footnoteRef/>
      </w:r>
      <w:r>
        <w:t xml:space="preserve"> Antes que todo es necesario (i) verificar la legitimación en la causa como una exigencia preliminar en cualquier acción de amparo, para, posteriormente, pasar a constatar los demás requisitos generales de procedibilidad, en los siguientes términos: (ii) que en la solicitud de tutela se expresen de manera clara los hechos y los fundamentos de la afectación de derechos que se imputa a la decisión judicial; (iii) que la cuestión que se discute tenga relevancia constitucional; (iv) que previo a la solicitud de tutela se hayan agotado todos los medios de defensa judicial con los que cuenta la persona afectada; (v) que se cumpla con el principio de inmediatez; (vi) que en caso de que se alegue una irregularidad procesal, la misma tenga la entidad de afectar la decisión; y de manera general, (vii) no procede elevar una solicitud de amparo contra decisiones proferidas dentro de procesos de tutela.</w:t>
      </w:r>
    </w:p>
  </w:footnote>
  <w:footnote w:id="13">
    <w:p w14:paraId="1D0F24C8" w14:textId="77777777" w:rsidR="005A4091" w:rsidRDefault="005A4091" w:rsidP="005A4091">
      <w:pPr>
        <w:pStyle w:val="Textonotapie"/>
        <w:rPr>
          <w:lang w:val="es-MX"/>
        </w:rPr>
      </w:pPr>
      <w:r>
        <w:rPr>
          <w:rStyle w:val="Refdenotaalpie"/>
        </w:rPr>
        <w:footnoteRef/>
      </w:r>
      <w:r>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14">
    <w:p w14:paraId="78BF5400" w14:textId="77777777" w:rsidR="00C64737" w:rsidRPr="00E60C3C" w:rsidRDefault="00C64737" w:rsidP="00C64737">
      <w:pPr>
        <w:pStyle w:val="paragraph"/>
        <w:spacing w:before="0" w:beforeAutospacing="0" w:after="0" w:afterAutospacing="0"/>
        <w:jc w:val="both"/>
        <w:textAlignment w:val="baseline"/>
        <w:rPr>
          <w:rFonts w:ascii="Arial" w:hAnsi="Arial" w:cs="Arial"/>
          <w:sz w:val="20"/>
          <w:szCs w:val="20"/>
        </w:rPr>
      </w:pPr>
      <w:r w:rsidRPr="00E60C3C">
        <w:rPr>
          <w:rStyle w:val="Refdenotaalpie"/>
          <w:rFonts w:ascii="Arial" w:hAnsi="Arial" w:cs="Arial"/>
          <w:sz w:val="20"/>
          <w:szCs w:val="20"/>
        </w:rPr>
        <w:footnoteRef/>
      </w:r>
      <w:r w:rsidRPr="00E60C3C">
        <w:rPr>
          <w:rFonts w:ascii="Arial" w:hAnsi="Arial" w:cs="Arial"/>
          <w:sz w:val="20"/>
          <w:szCs w:val="20"/>
        </w:rPr>
        <w:t xml:space="preserve"> Tal criterio fue sistematizado en la sentencia T-246 de 2015, en estos términos: “la Corte ha considerado en los asuntos referentes a acciones de tutela contra providencias judiciales, que el análisis de inmediatez debe ser más estricto, con el fin de no trastocar principios de seguridad jurídica y cosa juzgada, pues ´la firmeza de las decisiones judiciales no puede mantenerse en la incertidumbre indefinidamente´. En otras palabras, ser laxo con la exigencia de inmediatez en estos casos significaría ´que la firmeza de las decisiones judiciales estaría siempre a la espera de la controversia constitucional que en cualquier momento, sin límite de tiempo… En un escenario de esta naturaleza nadie podría estar seguro sobre cuáles son sus derechos y cual el alcance de éstos, con lo cual se produciría una violación del derecho de acceso a la administración de justicia – que incluye el derecho a la firmeza y ejecución de las decisiones judiciales – y un clima de enorme inestabilidad jurídica´”. || Cfr. Sentencias: T-315 de 2005, T-541 de 2006, T-1009 de 2006, T-594 de 2008, T-410 de 2013 y T-206 de 2014, entre otras. </w:t>
      </w:r>
    </w:p>
  </w:footnote>
  <w:footnote w:id="15">
    <w:p w14:paraId="5F067D15" w14:textId="77777777" w:rsidR="00C64737" w:rsidRPr="00E60C3C" w:rsidRDefault="00C64737" w:rsidP="00C64737">
      <w:pPr>
        <w:pStyle w:val="paragraph"/>
        <w:spacing w:before="0" w:beforeAutospacing="0" w:after="0" w:afterAutospacing="0"/>
        <w:jc w:val="both"/>
        <w:textAlignment w:val="baseline"/>
        <w:rPr>
          <w:rFonts w:ascii="Arial" w:hAnsi="Arial" w:cs="Arial"/>
          <w:sz w:val="20"/>
          <w:szCs w:val="20"/>
        </w:rPr>
      </w:pPr>
      <w:r w:rsidRPr="00E60C3C">
        <w:rPr>
          <w:rStyle w:val="Refdenotaalpie"/>
          <w:rFonts w:ascii="Arial" w:hAnsi="Arial" w:cs="Arial"/>
          <w:sz w:val="20"/>
          <w:szCs w:val="20"/>
        </w:rPr>
        <w:footnoteRef/>
      </w:r>
      <w:r w:rsidRPr="00E60C3C">
        <w:rPr>
          <w:rFonts w:ascii="Arial" w:hAnsi="Arial" w:cs="Arial"/>
          <w:sz w:val="20"/>
          <w:szCs w:val="20"/>
        </w:rPr>
        <w:t xml:space="preserve"> Sobre este lapso de seis meses, ha habido una continua comunicación concordante entre la jurisprudencia de la Corte Constitucional y del Consejo de Estado, quienes, como tribunales de cierre en sus jurisdicciones lo han definido como razonable. Por ejemplo, en la sentencia del Tribunal Constitucional T-246 de 2015, se alude a este criterio a partir de la sentencia proferida por la Sala Plena de esta Corporación, del 5 de agosto de 2014,  en la que, explícitamente,  “(…) la Sala Plena, </w:t>
      </w:r>
      <w:r w:rsidRPr="00E60C3C">
        <w:rPr>
          <w:rFonts w:ascii="Arial" w:hAnsi="Arial" w:cs="Arial"/>
          <w:sz w:val="20"/>
          <w:szCs w:val="20"/>
          <w:u w:val="single"/>
        </w:rPr>
        <w:t>como regla general</w:t>
      </w:r>
      <w:r w:rsidRPr="00E60C3C">
        <w:rPr>
          <w:rFonts w:ascii="Arial" w:hAnsi="Arial" w:cs="Arial"/>
          <w:sz w:val="20"/>
          <w:szCs w:val="20"/>
        </w:rPr>
        <w:t>, acoge un plazo de seis meses, contados a partir de la notificación o ejecutoria de la sentencia, según el caso, para determinar si la acción de tutela contra providencias judiciales se ejerce oportunamente” (Radicado: 11001-03-15-000-2012-02201-01). Léase también en las sentencias T-269 de 2018 y T-079 de 2018. </w:t>
      </w:r>
    </w:p>
  </w:footnote>
  <w:footnote w:id="16">
    <w:p w14:paraId="4D46251F" w14:textId="18EF6B51" w:rsidR="005A4091" w:rsidRPr="00E60C3C" w:rsidRDefault="005A4091" w:rsidP="005A4091">
      <w:pPr>
        <w:pStyle w:val="Textonotapie"/>
        <w:rPr>
          <w:lang w:val="es-MX"/>
        </w:rPr>
      </w:pPr>
      <w:r w:rsidRPr="00E60C3C">
        <w:rPr>
          <w:rStyle w:val="Refdenotaalpie"/>
        </w:rPr>
        <w:footnoteRef/>
      </w:r>
      <w:r w:rsidRPr="00E60C3C">
        <w:t xml:space="preserve"> </w:t>
      </w:r>
      <w:r w:rsidR="0065627A">
        <w:rPr>
          <w:lang w:val="es-MX"/>
        </w:rPr>
        <w:t xml:space="preserve">Archivo electrónico identificado con certificado </w:t>
      </w:r>
      <w:r w:rsidR="0065627A" w:rsidRPr="0065627A">
        <w:t>7E5655716ABF5FAE 1FF5C0A42D5A05DE E686C14DEA4DD31D 40120A06DA5C00A6</w:t>
      </w:r>
      <w:r w:rsidR="0065627A">
        <w:t>, ubicado en el índice 10 del expediente digital.</w:t>
      </w:r>
    </w:p>
  </w:footnote>
  <w:footnote w:id="17">
    <w:p w14:paraId="66AAD8C1" w14:textId="02177DEB" w:rsidR="006E4E4D" w:rsidRDefault="006E4E4D">
      <w:pPr>
        <w:pStyle w:val="Textonotapie"/>
      </w:pPr>
      <w:r>
        <w:rPr>
          <w:rStyle w:val="Refdenotaalpie"/>
        </w:rPr>
        <w:footnoteRef/>
      </w:r>
      <w:r>
        <w:t xml:space="preserve"> Archivo electrónico identificado con certificado </w:t>
      </w:r>
      <w:r w:rsidRPr="006E4E4D">
        <w:t>4743FA068E7843C5 FF65DAF210FD235E CB771C2F5F7B0B6A 6F6170AD99434398</w:t>
      </w:r>
      <w:r>
        <w:t>, ubicado en el índice 2 del expediente digital.</w:t>
      </w:r>
    </w:p>
  </w:footnote>
  <w:footnote w:id="18">
    <w:p w14:paraId="170B05FC" w14:textId="77777777" w:rsidR="005A4091" w:rsidRDefault="005A4091" w:rsidP="005A4091">
      <w:pPr>
        <w:pStyle w:val="Textonotapie"/>
        <w:rPr>
          <w:sz w:val="15"/>
          <w:szCs w:val="15"/>
        </w:rPr>
      </w:pPr>
      <w:r w:rsidRPr="00E60C3C">
        <w:rPr>
          <w:rStyle w:val="Refdenotaalpie"/>
        </w:rPr>
        <w:footnoteRef/>
      </w:r>
      <w:r w:rsidRPr="00E60C3C">
        <w:t xml:space="preserve"> </w:t>
      </w:r>
      <w:r w:rsidRPr="00E60C3C">
        <w:rPr>
          <w:color w:val="000000"/>
          <w:shd w:val="clear" w:color="auto" w:fill="FFFFFF"/>
        </w:rPr>
        <w:t>Cfr. sentencias: T-1229 de 2000; T-684 de 2003; T-016 de 2006; T-1044 de 2007; T-1110 de 2005; T-158 de 2006; T-166 de 2010; T-367 de 2010; T-246 de 2015, y T-038 de 2017. </w:t>
      </w:r>
    </w:p>
  </w:footnote>
  <w:footnote w:id="19">
    <w:p w14:paraId="6AB5FB55" w14:textId="77777777" w:rsidR="005A4091" w:rsidRDefault="005A4091" w:rsidP="005A4091">
      <w:pPr>
        <w:pStyle w:val="Textonotapie"/>
        <w:rPr>
          <w:lang w:val="es-MX"/>
        </w:rPr>
      </w:pPr>
      <w:r>
        <w:rPr>
          <w:rStyle w:val="Refdenotaalpie"/>
        </w:rPr>
        <w:footnoteRef/>
      </w:r>
      <w:r>
        <w:t xml:space="preserve"> </w:t>
      </w:r>
      <w:r>
        <w:rPr>
          <w:shd w:val="clear" w:color="auto" w:fill="FFFFFF"/>
        </w:rPr>
        <w:t>Corte Constitucional, sentencias T-013 de 1992 y T-134 de 1994.</w:t>
      </w:r>
    </w:p>
  </w:footnote>
  <w:footnote w:id="20">
    <w:p w14:paraId="6277E590" w14:textId="77777777" w:rsidR="005A4091" w:rsidRDefault="005A4091" w:rsidP="005A4091">
      <w:pPr>
        <w:pStyle w:val="Textonotapie"/>
        <w:rPr>
          <w:lang w:val="es-MX"/>
        </w:rPr>
      </w:pPr>
      <w:r>
        <w:rPr>
          <w:rStyle w:val="Refdenotaalpie"/>
        </w:rPr>
        <w:footnoteRef/>
      </w:r>
      <w:r>
        <w:t xml:space="preserve"> </w:t>
      </w:r>
      <w:r>
        <w:rPr>
          <w:lang w:val="es-MX"/>
        </w:rPr>
        <w:t>Constitución Política de 1991, artículo 86.</w:t>
      </w:r>
    </w:p>
  </w:footnote>
  <w:footnote w:id="21">
    <w:p w14:paraId="2CAE9E8E" w14:textId="77777777" w:rsidR="005A4091" w:rsidRDefault="005A4091" w:rsidP="005A4091">
      <w:pPr>
        <w:pStyle w:val="Textonotapie"/>
        <w:rPr>
          <w:lang w:val="es-MX"/>
        </w:rPr>
      </w:pPr>
      <w:r>
        <w:rPr>
          <w:rStyle w:val="Refdenotaalpie"/>
        </w:rPr>
        <w:footnoteRef/>
      </w:r>
      <w:r>
        <w:t xml:space="preserve"> Corte Constitucional. Sentencias T-414 de 1992, T-436 de 2009 y SU-712 de 2013. </w:t>
      </w:r>
    </w:p>
  </w:footnote>
  <w:footnote w:id="22">
    <w:p w14:paraId="42056DE0" w14:textId="77777777" w:rsidR="005A4091" w:rsidRDefault="005A4091" w:rsidP="005A4091">
      <w:pPr>
        <w:pStyle w:val="Textonotapie"/>
        <w:rPr>
          <w:lang w:val="es-MX"/>
        </w:rPr>
      </w:pPr>
      <w:r>
        <w:rPr>
          <w:rStyle w:val="Refdenotaalpie"/>
        </w:rPr>
        <w:footnoteRef/>
      </w:r>
      <w:r>
        <w:t xml:space="preserve"> Esto mismo fue considerado por esta Sala en el siguiente fallo: Consejo de Estado, Sala de lo Contencioso Administrativo, Sección Tercera, Subsección C. Sentencia del 16 de marzo de 2020, Expediente con número de radicado 2019-4563-01.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64285193"/>
  <w:p w14:paraId="62FD261A" w14:textId="581AD0B8" w:rsidR="00A56902" w:rsidRPr="00A56902" w:rsidRDefault="00B85469" w:rsidP="00B85469">
    <w:pPr>
      <w:tabs>
        <w:tab w:val="center" w:pos="4419"/>
        <w:tab w:val="right" w:pos="8838"/>
      </w:tabs>
      <w:spacing w:after="0" w:line="240" w:lineRule="auto"/>
      <w:jc w:val="right"/>
      <w:rPr>
        <w:rFonts w:ascii="Arial" w:eastAsia="Calibri" w:hAnsi="Arial" w:cs="Arial"/>
        <w:i/>
        <w:iCs/>
        <w:sz w:val="20"/>
        <w:szCs w:val="20"/>
        <w:lang w:eastAsia="es-ES_tradnl"/>
      </w:rPr>
    </w:pPr>
    <w:r w:rsidRPr="0049671C">
      <w:rPr>
        <w:rFonts w:ascii="Arial" w:eastAsia="Calibri" w:hAnsi="Arial" w:cs="Arial"/>
        <w:noProof/>
        <w:sz w:val="20"/>
        <w:szCs w:val="20"/>
        <w:lang w:eastAsia="es-CO"/>
      </w:rPr>
      <mc:AlternateContent>
        <mc:Choice Requires="wps">
          <w:drawing>
            <wp:anchor distT="0" distB="0" distL="114300" distR="114300" simplePos="0" relativeHeight="251660288" behindDoc="0" locked="0" layoutInCell="1" allowOverlap="1" wp14:anchorId="683A36CC" wp14:editId="0E2EB536">
              <wp:simplePos x="0" y="0"/>
              <wp:positionH relativeFrom="column">
                <wp:posOffset>1379855</wp:posOffset>
              </wp:positionH>
              <wp:positionV relativeFrom="paragraph">
                <wp:posOffset>-20651</wp:posOffset>
              </wp:positionV>
              <wp:extent cx="5400040" cy="0"/>
              <wp:effectExtent l="0" t="19050" r="29210"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46CEC82" id="_x0000_t32" coordsize="21600,21600" o:spt="32" o:oned="t" path="m,l21600,21600e" filled="f">
              <v:path arrowok="t" fillok="f" o:connecttype="none"/>
              <o:lock v:ext="edit" shapetype="t"/>
            </v:shapetype>
            <v:shape id="Conector recto de flecha 3" o:spid="_x0000_s1026" type="#_x0000_t32" style="position:absolute;margin-left:108.65pt;margin-top:-1.65pt;width:4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" strokeweight="2.25pt">
              <v:shadow color="#1f3763" opacity=".5" offset="1pt"/>
            </v:shape>
          </w:pict>
        </mc:Fallback>
      </mc:AlternateContent>
    </w:r>
    <w:r w:rsidR="00253B25" w:rsidRPr="0049671C">
      <w:rPr>
        <w:rFonts w:ascii="Arial" w:eastAsia="Calibri" w:hAnsi="Arial" w:cs="Arial"/>
        <w:noProof/>
        <w:sz w:val="16"/>
        <w:szCs w:val="16"/>
        <w:lang w:eastAsia="es-CO"/>
      </w:rPr>
      <w:drawing>
        <wp:anchor distT="0" distB="0" distL="114300" distR="114300" simplePos="0" relativeHeight="251661312" behindDoc="0" locked="0" layoutInCell="1" allowOverlap="1" wp14:anchorId="6770979E" wp14:editId="19827E0A">
          <wp:simplePos x="0" y="0"/>
          <wp:positionH relativeFrom="column">
            <wp:posOffset>-467995</wp:posOffset>
          </wp:positionH>
          <wp:positionV relativeFrom="paragraph">
            <wp:posOffset>-227330</wp:posOffset>
          </wp:positionV>
          <wp:extent cx="834390" cy="776605"/>
          <wp:effectExtent l="0" t="0" r="0" b="4445"/>
          <wp:wrapSquare wrapText="bothSides"/>
          <wp:docPr id="16" name="Imagen 16"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390" cy="776605"/>
                  </a:xfrm>
                  <a:prstGeom prst="rect">
                    <a:avLst/>
                  </a:prstGeom>
                  <a:noFill/>
                  <a:ln>
                    <a:noFill/>
                  </a:ln>
                </pic:spPr>
              </pic:pic>
            </a:graphicData>
          </a:graphic>
          <wp14:sizeRelH relativeFrom="page">
            <wp14:pctWidth>0</wp14:pctWidth>
          </wp14:sizeRelH>
          <wp14:sizeRelV relativeFrom="page">
            <wp14:pctHeight>0</wp14:pctHeight>
          </wp14:sizeRelV>
        </wp:anchor>
      </w:drawing>
    </w:r>
    <w:r w:rsidR="00A56902" w:rsidRPr="00A56902">
      <w:rPr>
        <w:rFonts w:ascii="Arial" w:eastAsia="Calibri" w:hAnsi="Arial" w:cs="Arial"/>
        <w:i/>
        <w:iCs/>
        <w:sz w:val="20"/>
        <w:szCs w:val="20"/>
        <w:lang w:eastAsia="es-ES_tradnl"/>
      </w:rPr>
      <w:t>11001-03-15-000-2022-06113-00</w:t>
    </w:r>
  </w:p>
  <w:p w14:paraId="24ABA7D0" w14:textId="0CCEC1E9" w:rsidR="00A56902" w:rsidRPr="00A56902" w:rsidRDefault="00A56902" w:rsidP="00A56902">
    <w:pPr>
      <w:tabs>
        <w:tab w:val="center" w:pos="4419"/>
        <w:tab w:val="right" w:pos="8838"/>
      </w:tabs>
      <w:spacing w:after="0" w:line="240" w:lineRule="auto"/>
      <w:jc w:val="right"/>
      <w:rPr>
        <w:rFonts w:ascii="Arial" w:eastAsia="Calibri" w:hAnsi="Arial" w:cs="Arial"/>
        <w:i/>
        <w:iCs/>
        <w:sz w:val="20"/>
        <w:szCs w:val="20"/>
        <w:lang w:eastAsia="es-ES_tradnl"/>
      </w:rPr>
    </w:pPr>
    <w:r w:rsidRPr="00A56902">
      <w:rPr>
        <w:rFonts w:ascii="Arial" w:eastAsia="Calibri" w:hAnsi="Arial" w:cs="Arial"/>
        <w:i/>
        <w:iCs/>
        <w:sz w:val="20"/>
        <w:szCs w:val="20"/>
        <w:lang w:eastAsia="es-ES_tradnl"/>
      </w:rPr>
      <w:tab/>
    </w:r>
    <w:r w:rsidRPr="00A56902">
      <w:rPr>
        <w:rFonts w:ascii="Arial" w:eastAsia="Calibri" w:hAnsi="Arial" w:cs="Arial"/>
        <w:i/>
        <w:iCs/>
        <w:sz w:val="20"/>
        <w:szCs w:val="20"/>
        <w:lang w:eastAsia="es-ES_tradnl"/>
      </w:rPr>
      <w:tab/>
      <w:t>Accionante: Administradora Colombiana de Pensiones—COLPENSIONES</w:t>
    </w:r>
  </w:p>
  <w:p w14:paraId="72F1B4AC" w14:textId="5B4F3245" w:rsidR="00A56902" w:rsidRDefault="00A56902" w:rsidP="00A56902">
    <w:pPr>
      <w:tabs>
        <w:tab w:val="center" w:pos="4419"/>
        <w:tab w:val="right" w:pos="8838"/>
      </w:tabs>
      <w:spacing w:after="0" w:line="240" w:lineRule="auto"/>
      <w:jc w:val="right"/>
      <w:rPr>
        <w:rFonts w:ascii="Arial" w:eastAsia="Calibri" w:hAnsi="Arial" w:cs="Arial"/>
        <w:i/>
        <w:iCs/>
        <w:color w:val="7F7F7F" w:themeColor="text1" w:themeTint="80"/>
        <w:sz w:val="20"/>
        <w:szCs w:val="20"/>
        <w:lang w:eastAsia="es-ES_tradnl"/>
      </w:rPr>
    </w:pPr>
  </w:p>
  <w:bookmarkEnd w:i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800B6" w14:textId="7C2DBF7F" w:rsidR="00A56902" w:rsidRPr="00A56902" w:rsidRDefault="00A56902" w:rsidP="00A56902">
    <w:pPr>
      <w:tabs>
        <w:tab w:val="center" w:pos="4419"/>
        <w:tab w:val="right" w:pos="8838"/>
      </w:tabs>
      <w:spacing w:after="0" w:line="240" w:lineRule="auto"/>
      <w:jc w:val="both"/>
      <w:rPr>
        <w:rFonts w:ascii="Arial" w:eastAsia="Calibri" w:hAnsi="Arial" w:cs="Arial"/>
        <w:sz w:val="16"/>
        <w:szCs w:val="16"/>
        <w:lang w:eastAsia="es-ES_tradnl"/>
      </w:rPr>
    </w:pPr>
    <w:r w:rsidRPr="0049671C">
      <w:rPr>
        <w:rFonts w:ascii="Arial" w:eastAsia="Calibri" w:hAnsi="Arial" w:cs="Arial"/>
        <w:noProof/>
        <w:sz w:val="16"/>
        <w:szCs w:val="16"/>
        <w:lang w:eastAsia="es-CO"/>
      </w:rPr>
      <w:drawing>
        <wp:anchor distT="0" distB="0" distL="114300" distR="114300" simplePos="0" relativeHeight="251659264" behindDoc="0" locked="0" layoutInCell="1" allowOverlap="1" wp14:anchorId="08F4F837" wp14:editId="191A043A">
          <wp:simplePos x="0" y="0"/>
          <wp:positionH relativeFrom="column">
            <wp:posOffset>-474980</wp:posOffset>
          </wp:positionH>
          <wp:positionV relativeFrom="paragraph">
            <wp:posOffset>170180</wp:posOffset>
          </wp:positionV>
          <wp:extent cx="1238250" cy="1152525"/>
          <wp:effectExtent l="0" t="0" r="0" b="0"/>
          <wp:wrapSquare wrapText="bothSides"/>
          <wp:docPr id="17" name="Imagen 17"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902">
      <w:rPr>
        <w:rFonts w:ascii="Arial" w:eastAsia="Calibri" w:hAnsi="Arial" w:cs="Arial"/>
        <w:noProof/>
        <w:sz w:val="16"/>
        <w:szCs w:val="16"/>
        <w:lang w:eastAsia="es-CO"/>
      </w:rPr>
      <mc:AlternateContent>
        <mc:Choice Requires="wps">
          <w:drawing>
            <wp:anchor distT="0" distB="0" distL="114300" distR="114300" simplePos="0" relativeHeight="251663360" behindDoc="0" locked="0" layoutInCell="1" allowOverlap="1" wp14:anchorId="7FB8926C" wp14:editId="71328B27">
              <wp:simplePos x="0" y="0"/>
              <wp:positionH relativeFrom="column">
                <wp:posOffset>1379855</wp:posOffset>
              </wp:positionH>
              <wp:positionV relativeFrom="paragraph">
                <wp:posOffset>60325</wp:posOffset>
              </wp:positionV>
              <wp:extent cx="5400040" cy="0"/>
              <wp:effectExtent l="17780" t="12700" r="11430" b="1587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18311D5" id="_x0000_t32" coordsize="21600,21600" o:spt="32" o:oned="t" path="m,l21600,21600e" filled="f">
              <v:path arrowok="t" fillok="f" o:connecttype="none"/>
              <o:lock v:ext="edit" shapetype="t"/>
            </v:shapetype>
            <v:shape id="Conector recto de flecha 4"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7C701217" w14:textId="5A940918" w:rsidR="00A56902" w:rsidRPr="00A56902" w:rsidRDefault="00A56902" w:rsidP="00A56902">
    <w:pPr>
      <w:tabs>
        <w:tab w:val="center" w:pos="4419"/>
        <w:tab w:val="right" w:pos="8838"/>
      </w:tabs>
      <w:spacing w:after="0" w:line="240" w:lineRule="auto"/>
      <w:jc w:val="right"/>
      <w:rPr>
        <w:rFonts w:ascii="Arial" w:eastAsia="Calibri" w:hAnsi="Arial" w:cs="Arial"/>
        <w:i/>
        <w:iCs/>
        <w:sz w:val="20"/>
        <w:szCs w:val="20"/>
        <w:lang w:eastAsia="es-ES_tradnl"/>
      </w:rPr>
    </w:pPr>
    <w:r w:rsidRPr="00A56902">
      <w:rPr>
        <w:rFonts w:ascii="Arial" w:eastAsia="Calibri" w:hAnsi="Arial" w:cs="Arial"/>
        <w:i/>
        <w:iCs/>
        <w:sz w:val="20"/>
        <w:szCs w:val="20"/>
        <w:lang w:eastAsia="es-ES_tradnl"/>
      </w:rPr>
      <w:t>Radicado: 11001-03-15-000-2022-06113-00</w:t>
    </w:r>
  </w:p>
  <w:p w14:paraId="72730399" w14:textId="57BDCF41" w:rsidR="00A56902" w:rsidRPr="00A56902" w:rsidRDefault="00A56902" w:rsidP="00A56902">
    <w:pPr>
      <w:tabs>
        <w:tab w:val="center" w:pos="4419"/>
        <w:tab w:val="right" w:pos="8838"/>
      </w:tabs>
      <w:spacing w:after="0" w:line="240" w:lineRule="auto"/>
      <w:jc w:val="right"/>
      <w:rPr>
        <w:rFonts w:ascii="Arial" w:eastAsia="Calibri" w:hAnsi="Arial" w:cs="Arial"/>
        <w:sz w:val="20"/>
        <w:szCs w:val="20"/>
        <w:lang w:eastAsia="es-ES_tradnl"/>
      </w:rPr>
    </w:pPr>
    <w:r w:rsidRPr="00A56902">
      <w:rPr>
        <w:rFonts w:ascii="Arial" w:eastAsia="Calibri" w:hAnsi="Arial" w:cs="Arial"/>
        <w:i/>
        <w:iCs/>
        <w:sz w:val="20"/>
        <w:szCs w:val="20"/>
        <w:lang w:eastAsia="es-ES_tradnl"/>
      </w:rPr>
      <w:tab/>
    </w:r>
    <w:r w:rsidRPr="00A56902">
      <w:rPr>
        <w:rFonts w:ascii="Arial" w:eastAsia="Calibri" w:hAnsi="Arial" w:cs="Arial"/>
        <w:i/>
        <w:iCs/>
        <w:sz w:val="20"/>
        <w:szCs w:val="20"/>
        <w:lang w:eastAsia="es-ES_tradnl"/>
      </w:rPr>
      <w:tab/>
      <w:t>Accionante: Administradora Colombiana de Pensiones—COLPENSIONES</w:t>
    </w:r>
  </w:p>
  <w:p w14:paraId="6592D32A" w14:textId="77777777" w:rsidR="00255DE0" w:rsidRPr="0049671C" w:rsidRDefault="00253B25" w:rsidP="00A56902">
    <w:pPr>
      <w:spacing w:before="240" w:after="0" w:line="240" w:lineRule="auto"/>
      <w:jc w:val="center"/>
      <w:rPr>
        <w:rFonts w:ascii="Arial" w:eastAsia="Calibri" w:hAnsi="Arial" w:cs="Arial"/>
        <w:b/>
        <w:caps/>
        <w:color w:val="000000"/>
        <w:sz w:val="24"/>
        <w:szCs w:val="16"/>
        <w:lang w:eastAsia="es-ES_tradnl"/>
      </w:rPr>
    </w:pPr>
    <w:r w:rsidRPr="0049671C">
      <w:rPr>
        <w:rFonts w:ascii="Arial" w:eastAsia="Calibri" w:hAnsi="Arial" w:cs="Arial"/>
        <w:b/>
        <w:caps/>
        <w:color w:val="000000"/>
        <w:sz w:val="24"/>
        <w:szCs w:val="16"/>
        <w:lang w:eastAsia="es-ES_tradnl"/>
      </w:rPr>
      <w:t>CONSEJO DE ESTADO</w:t>
    </w:r>
  </w:p>
  <w:p w14:paraId="4CBBCE6B" w14:textId="77777777" w:rsidR="00255DE0" w:rsidRPr="0049671C" w:rsidRDefault="00253B25" w:rsidP="00255DE0">
    <w:pPr>
      <w:spacing w:after="0" w:line="240" w:lineRule="auto"/>
      <w:jc w:val="center"/>
      <w:rPr>
        <w:rFonts w:ascii="Arial" w:eastAsia="Calibri" w:hAnsi="Arial" w:cs="Arial"/>
        <w:b/>
        <w:caps/>
        <w:color w:val="000000"/>
        <w:sz w:val="24"/>
        <w:szCs w:val="16"/>
        <w:lang w:eastAsia="es-ES_tradnl"/>
      </w:rPr>
    </w:pPr>
    <w:r w:rsidRPr="0049671C">
      <w:rPr>
        <w:rFonts w:ascii="Arial" w:eastAsia="Calibri" w:hAnsi="Arial" w:cs="Arial"/>
        <w:b/>
        <w:caps/>
        <w:color w:val="000000"/>
        <w:sz w:val="24"/>
        <w:szCs w:val="16"/>
        <w:lang w:eastAsia="es-ES_tradnl"/>
      </w:rPr>
      <w:t>SALA DE LO CONTENCIOSO ADMINISTRATIVO</w:t>
    </w:r>
  </w:p>
  <w:p w14:paraId="749ED473" w14:textId="77777777" w:rsidR="00C64737" w:rsidRDefault="00253B25" w:rsidP="00255DE0">
    <w:pPr>
      <w:spacing w:after="0" w:line="240" w:lineRule="auto"/>
      <w:jc w:val="center"/>
      <w:rPr>
        <w:rFonts w:ascii="Arial" w:eastAsia="Calibri" w:hAnsi="Arial" w:cs="Arial"/>
        <w:b/>
        <w:caps/>
        <w:color w:val="000000"/>
        <w:sz w:val="24"/>
        <w:szCs w:val="16"/>
        <w:lang w:eastAsia="es-ES_tradnl"/>
      </w:rPr>
    </w:pPr>
    <w:r w:rsidRPr="0049671C">
      <w:rPr>
        <w:rFonts w:ascii="Arial" w:eastAsia="Calibri" w:hAnsi="Arial" w:cs="Arial"/>
        <w:b/>
        <w:caps/>
        <w:color w:val="000000"/>
        <w:sz w:val="24"/>
        <w:szCs w:val="16"/>
        <w:lang w:eastAsia="es-ES_tradnl"/>
      </w:rPr>
      <w:t>SECCIÓN TERCERA</w:t>
    </w:r>
  </w:p>
  <w:p w14:paraId="5BEAC8BE" w14:textId="79DB7EDD" w:rsidR="00255DE0" w:rsidRPr="0049671C" w:rsidRDefault="00253B25" w:rsidP="00255DE0">
    <w:pPr>
      <w:spacing w:after="0" w:line="240" w:lineRule="auto"/>
      <w:jc w:val="center"/>
      <w:rPr>
        <w:rFonts w:ascii="Arial" w:eastAsia="Calibri" w:hAnsi="Arial" w:cs="Arial"/>
        <w:b/>
        <w:caps/>
        <w:color w:val="000000"/>
        <w:sz w:val="24"/>
        <w:szCs w:val="16"/>
        <w:lang w:eastAsia="es-ES_tradnl"/>
      </w:rPr>
    </w:pPr>
    <w:r w:rsidRPr="0049671C">
      <w:rPr>
        <w:rFonts w:ascii="Arial" w:eastAsia="Calibri" w:hAnsi="Arial" w:cs="Arial"/>
        <w:b/>
        <w:caps/>
        <w:color w:val="000000"/>
        <w:sz w:val="24"/>
        <w:szCs w:val="16"/>
        <w:lang w:eastAsia="es-ES_tradnl"/>
      </w:rPr>
      <w:t>SUBSECCIÓN C</w:t>
    </w:r>
  </w:p>
  <w:p w14:paraId="5924141D" w14:textId="77777777" w:rsidR="00255DE0" w:rsidRDefault="00E956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37"/>
    <w:rsid w:val="000034BB"/>
    <w:rsid w:val="000A3FC2"/>
    <w:rsid w:val="00127A6B"/>
    <w:rsid w:val="001A2977"/>
    <w:rsid w:val="00253B25"/>
    <w:rsid w:val="002D6DC6"/>
    <w:rsid w:val="0032593E"/>
    <w:rsid w:val="003D4CDA"/>
    <w:rsid w:val="00461D9D"/>
    <w:rsid w:val="004B4549"/>
    <w:rsid w:val="004E1682"/>
    <w:rsid w:val="00520926"/>
    <w:rsid w:val="00581DD4"/>
    <w:rsid w:val="00592FB2"/>
    <w:rsid w:val="005A4091"/>
    <w:rsid w:val="0065627A"/>
    <w:rsid w:val="006E4E4D"/>
    <w:rsid w:val="00714DBD"/>
    <w:rsid w:val="00735A86"/>
    <w:rsid w:val="007567F0"/>
    <w:rsid w:val="008056CA"/>
    <w:rsid w:val="00863D88"/>
    <w:rsid w:val="00887EDB"/>
    <w:rsid w:val="008E0657"/>
    <w:rsid w:val="008E5181"/>
    <w:rsid w:val="00A56902"/>
    <w:rsid w:val="00A675C5"/>
    <w:rsid w:val="00A779E0"/>
    <w:rsid w:val="00B102A3"/>
    <w:rsid w:val="00B85469"/>
    <w:rsid w:val="00C07412"/>
    <w:rsid w:val="00C34FB3"/>
    <w:rsid w:val="00C64737"/>
    <w:rsid w:val="00D86B0C"/>
    <w:rsid w:val="00D979AE"/>
    <w:rsid w:val="00DC09E7"/>
    <w:rsid w:val="00DC78DF"/>
    <w:rsid w:val="00E235EF"/>
    <w:rsid w:val="00E267CE"/>
    <w:rsid w:val="00E60C3C"/>
    <w:rsid w:val="00E956AE"/>
    <w:rsid w:val="00F10AF7"/>
    <w:rsid w:val="00F77029"/>
    <w:rsid w:val="00F87E30"/>
    <w:rsid w:val="00FB11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61366"/>
  <w15:chartTrackingRefBased/>
  <w15:docId w15:val="{C9108CA8-D816-4F1B-9B4B-79D822F3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9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47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737"/>
  </w:style>
  <w:style w:type="paragraph" w:styleId="Piedepgina">
    <w:name w:val="footer"/>
    <w:basedOn w:val="Normal"/>
    <w:link w:val="PiedepginaCar"/>
    <w:uiPriority w:val="99"/>
    <w:unhideWhenUsed/>
    <w:rsid w:val="00C647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737"/>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uiPriority w:val="99"/>
    <w:unhideWhenUsed/>
    <w:qFormat/>
    <w:rsid w:val="00C64737"/>
    <w:pPr>
      <w:spacing w:after="0" w:line="240" w:lineRule="auto"/>
      <w:jc w:val="both"/>
    </w:pPr>
    <w:rPr>
      <w:rFonts w:ascii="Arial" w:eastAsia="Calibri" w:hAnsi="Arial" w:cs="Arial"/>
      <w:sz w:val="20"/>
      <w:szCs w:val="20"/>
      <w:lang w:eastAsia="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C64737"/>
    <w:rPr>
      <w:rFonts w:ascii="Arial" w:eastAsia="Calibri" w:hAnsi="Arial" w:cs="Arial"/>
      <w:sz w:val="20"/>
      <w:szCs w:val="20"/>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basedOn w:val="Fuentedeprrafopredeter"/>
    <w:link w:val="4GChar"/>
    <w:uiPriority w:val="99"/>
    <w:unhideWhenUsed/>
    <w:qFormat/>
    <w:rsid w:val="00C64737"/>
    <w:rPr>
      <w:vertAlign w:val="superscript"/>
    </w:rPr>
  </w:style>
  <w:style w:type="character" w:customStyle="1" w:styleId="normaltextrun">
    <w:name w:val="normaltextrun"/>
    <w:basedOn w:val="Fuentedeprrafopredeter"/>
    <w:rsid w:val="00C6473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C64737"/>
    <w:pPr>
      <w:spacing w:after="0" w:line="240" w:lineRule="auto"/>
      <w:jc w:val="both"/>
    </w:pPr>
    <w:rPr>
      <w:vertAlign w:val="superscript"/>
    </w:rPr>
  </w:style>
  <w:style w:type="paragraph" w:customStyle="1" w:styleId="paragraph">
    <w:name w:val="paragraph"/>
    <w:basedOn w:val="Normal"/>
    <w:rsid w:val="00C6473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link w:val="Prrafodelista"/>
    <w:uiPriority w:val="34"/>
    <w:qFormat/>
    <w:locked/>
    <w:rsid w:val="00C64737"/>
    <w:rPr>
      <w:rFonts w:ascii="Calibri" w:eastAsia="Times New Roman" w:hAnsi="Calibri" w:cs="Times New Roman"/>
      <w:lang w:val="es-ES"/>
    </w:rPr>
  </w:style>
  <w:style w:type="paragraph" w:styleId="Prrafodelista">
    <w:name w:val="List Paragraph"/>
    <w:basedOn w:val="Normal"/>
    <w:link w:val="PrrafodelistaCar"/>
    <w:uiPriority w:val="34"/>
    <w:qFormat/>
    <w:rsid w:val="00C64737"/>
    <w:pPr>
      <w:spacing w:after="0" w:line="240" w:lineRule="auto"/>
      <w:ind w:left="708"/>
    </w:pPr>
    <w:rPr>
      <w:rFonts w:ascii="Calibri" w:eastAsia="Times New Roman" w:hAnsi="Calibri" w:cs="Times New Roman"/>
      <w:lang w:val="es-ES"/>
    </w:rPr>
  </w:style>
  <w:style w:type="character" w:styleId="Hipervnculo">
    <w:name w:val="Hyperlink"/>
    <w:basedOn w:val="Fuentedeprrafopredeter"/>
    <w:uiPriority w:val="99"/>
    <w:unhideWhenUsed/>
    <w:rsid w:val="00C64737"/>
    <w:rPr>
      <w:color w:val="0563C1" w:themeColor="hyperlink"/>
      <w:u w:val="single"/>
    </w:rPr>
  </w:style>
  <w:style w:type="paragraph" w:styleId="Revisin">
    <w:name w:val="Revision"/>
    <w:hidden/>
    <w:uiPriority w:val="99"/>
    <w:semiHidden/>
    <w:rsid w:val="003D4C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73">
      <w:bodyDiv w:val="1"/>
      <w:marLeft w:val="0"/>
      <w:marRight w:val="0"/>
      <w:marTop w:val="0"/>
      <w:marBottom w:val="0"/>
      <w:divBdr>
        <w:top w:val="none" w:sz="0" w:space="0" w:color="auto"/>
        <w:left w:val="none" w:sz="0" w:space="0" w:color="auto"/>
        <w:bottom w:val="none" w:sz="0" w:space="0" w:color="auto"/>
        <w:right w:val="none" w:sz="0" w:space="0" w:color="auto"/>
      </w:divBdr>
    </w:div>
    <w:div w:id="718750045">
      <w:bodyDiv w:val="1"/>
      <w:marLeft w:val="0"/>
      <w:marRight w:val="0"/>
      <w:marTop w:val="0"/>
      <w:marBottom w:val="0"/>
      <w:divBdr>
        <w:top w:val="none" w:sz="0" w:space="0" w:color="auto"/>
        <w:left w:val="none" w:sz="0" w:space="0" w:color="auto"/>
        <w:bottom w:val="none" w:sz="0" w:space="0" w:color="auto"/>
        <w:right w:val="none" w:sz="0" w:space="0" w:color="auto"/>
      </w:divBdr>
    </w:div>
    <w:div w:id="1206136140">
      <w:bodyDiv w:val="1"/>
      <w:marLeft w:val="0"/>
      <w:marRight w:val="0"/>
      <w:marTop w:val="0"/>
      <w:marBottom w:val="0"/>
      <w:divBdr>
        <w:top w:val="none" w:sz="0" w:space="0" w:color="auto"/>
        <w:left w:val="none" w:sz="0" w:space="0" w:color="auto"/>
        <w:bottom w:val="none" w:sz="0" w:space="0" w:color="auto"/>
        <w:right w:val="none" w:sz="0" w:space="0" w:color="auto"/>
      </w:divBdr>
    </w:div>
    <w:div w:id="1985548013">
      <w:bodyDiv w:val="1"/>
      <w:marLeft w:val="0"/>
      <w:marRight w:val="0"/>
      <w:marTop w:val="0"/>
      <w:marBottom w:val="0"/>
      <w:divBdr>
        <w:top w:val="none" w:sz="0" w:space="0" w:color="auto"/>
        <w:left w:val="none" w:sz="0" w:space="0" w:color="auto"/>
        <w:bottom w:val="none" w:sz="0" w:space="0" w:color="auto"/>
        <w:right w:val="none" w:sz="0" w:space="0" w:color="auto"/>
      </w:divBdr>
    </w:div>
    <w:div w:id="2137407567">
      <w:bodyDiv w:val="1"/>
      <w:marLeft w:val="0"/>
      <w:marRight w:val="0"/>
      <w:marTop w:val="0"/>
      <w:marBottom w:val="0"/>
      <w:divBdr>
        <w:top w:val="none" w:sz="0" w:space="0" w:color="auto"/>
        <w:left w:val="none" w:sz="0" w:space="0" w:color="auto"/>
        <w:bottom w:val="none" w:sz="0" w:space="0" w:color="auto"/>
        <w:right w:val="none" w:sz="0" w:space="0" w:color="auto"/>
      </w:divBdr>
      <w:divsChild>
        <w:div w:id="19742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297A9-9C18-4E4E-95FE-E912AE31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A2C26-A907-40FB-BF84-93D9D9E94823}">
  <ds:schemaRefs>
    <ds:schemaRef ds:uri="http://schemas.microsoft.com/sharepoint/v3/contenttype/forms"/>
  </ds:schemaRefs>
</ds:datastoreItem>
</file>

<file path=customXml/itemProps3.xml><?xml version="1.0" encoding="utf-8"?>
<ds:datastoreItem xmlns:ds="http://schemas.openxmlformats.org/officeDocument/2006/customXml" ds:itemID="{AFA27C75-4B86-42A7-B6FF-0E60D702BEDB}">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4.xml><?xml version="1.0" encoding="utf-8"?>
<ds:datastoreItem xmlns:ds="http://schemas.openxmlformats.org/officeDocument/2006/customXml" ds:itemID="{E86F5888-A4B6-48D4-9A2C-B9C59AF7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2779</Words>
  <Characters>15288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Mar Otero González</dc:creator>
  <cp:keywords/>
  <dc:description/>
  <cp:lastModifiedBy>Sonia Esther Jaimes Valencia</cp:lastModifiedBy>
  <cp:revision>5</cp:revision>
  <dcterms:created xsi:type="dcterms:W3CDTF">2023-01-23T21:18:00Z</dcterms:created>
  <dcterms:modified xsi:type="dcterms:W3CDTF">2023-01-25T14:46:00Z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