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12CDB" w14:textId="77777777" w:rsidR="00753BFF" w:rsidRDefault="00753BFF" w:rsidP="00D90EF0">
      <w:pPr>
        <w:spacing w:line="276" w:lineRule="auto"/>
        <w:ind w:right="51"/>
        <w:jc w:val="both"/>
        <w:rPr>
          <w:rFonts w:ascii="Arial" w:hAnsi="Arial" w:cs="Arial"/>
          <w:lang w:val="es-ES"/>
        </w:rPr>
      </w:pPr>
    </w:p>
    <w:p w14:paraId="1B02A321" w14:textId="77777777" w:rsidR="00D90EF0" w:rsidRDefault="00D90EF0" w:rsidP="00D90EF0">
      <w:pPr>
        <w:spacing w:line="276" w:lineRule="auto"/>
        <w:ind w:left="708" w:right="51"/>
        <w:jc w:val="both"/>
        <w:rPr>
          <w:rFonts w:ascii="Arial" w:hAnsi="Arial" w:cs="Arial"/>
          <w:lang w:val="es-ES"/>
        </w:rPr>
      </w:pPr>
      <w:r>
        <w:rPr>
          <w:rFonts w:ascii="Arial" w:eastAsia="Arial" w:hAnsi="Arial" w:cs="Arial"/>
          <w:b/>
          <w:lang w:val="es-ES"/>
        </w:rPr>
        <w:t>Magistrado</w:t>
      </w:r>
      <w:r w:rsidRPr="00753BFF">
        <w:rPr>
          <w:rFonts w:ascii="Arial" w:eastAsia="Arial" w:hAnsi="Arial" w:cs="Arial"/>
          <w:b/>
          <w:lang w:val="es-ES"/>
        </w:rPr>
        <w:t xml:space="preserve"> ponente: JAIME ENRIQUE RODRÍGUEZ NAVAS</w:t>
      </w:r>
    </w:p>
    <w:p w14:paraId="4F38ED19" w14:textId="77777777" w:rsidR="00D90EF0" w:rsidRPr="00753BFF" w:rsidRDefault="00D90EF0" w:rsidP="00D90EF0">
      <w:pPr>
        <w:spacing w:line="276" w:lineRule="auto"/>
        <w:ind w:right="51"/>
        <w:jc w:val="both"/>
        <w:rPr>
          <w:rFonts w:ascii="Arial" w:hAnsi="Arial" w:cs="Arial"/>
          <w:lang w:val="es-ES"/>
        </w:rPr>
      </w:pPr>
    </w:p>
    <w:p w14:paraId="55ECB631" w14:textId="01F2BD92" w:rsidR="00446455" w:rsidRPr="00FE6083" w:rsidRDefault="00446455" w:rsidP="00D90EF0">
      <w:pPr>
        <w:tabs>
          <w:tab w:val="left" w:pos="2552"/>
        </w:tabs>
        <w:spacing w:line="276" w:lineRule="auto"/>
        <w:jc w:val="both"/>
        <w:rPr>
          <w:rFonts w:ascii="Arial" w:hAnsi="Arial" w:cs="Arial"/>
          <w:b/>
          <w:bCs/>
          <w:color w:val="000000"/>
          <w:lang w:val="es-ES" w:eastAsia="es-CO"/>
        </w:rPr>
      </w:pPr>
      <w:r w:rsidRPr="00FE6083">
        <w:rPr>
          <w:rFonts w:ascii="Arial" w:hAnsi="Arial" w:cs="Arial"/>
          <w:b/>
          <w:bCs/>
          <w:color w:val="000000"/>
          <w:lang w:val="es-ES" w:eastAsia="es-CO"/>
        </w:rPr>
        <w:t xml:space="preserve">Bogotá, D.C., </w:t>
      </w:r>
      <w:r w:rsidR="00782EA7">
        <w:rPr>
          <w:rFonts w:ascii="Arial" w:hAnsi="Arial" w:cs="Arial"/>
          <w:b/>
          <w:bCs/>
          <w:color w:val="000000"/>
          <w:lang w:val="es-ES" w:eastAsia="es-CO"/>
        </w:rPr>
        <w:t>veinti</w:t>
      </w:r>
      <w:r w:rsidR="00E321AC">
        <w:rPr>
          <w:rFonts w:ascii="Arial" w:hAnsi="Arial" w:cs="Arial"/>
          <w:b/>
          <w:bCs/>
          <w:color w:val="000000"/>
          <w:lang w:val="es-ES" w:eastAsia="es-CO"/>
        </w:rPr>
        <w:t>ocho</w:t>
      </w:r>
      <w:r w:rsidR="00FE6083" w:rsidRPr="00FE6083">
        <w:rPr>
          <w:rFonts w:ascii="Arial" w:hAnsi="Arial" w:cs="Arial"/>
          <w:b/>
          <w:bCs/>
          <w:color w:val="000000"/>
          <w:lang w:val="es-ES" w:eastAsia="es-CO"/>
        </w:rPr>
        <w:t xml:space="preserve"> (</w:t>
      </w:r>
      <w:r w:rsidR="00602E7B">
        <w:rPr>
          <w:rFonts w:ascii="Arial" w:hAnsi="Arial" w:cs="Arial"/>
          <w:b/>
          <w:bCs/>
          <w:color w:val="000000"/>
          <w:lang w:val="es-ES" w:eastAsia="es-CO"/>
        </w:rPr>
        <w:t>2</w:t>
      </w:r>
      <w:r w:rsidR="00851E1B">
        <w:rPr>
          <w:rFonts w:ascii="Arial" w:hAnsi="Arial" w:cs="Arial"/>
          <w:b/>
          <w:bCs/>
          <w:color w:val="000000"/>
          <w:lang w:val="es-ES" w:eastAsia="es-CO"/>
        </w:rPr>
        <w:t>8</w:t>
      </w:r>
      <w:r w:rsidR="00FE6083" w:rsidRPr="00FE6083">
        <w:rPr>
          <w:rFonts w:ascii="Arial" w:hAnsi="Arial" w:cs="Arial"/>
          <w:b/>
          <w:bCs/>
          <w:color w:val="000000"/>
          <w:lang w:val="es-ES" w:eastAsia="es-CO"/>
        </w:rPr>
        <w:t xml:space="preserve">) de </w:t>
      </w:r>
      <w:r w:rsidR="00E321AC">
        <w:rPr>
          <w:rFonts w:ascii="Arial" w:hAnsi="Arial" w:cs="Arial"/>
          <w:b/>
          <w:bCs/>
          <w:color w:val="000000"/>
          <w:lang w:val="es-ES" w:eastAsia="es-CO"/>
        </w:rPr>
        <w:t>abril</w:t>
      </w:r>
      <w:r w:rsidR="00FE6083" w:rsidRPr="00FE6083">
        <w:rPr>
          <w:rFonts w:ascii="Arial" w:hAnsi="Arial" w:cs="Arial"/>
          <w:b/>
          <w:bCs/>
          <w:color w:val="000000"/>
          <w:lang w:val="es-ES" w:eastAsia="es-CO"/>
        </w:rPr>
        <w:t xml:space="preserve"> de dos mil veint</w:t>
      </w:r>
      <w:r w:rsidR="00602E7B">
        <w:rPr>
          <w:rFonts w:ascii="Arial" w:hAnsi="Arial" w:cs="Arial"/>
          <w:b/>
          <w:bCs/>
          <w:color w:val="000000"/>
          <w:lang w:val="es-ES" w:eastAsia="es-CO"/>
        </w:rPr>
        <w:t>itrés</w:t>
      </w:r>
      <w:r w:rsidR="00FE6083" w:rsidRPr="00FE6083">
        <w:rPr>
          <w:rFonts w:ascii="Arial" w:hAnsi="Arial" w:cs="Arial"/>
          <w:b/>
          <w:bCs/>
          <w:color w:val="000000"/>
          <w:lang w:val="es-ES" w:eastAsia="es-CO"/>
        </w:rPr>
        <w:t xml:space="preserve"> (202</w:t>
      </w:r>
      <w:r w:rsidR="00602E7B">
        <w:rPr>
          <w:rFonts w:ascii="Arial" w:hAnsi="Arial" w:cs="Arial"/>
          <w:b/>
          <w:bCs/>
          <w:color w:val="000000"/>
          <w:lang w:val="es-ES" w:eastAsia="es-CO"/>
        </w:rPr>
        <w:t>3</w:t>
      </w:r>
      <w:r w:rsidR="00FE6083" w:rsidRPr="00FE6083">
        <w:rPr>
          <w:rFonts w:ascii="Arial" w:hAnsi="Arial" w:cs="Arial"/>
          <w:b/>
          <w:bCs/>
          <w:color w:val="000000"/>
          <w:lang w:val="es-ES" w:eastAsia="es-CO"/>
        </w:rPr>
        <w:t>)</w:t>
      </w:r>
      <w:r w:rsidR="00FC2F63">
        <w:rPr>
          <w:rFonts w:ascii="Arial" w:hAnsi="Arial" w:cs="Arial"/>
          <w:b/>
          <w:bCs/>
          <w:color w:val="000000"/>
          <w:lang w:val="es-ES" w:eastAsia="es-CO"/>
        </w:rPr>
        <w:t xml:space="preserve">. </w:t>
      </w:r>
    </w:p>
    <w:p w14:paraId="74C90EF0" w14:textId="77777777" w:rsidR="00FE6083" w:rsidRPr="00753BFF" w:rsidRDefault="00FE6083" w:rsidP="00D90EF0">
      <w:pPr>
        <w:tabs>
          <w:tab w:val="left" w:pos="2552"/>
        </w:tabs>
        <w:spacing w:line="276" w:lineRule="auto"/>
        <w:ind w:right="51"/>
        <w:jc w:val="both"/>
        <w:rPr>
          <w:rFonts w:ascii="Arial" w:hAnsi="Arial" w:cs="Arial"/>
          <w:b/>
          <w:lang w:val="es-ES"/>
        </w:rPr>
      </w:pPr>
    </w:p>
    <w:tbl>
      <w:tblPr>
        <w:tblW w:w="9039" w:type="dxa"/>
        <w:tblLook w:val="04A0" w:firstRow="1" w:lastRow="0" w:firstColumn="1" w:lastColumn="0" w:noHBand="0" w:noVBand="1"/>
      </w:tblPr>
      <w:tblGrid>
        <w:gridCol w:w="3227"/>
        <w:gridCol w:w="5812"/>
      </w:tblGrid>
      <w:tr w:rsidR="009A10D1" w:rsidRPr="00753BFF" w14:paraId="11E295D0" w14:textId="77777777" w:rsidTr="00E86DAE">
        <w:trPr>
          <w:trHeight w:val="305"/>
        </w:trPr>
        <w:tc>
          <w:tcPr>
            <w:tcW w:w="3227" w:type="dxa"/>
          </w:tcPr>
          <w:p w14:paraId="604EF0EA" w14:textId="77777777" w:rsidR="009A10D1" w:rsidRPr="00753BFF" w:rsidRDefault="009A10D1" w:rsidP="00C54079">
            <w:pPr>
              <w:ind w:right="51"/>
              <w:jc w:val="both"/>
              <w:rPr>
                <w:rFonts w:ascii="Arial" w:hAnsi="Arial" w:cs="Arial"/>
                <w:lang w:val="es-ES"/>
              </w:rPr>
            </w:pPr>
            <w:r w:rsidRPr="00753BFF">
              <w:rPr>
                <w:rFonts w:ascii="Arial" w:hAnsi="Arial" w:cs="Arial"/>
                <w:b/>
                <w:lang w:val="es-ES"/>
              </w:rPr>
              <w:t xml:space="preserve">Radicado </w:t>
            </w:r>
            <w:r w:rsidR="00E300F2" w:rsidRPr="00753BFF">
              <w:rPr>
                <w:rFonts w:ascii="Arial" w:hAnsi="Arial" w:cs="Arial"/>
                <w:b/>
                <w:lang w:val="es-ES"/>
              </w:rPr>
              <w:t>n</w:t>
            </w:r>
            <w:r w:rsidRPr="00753BFF">
              <w:rPr>
                <w:rFonts w:ascii="Arial" w:hAnsi="Arial" w:cs="Arial"/>
                <w:b/>
                <w:lang w:val="es-ES"/>
              </w:rPr>
              <w:t>úmero:</w:t>
            </w:r>
          </w:p>
        </w:tc>
        <w:tc>
          <w:tcPr>
            <w:tcW w:w="5812" w:type="dxa"/>
          </w:tcPr>
          <w:p w14:paraId="4F7D3838" w14:textId="585F2FE0" w:rsidR="009A10D1" w:rsidRPr="009F3B75" w:rsidRDefault="001B1A10" w:rsidP="00C54079">
            <w:pPr>
              <w:ind w:right="51"/>
              <w:jc w:val="both"/>
              <w:rPr>
                <w:rFonts w:ascii="Arial" w:hAnsi="Arial" w:cs="Arial"/>
                <w:lang w:val="es-ES"/>
              </w:rPr>
            </w:pPr>
            <w:r w:rsidRPr="009F3B75">
              <w:rPr>
                <w:rFonts w:ascii="Arial" w:hAnsi="Arial" w:cs="Arial"/>
                <w:lang w:val="es-ES"/>
              </w:rPr>
              <w:t>11001-03-15-000-202</w:t>
            </w:r>
            <w:r w:rsidR="00E321AC">
              <w:rPr>
                <w:rFonts w:ascii="Arial" w:hAnsi="Arial" w:cs="Arial"/>
                <w:lang w:val="es-ES"/>
              </w:rPr>
              <w:t>3</w:t>
            </w:r>
            <w:r w:rsidRPr="009F3B75">
              <w:rPr>
                <w:rFonts w:ascii="Arial" w:hAnsi="Arial" w:cs="Arial"/>
                <w:lang w:val="es-ES"/>
              </w:rPr>
              <w:t>-0</w:t>
            </w:r>
            <w:r w:rsidR="00E321AC">
              <w:rPr>
                <w:rFonts w:ascii="Arial" w:hAnsi="Arial" w:cs="Arial"/>
                <w:lang w:val="es-ES"/>
              </w:rPr>
              <w:t>1390</w:t>
            </w:r>
            <w:r w:rsidRPr="009F3B75">
              <w:rPr>
                <w:rFonts w:ascii="Arial" w:hAnsi="Arial" w:cs="Arial"/>
                <w:lang w:val="es-ES"/>
              </w:rPr>
              <w:t>-00</w:t>
            </w:r>
            <w:r w:rsidR="00FC2F63">
              <w:rPr>
                <w:rFonts w:ascii="Arial" w:hAnsi="Arial" w:cs="Arial"/>
                <w:lang w:val="es-ES"/>
              </w:rPr>
              <w:t>.</w:t>
            </w:r>
          </w:p>
        </w:tc>
      </w:tr>
      <w:tr w:rsidR="009A10D1" w:rsidRPr="00753BFF" w14:paraId="212E5182" w14:textId="77777777" w:rsidTr="00E86DAE">
        <w:trPr>
          <w:trHeight w:val="305"/>
        </w:trPr>
        <w:tc>
          <w:tcPr>
            <w:tcW w:w="3227" w:type="dxa"/>
          </w:tcPr>
          <w:p w14:paraId="3C99FB65" w14:textId="2642F71F" w:rsidR="009A10D1" w:rsidRPr="00753BFF" w:rsidRDefault="00CD71C3" w:rsidP="00C54079">
            <w:pPr>
              <w:ind w:right="51"/>
              <w:jc w:val="both"/>
              <w:rPr>
                <w:rFonts w:ascii="Arial" w:hAnsi="Arial" w:cs="Arial"/>
                <w:lang w:val="es-ES"/>
              </w:rPr>
            </w:pPr>
            <w:r>
              <w:rPr>
                <w:rFonts w:ascii="Arial" w:hAnsi="Arial" w:cs="Arial"/>
                <w:b/>
                <w:lang w:val="es-ES"/>
              </w:rPr>
              <w:t>Accionante</w:t>
            </w:r>
            <w:r w:rsidR="009A10D1" w:rsidRPr="00753BFF">
              <w:rPr>
                <w:rFonts w:ascii="Arial" w:hAnsi="Arial" w:cs="Arial"/>
                <w:b/>
                <w:lang w:val="es-ES"/>
              </w:rPr>
              <w:t>:</w:t>
            </w:r>
          </w:p>
        </w:tc>
        <w:tc>
          <w:tcPr>
            <w:tcW w:w="5812" w:type="dxa"/>
          </w:tcPr>
          <w:p w14:paraId="7A4E1952" w14:textId="1C731C6B" w:rsidR="009A10D1" w:rsidRPr="009F3B75" w:rsidRDefault="00A8598F" w:rsidP="00C54079">
            <w:pPr>
              <w:ind w:right="51"/>
              <w:jc w:val="both"/>
              <w:rPr>
                <w:rFonts w:ascii="Arial" w:hAnsi="Arial" w:cs="Arial"/>
                <w:lang w:val="es-ES"/>
              </w:rPr>
            </w:pPr>
            <w:r>
              <w:rPr>
                <w:rFonts w:ascii="Arial" w:hAnsi="Arial" w:cs="Arial"/>
                <w:lang w:val="es-ES"/>
              </w:rPr>
              <w:t>Blanca Amparo Vélez Castro</w:t>
            </w:r>
            <w:r w:rsidR="00FC2F63">
              <w:rPr>
                <w:rFonts w:ascii="Arial" w:hAnsi="Arial" w:cs="Arial"/>
                <w:lang w:val="es-ES"/>
              </w:rPr>
              <w:t>.</w:t>
            </w:r>
          </w:p>
        </w:tc>
      </w:tr>
      <w:tr w:rsidR="009A10D1" w:rsidRPr="00753BFF" w14:paraId="06438BF5" w14:textId="77777777" w:rsidTr="00E86DAE">
        <w:trPr>
          <w:trHeight w:val="305"/>
        </w:trPr>
        <w:tc>
          <w:tcPr>
            <w:tcW w:w="3227" w:type="dxa"/>
          </w:tcPr>
          <w:p w14:paraId="08F99F4D" w14:textId="082AD36F" w:rsidR="009A10D1" w:rsidRPr="00753BFF" w:rsidRDefault="00CD71C3" w:rsidP="00C54079">
            <w:pPr>
              <w:ind w:right="51"/>
              <w:jc w:val="both"/>
              <w:rPr>
                <w:rFonts w:ascii="Arial" w:hAnsi="Arial" w:cs="Arial"/>
                <w:lang w:val="es-ES"/>
              </w:rPr>
            </w:pPr>
            <w:r>
              <w:rPr>
                <w:rFonts w:ascii="Arial" w:hAnsi="Arial" w:cs="Arial"/>
                <w:b/>
                <w:lang w:val="es-ES"/>
              </w:rPr>
              <w:t>Accion</w:t>
            </w:r>
            <w:r w:rsidR="009A10D1" w:rsidRPr="00753BFF">
              <w:rPr>
                <w:rFonts w:ascii="Arial" w:hAnsi="Arial" w:cs="Arial"/>
                <w:b/>
                <w:lang w:val="es-ES"/>
              </w:rPr>
              <w:t>ados:</w:t>
            </w:r>
          </w:p>
        </w:tc>
        <w:tc>
          <w:tcPr>
            <w:tcW w:w="5812" w:type="dxa"/>
          </w:tcPr>
          <w:p w14:paraId="6B6113DA" w14:textId="07160293" w:rsidR="009A10D1" w:rsidRPr="009F3B75" w:rsidRDefault="00A8598F" w:rsidP="00C54079">
            <w:pPr>
              <w:ind w:right="51"/>
              <w:jc w:val="both"/>
              <w:rPr>
                <w:rFonts w:ascii="Arial" w:hAnsi="Arial" w:cs="Arial"/>
                <w:lang w:val="es-ES"/>
              </w:rPr>
            </w:pPr>
            <w:r>
              <w:rPr>
                <w:rFonts w:ascii="Arial" w:hAnsi="Arial" w:cs="Arial"/>
                <w:lang w:val="es-ES"/>
              </w:rPr>
              <w:t>Consejo de Estado-Sección Segunda-Subsección B y Tribunal Administrativo de Caldas</w:t>
            </w:r>
            <w:r w:rsidR="00FC2F63">
              <w:rPr>
                <w:rFonts w:ascii="Arial" w:hAnsi="Arial" w:cs="Arial"/>
                <w:lang w:val="es-ES"/>
              </w:rPr>
              <w:t>.</w:t>
            </w:r>
          </w:p>
        </w:tc>
      </w:tr>
      <w:tr w:rsidR="009A10D1" w:rsidRPr="00753BFF" w14:paraId="0494400D" w14:textId="77777777" w:rsidTr="00E86DAE">
        <w:trPr>
          <w:trHeight w:val="320"/>
        </w:trPr>
        <w:tc>
          <w:tcPr>
            <w:tcW w:w="3227" w:type="dxa"/>
          </w:tcPr>
          <w:p w14:paraId="685CEFEC" w14:textId="77777777" w:rsidR="009A10D1" w:rsidRPr="00753BFF" w:rsidRDefault="009A10D1" w:rsidP="00C54079">
            <w:pPr>
              <w:ind w:right="51"/>
              <w:jc w:val="both"/>
              <w:rPr>
                <w:rFonts w:ascii="Arial" w:hAnsi="Arial" w:cs="Arial"/>
                <w:b/>
                <w:lang w:val="es-ES"/>
              </w:rPr>
            </w:pPr>
            <w:r w:rsidRPr="00753BFF">
              <w:rPr>
                <w:rFonts w:ascii="Arial" w:hAnsi="Arial" w:cs="Arial"/>
                <w:b/>
                <w:lang w:val="es-ES"/>
              </w:rPr>
              <w:t>Referencia:</w:t>
            </w:r>
          </w:p>
        </w:tc>
        <w:tc>
          <w:tcPr>
            <w:tcW w:w="5812" w:type="dxa"/>
          </w:tcPr>
          <w:p w14:paraId="506D1A3C" w14:textId="726D82BD" w:rsidR="009A10D1" w:rsidRPr="00753BFF" w:rsidRDefault="009A10D1" w:rsidP="00C54079">
            <w:pPr>
              <w:ind w:right="51"/>
              <w:jc w:val="both"/>
              <w:rPr>
                <w:rFonts w:ascii="Arial" w:hAnsi="Arial" w:cs="Arial"/>
                <w:lang w:val="es-ES"/>
              </w:rPr>
            </w:pPr>
            <w:r w:rsidRPr="00753BFF">
              <w:rPr>
                <w:rFonts w:ascii="Arial" w:hAnsi="Arial" w:cs="Arial"/>
                <w:lang w:val="es-ES"/>
              </w:rPr>
              <w:t xml:space="preserve">Acción de </w:t>
            </w:r>
            <w:r w:rsidR="00BC0083">
              <w:rPr>
                <w:rFonts w:ascii="Arial" w:hAnsi="Arial" w:cs="Arial"/>
                <w:lang w:val="es-ES"/>
              </w:rPr>
              <w:t>tutela</w:t>
            </w:r>
            <w:r w:rsidR="00FC2F63">
              <w:rPr>
                <w:rFonts w:ascii="Arial" w:hAnsi="Arial" w:cs="Arial"/>
                <w:lang w:val="es-ES"/>
              </w:rPr>
              <w:t>.</w:t>
            </w:r>
          </w:p>
        </w:tc>
      </w:tr>
    </w:tbl>
    <w:p w14:paraId="4669D471" w14:textId="77777777" w:rsidR="00FE6083" w:rsidRDefault="00FE6083" w:rsidP="00D90EF0">
      <w:pPr>
        <w:spacing w:line="276" w:lineRule="auto"/>
        <w:ind w:right="51"/>
        <w:jc w:val="both"/>
        <w:rPr>
          <w:rFonts w:ascii="Arial" w:hAnsi="Arial" w:cs="Arial"/>
          <w:b/>
          <w:sz w:val="20"/>
          <w:szCs w:val="20"/>
          <w:lang w:val="es-ES"/>
        </w:rPr>
      </w:pPr>
    </w:p>
    <w:p w14:paraId="6507C2D9" w14:textId="61B11923" w:rsidR="00FE6083" w:rsidRPr="0097105E" w:rsidRDefault="004B22BA" w:rsidP="00D90EF0">
      <w:pPr>
        <w:spacing w:line="276" w:lineRule="auto"/>
        <w:ind w:right="51"/>
        <w:jc w:val="both"/>
        <w:rPr>
          <w:rFonts w:ascii="Arial" w:hAnsi="Arial" w:cs="Arial"/>
          <w:b/>
          <w:sz w:val="20"/>
          <w:szCs w:val="20"/>
          <w:highlight w:val="yellow"/>
          <w:lang w:val="es-ES"/>
        </w:rPr>
      </w:pPr>
      <w:r w:rsidRPr="009F3B75">
        <w:rPr>
          <w:rFonts w:ascii="Arial" w:hAnsi="Arial" w:cs="Arial"/>
          <w:b/>
          <w:sz w:val="20"/>
          <w:szCs w:val="20"/>
          <w:lang w:val="es-ES"/>
        </w:rPr>
        <w:t>T</w:t>
      </w:r>
      <w:r w:rsidR="00AE6342" w:rsidRPr="009F3B75">
        <w:rPr>
          <w:rFonts w:ascii="Arial" w:hAnsi="Arial" w:cs="Arial"/>
          <w:b/>
          <w:sz w:val="20"/>
          <w:szCs w:val="20"/>
          <w:lang w:val="es-ES"/>
        </w:rPr>
        <w:t xml:space="preserve">ema: </w:t>
      </w:r>
      <w:r w:rsidR="00142F66" w:rsidRPr="009F3B75">
        <w:rPr>
          <w:rFonts w:ascii="Arial" w:hAnsi="Arial" w:cs="Arial"/>
          <w:bCs/>
          <w:sz w:val="20"/>
          <w:szCs w:val="20"/>
          <w:lang w:val="es-ES"/>
        </w:rPr>
        <w:t>t</w:t>
      </w:r>
      <w:r w:rsidR="00317A52" w:rsidRPr="009F3B75">
        <w:rPr>
          <w:rFonts w:ascii="Arial" w:hAnsi="Arial" w:cs="Arial"/>
          <w:bCs/>
          <w:sz w:val="20"/>
          <w:szCs w:val="20"/>
          <w:lang w:val="es-ES"/>
        </w:rPr>
        <w:t>utela contra providencia judicial</w:t>
      </w:r>
      <w:r w:rsidR="009F3B75">
        <w:rPr>
          <w:rFonts w:ascii="Arial" w:hAnsi="Arial" w:cs="Arial"/>
          <w:bCs/>
          <w:sz w:val="20"/>
          <w:szCs w:val="20"/>
          <w:lang w:val="es-ES"/>
        </w:rPr>
        <w:t>.</w:t>
      </w:r>
      <w:r w:rsidR="009A10D1" w:rsidRPr="0097105E">
        <w:rPr>
          <w:rFonts w:ascii="Arial" w:hAnsi="Arial" w:cs="Arial"/>
          <w:b/>
          <w:sz w:val="20"/>
          <w:szCs w:val="20"/>
          <w:highlight w:val="yellow"/>
          <w:lang w:val="es-ES"/>
        </w:rPr>
        <w:t xml:space="preserve"> </w:t>
      </w:r>
    </w:p>
    <w:p w14:paraId="1C914E60" w14:textId="0D427C31" w:rsidR="00142F66" w:rsidRPr="006713A3" w:rsidRDefault="00142F66" w:rsidP="00D90EF0">
      <w:pPr>
        <w:spacing w:line="276" w:lineRule="auto"/>
        <w:ind w:right="51"/>
        <w:jc w:val="both"/>
        <w:rPr>
          <w:rFonts w:ascii="Arial" w:hAnsi="Arial" w:cs="Arial"/>
          <w:bCs/>
          <w:sz w:val="20"/>
          <w:szCs w:val="20"/>
          <w:lang w:val="es-ES"/>
        </w:rPr>
      </w:pPr>
      <w:r w:rsidRPr="006713A3">
        <w:rPr>
          <w:rFonts w:ascii="Arial" w:hAnsi="Arial" w:cs="Arial"/>
          <w:b/>
          <w:sz w:val="20"/>
          <w:szCs w:val="20"/>
          <w:lang w:val="es-ES"/>
        </w:rPr>
        <w:t>Subtema 1:</w:t>
      </w:r>
      <w:r w:rsidR="00844C40" w:rsidRPr="006713A3">
        <w:rPr>
          <w:rFonts w:ascii="Arial" w:hAnsi="Arial" w:cs="Arial"/>
          <w:bCs/>
          <w:sz w:val="20"/>
          <w:szCs w:val="20"/>
          <w:lang w:val="es-ES"/>
        </w:rPr>
        <w:t xml:space="preserve"> </w:t>
      </w:r>
      <w:r w:rsidR="006713A3" w:rsidRPr="00D86B0C">
        <w:rPr>
          <w:rFonts w:ascii="Arial" w:eastAsia="Calibri" w:hAnsi="Arial" w:cs="Arial"/>
          <w:bCs/>
          <w:sz w:val="20"/>
          <w:szCs w:val="20"/>
        </w:rPr>
        <w:t>requisitos generales y específicos</w:t>
      </w:r>
      <w:r w:rsidR="006713A3">
        <w:rPr>
          <w:rFonts w:ascii="Arial" w:eastAsia="Calibri" w:hAnsi="Arial" w:cs="Arial"/>
          <w:bCs/>
          <w:sz w:val="20"/>
          <w:szCs w:val="20"/>
        </w:rPr>
        <w:t xml:space="preserve"> </w:t>
      </w:r>
      <w:r w:rsidR="006713A3" w:rsidRPr="00D86B0C">
        <w:rPr>
          <w:rFonts w:ascii="Arial" w:eastAsia="Calibri" w:hAnsi="Arial" w:cs="Arial"/>
          <w:bCs/>
          <w:sz w:val="20"/>
          <w:szCs w:val="20"/>
        </w:rPr>
        <w:t>de procedencia de la acción de tutela</w:t>
      </w:r>
      <w:r w:rsidR="006713A3">
        <w:rPr>
          <w:rFonts w:ascii="Arial" w:eastAsia="Calibri" w:hAnsi="Arial" w:cs="Arial"/>
          <w:bCs/>
          <w:sz w:val="20"/>
          <w:szCs w:val="20"/>
        </w:rPr>
        <w:t xml:space="preserve"> contra providencias judiciales</w:t>
      </w:r>
    </w:p>
    <w:p w14:paraId="1CF58940" w14:textId="24921B41" w:rsidR="000C57D1" w:rsidRPr="006713A3" w:rsidRDefault="000C57D1" w:rsidP="00D90EF0">
      <w:pPr>
        <w:spacing w:line="276" w:lineRule="auto"/>
        <w:ind w:right="51"/>
        <w:jc w:val="both"/>
        <w:rPr>
          <w:rFonts w:ascii="Arial" w:hAnsi="Arial" w:cs="Arial"/>
          <w:bCs/>
          <w:sz w:val="20"/>
          <w:szCs w:val="20"/>
          <w:lang w:val="es-ES"/>
        </w:rPr>
      </w:pPr>
      <w:r w:rsidRPr="006713A3">
        <w:rPr>
          <w:rFonts w:ascii="Arial" w:hAnsi="Arial" w:cs="Arial"/>
          <w:b/>
          <w:sz w:val="20"/>
          <w:szCs w:val="20"/>
          <w:lang w:val="es-ES"/>
        </w:rPr>
        <w:t xml:space="preserve">Subtema </w:t>
      </w:r>
      <w:r w:rsidR="006713A3">
        <w:rPr>
          <w:rFonts w:ascii="Arial" w:hAnsi="Arial" w:cs="Arial"/>
          <w:b/>
          <w:sz w:val="20"/>
          <w:szCs w:val="20"/>
          <w:lang w:val="es-ES"/>
        </w:rPr>
        <w:t>2</w:t>
      </w:r>
      <w:r w:rsidRPr="006713A3">
        <w:rPr>
          <w:rFonts w:ascii="Arial" w:hAnsi="Arial" w:cs="Arial"/>
          <w:b/>
          <w:sz w:val="20"/>
          <w:szCs w:val="20"/>
          <w:lang w:val="es-ES"/>
        </w:rPr>
        <w:t>:</w:t>
      </w:r>
      <w:r w:rsidRPr="006713A3">
        <w:rPr>
          <w:rFonts w:ascii="Arial" w:hAnsi="Arial" w:cs="Arial"/>
          <w:bCs/>
          <w:sz w:val="20"/>
          <w:szCs w:val="20"/>
          <w:lang w:val="es-ES"/>
        </w:rPr>
        <w:t xml:space="preserve"> relevancia constitucional.</w:t>
      </w:r>
    </w:p>
    <w:p w14:paraId="2B2E98F4" w14:textId="77777777" w:rsidR="009524F3" w:rsidRPr="00753BFF" w:rsidRDefault="009524F3" w:rsidP="00D90EF0">
      <w:pPr>
        <w:spacing w:line="276" w:lineRule="auto"/>
        <w:contextualSpacing/>
        <w:jc w:val="both"/>
        <w:rPr>
          <w:rFonts w:ascii="Arial" w:hAnsi="Arial" w:cs="Arial"/>
          <w:color w:val="0D0D0D"/>
          <w:spacing w:val="-3"/>
          <w:lang w:val="es-ES" w:eastAsia="zh-CN"/>
        </w:rPr>
      </w:pPr>
    </w:p>
    <w:p w14:paraId="35747544" w14:textId="0EE23D33" w:rsidR="00083E71" w:rsidRPr="00753BFF" w:rsidRDefault="00083E71" w:rsidP="00D90EF0">
      <w:pPr>
        <w:pBdr>
          <w:bottom w:val="single" w:sz="12" w:space="0" w:color="auto"/>
        </w:pBdr>
        <w:spacing w:line="276" w:lineRule="auto"/>
        <w:ind w:left="2832" w:hanging="2832"/>
        <w:jc w:val="both"/>
        <w:rPr>
          <w:rFonts w:ascii="Arial" w:hAnsi="Arial" w:cs="Arial"/>
          <w:b/>
          <w:lang w:val="es-ES"/>
        </w:rPr>
      </w:pPr>
      <w:r w:rsidRPr="00753BFF">
        <w:rPr>
          <w:rFonts w:ascii="Arial" w:hAnsi="Arial" w:cs="Arial"/>
          <w:b/>
          <w:lang w:val="es-ES"/>
        </w:rPr>
        <w:t xml:space="preserve">SENTENCIA </w:t>
      </w:r>
      <w:r w:rsidR="001B1A10">
        <w:rPr>
          <w:rFonts w:ascii="Arial" w:hAnsi="Arial" w:cs="Arial"/>
          <w:b/>
          <w:lang w:val="es-ES"/>
        </w:rPr>
        <w:t>DE PRIMERA</w:t>
      </w:r>
      <w:r w:rsidRPr="00753BFF">
        <w:rPr>
          <w:rFonts w:ascii="Arial" w:hAnsi="Arial" w:cs="Arial"/>
          <w:b/>
          <w:lang w:val="es-ES"/>
        </w:rPr>
        <w:t xml:space="preserve"> INSTANCIA</w:t>
      </w:r>
    </w:p>
    <w:p w14:paraId="4FC37882" w14:textId="77777777" w:rsidR="00753BFF" w:rsidRPr="00753BFF" w:rsidRDefault="00753BFF" w:rsidP="00D90EF0">
      <w:pPr>
        <w:spacing w:line="276" w:lineRule="auto"/>
        <w:contextualSpacing/>
        <w:jc w:val="both"/>
        <w:rPr>
          <w:rFonts w:ascii="Arial" w:hAnsi="Arial" w:cs="Arial"/>
          <w:color w:val="0D0D0D"/>
          <w:spacing w:val="-3"/>
          <w:lang w:val="es-ES" w:eastAsia="zh-CN"/>
        </w:rPr>
      </w:pPr>
    </w:p>
    <w:p w14:paraId="2F58663A" w14:textId="0DFA7D22" w:rsidR="001B1A10" w:rsidRPr="009412BC" w:rsidRDefault="001B1A10" w:rsidP="001B1A10">
      <w:pPr>
        <w:pStyle w:val="Textoindependiente21"/>
        <w:spacing w:after="0"/>
        <w:ind w:left="0"/>
        <w:jc w:val="both"/>
        <w:rPr>
          <w:rFonts w:cs="Arial"/>
          <w:bCs/>
          <w:sz w:val="24"/>
          <w:szCs w:val="24"/>
          <w:lang w:val="es-CO"/>
        </w:rPr>
      </w:pPr>
      <w:r w:rsidRPr="009412BC">
        <w:rPr>
          <w:rFonts w:cs="Arial"/>
          <w:sz w:val="24"/>
          <w:szCs w:val="24"/>
        </w:rPr>
        <w:t>La Sala decide, en primera instancia, la acción de tutela incoada por</w:t>
      </w:r>
      <w:r w:rsidR="00033234">
        <w:rPr>
          <w:rFonts w:cs="Arial"/>
          <w:sz w:val="24"/>
          <w:szCs w:val="24"/>
        </w:rPr>
        <w:t xml:space="preserve"> </w:t>
      </w:r>
      <w:r w:rsidR="00A8598F">
        <w:rPr>
          <w:rFonts w:cs="Arial"/>
          <w:sz w:val="24"/>
          <w:szCs w:val="24"/>
        </w:rPr>
        <w:t>Blanca Amparo Vélez Castro</w:t>
      </w:r>
      <w:r>
        <w:rPr>
          <w:rFonts w:cs="Arial"/>
          <w:sz w:val="24"/>
          <w:szCs w:val="24"/>
        </w:rPr>
        <w:t xml:space="preserve"> </w:t>
      </w:r>
      <w:r w:rsidRPr="00A8598F">
        <w:rPr>
          <w:rFonts w:cs="Arial"/>
          <w:sz w:val="24"/>
          <w:szCs w:val="24"/>
        </w:rPr>
        <w:t>en contra del</w:t>
      </w:r>
      <w:r w:rsidR="00A8598F" w:rsidRPr="00A8598F">
        <w:rPr>
          <w:rFonts w:cs="Arial"/>
          <w:sz w:val="24"/>
          <w:szCs w:val="24"/>
        </w:rPr>
        <w:t xml:space="preserve"> Consejo de Estado-Sección Segunda-Subsección B y </w:t>
      </w:r>
      <w:r w:rsidR="0042526A">
        <w:rPr>
          <w:rFonts w:cs="Arial"/>
          <w:sz w:val="24"/>
          <w:szCs w:val="24"/>
        </w:rPr>
        <w:t xml:space="preserve">el </w:t>
      </w:r>
      <w:r w:rsidR="00A8598F" w:rsidRPr="00A8598F">
        <w:rPr>
          <w:rFonts w:cs="Arial"/>
          <w:sz w:val="24"/>
          <w:szCs w:val="24"/>
        </w:rPr>
        <w:t>Tribunal Administrativo de Caldas</w:t>
      </w:r>
      <w:r w:rsidRPr="00A8598F">
        <w:rPr>
          <w:rFonts w:cs="Arial"/>
          <w:sz w:val="24"/>
          <w:szCs w:val="24"/>
        </w:rPr>
        <w:t>.</w:t>
      </w:r>
    </w:p>
    <w:p w14:paraId="6BDCF9CF" w14:textId="77777777" w:rsidR="00D90EF0" w:rsidRPr="00753BFF" w:rsidRDefault="00D90EF0" w:rsidP="005220E8">
      <w:pPr>
        <w:spacing w:line="276" w:lineRule="auto"/>
        <w:jc w:val="both"/>
        <w:rPr>
          <w:rFonts w:ascii="Arial" w:hAnsi="Arial" w:cs="Arial"/>
          <w:color w:val="0D0D0D"/>
          <w:spacing w:val="-3"/>
          <w:lang w:val="es-ES" w:eastAsia="zh-CN"/>
        </w:rPr>
      </w:pPr>
    </w:p>
    <w:p w14:paraId="17687875" w14:textId="395B49BF" w:rsidR="005E7B4A" w:rsidRDefault="00E62F91" w:rsidP="005220E8">
      <w:pPr>
        <w:numPr>
          <w:ilvl w:val="0"/>
          <w:numId w:val="1"/>
        </w:numPr>
        <w:spacing w:line="276" w:lineRule="auto"/>
        <w:ind w:left="720"/>
        <w:jc w:val="center"/>
        <w:rPr>
          <w:rFonts w:ascii="Arial" w:hAnsi="Arial" w:cs="Arial"/>
          <w:b/>
          <w:color w:val="0D0D0D"/>
          <w:spacing w:val="-3"/>
          <w:lang w:val="es-ES" w:eastAsia="zh-CN"/>
        </w:rPr>
      </w:pPr>
      <w:r>
        <w:rPr>
          <w:rFonts w:ascii="Arial" w:hAnsi="Arial" w:cs="Arial"/>
          <w:b/>
          <w:color w:val="0D0D0D"/>
          <w:spacing w:val="-3"/>
          <w:lang w:val="es-ES" w:eastAsia="zh-CN"/>
        </w:rPr>
        <w:t>ANTECEDENTE</w:t>
      </w:r>
      <w:r w:rsidR="00644C55">
        <w:rPr>
          <w:rFonts w:ascii="Arial" w:hAnsi="Arial" w:cs="Arial"/>
          <w:b/>
          <w:color w:val="0D0D0D"/>
          <w:spacing w:val="-3"/>
          <w:lang w:val="es-ES" w:eastAsia="zh-CN"/>
        </w:rPr>
        <w:t>S</w:t>
      </w:r>
    </w:p>
    <w:p w14:paraId="1DE1D688" w14:textId="77777777" w:rsidR="00FE6083" w:rsidRPr="00753BFF" w:rsidRDefault="00FE6083" w:rsidP="00FE6083">
      <w:pPr>
        <w:spacing w:line="276" w:lineRule="auto"/>
        <w:ind w:left="720"/>
        <w:rPr>
          <w:rFonts w:ascii="Arial" w:hAnsi="Arial" w:cs="Arial"/>
          <w:b/>
          <w:color w:val="0D0D0D"/>
          <w:spacing w:val="-3"/>
          <w:lang w:val="es-ES" w:eastAsia="zh-CN"/>
        </w:rPr>
      </w:pPr>
    </w:p>
    <w:p w14:paraId="7BEFD174" w14:textId="59C18E99" w:rsidR="00D90EF0" w:rsidRDefault="00E62F91" w:rsidP="00A8598F">
      <w:pPr>
        <w:contextualSpacing/>
        <w:jc w:val="both"/>
        <w:rPr>
          <w:rFonts w:ascii="Arial" w:hAnsi="Arial" w:cs="Arial"/>
          <w:b/>
          <w:bCs/>
          <w:color w:val="0D0D0D"/>
          <w:spacing w:val="-3"/>
          <w:lang w:val="es-ES" w:eastAsia="zh-CN"/>
        </w:rPr>
      </w:pPr>
      <w:r w:rsidRPr="00E62F91">
        <w:rPr>
          <w:rFonts w:ascii="Arial" w:hAnsi="Arial" w:cs="Arial"/>
          <w:b/>
          <w:bCs/>
          <w:color w:val="0D0D0D"/>
          <w:spacing w:val="-3"/>
          <w:lang w:val="es-ES" w:eastAsia="zh-CN"/>
        </w:rPr>
        <w:t>1</w:t>
      </w:r>
      <w:r>
        <w:rPr>
          <w:rFonts w:ascii="Arial" w:hAnsi="Arial" w:cs="Arial"/>
          <w:b/>
          <w:bCs/>
          <w:color w:val="0D0D0D"/>
          <w:spacing w:val="-3"/>
          <w:lang w:val="es-ES" w:eastAsia="zh-CN"/>
        </w:rPr>
        <w:t>.1. Solicitud de tutela</w:t>
      </w:r>
    </w:p>
    <w:p w14:paraId="718857B9" w14:textId="6F55D6C6" w:rsidR="00E62F91" w:rsidRDefault="00E62F91" w:rsidP="00A8598F">
      <w:pPr>
        <w:contextualSpacing/>
        <w:jc w:val="both"/>
        <w:rPr>
          <w:rFonts w:ascii="Arial" w:hAnsi="Arial" w:cs="Arial"/>
          <w:b/>
          <w:bCs/>
          <w:color w:val="0D0D0D"/>
          <w:spacing w:val="-3"/>
          <w:lang w:val="es-ES" w:eastAsia="zh-CN"/>
        </w:rPr>
      </w:pPr>
    </w:p>
    <w:p w14:paraId="26FCE2BD" w14:textId="194A80C5" w:rsidR="00A8598F" w:rsidRPr="00A8598F" w:rsidRDefault="00A8598F" w:rsidP="00A8598F">
      <w:pPr>
        <w:contextualSpacing/>
        <w:jc w:val="both"/>
        <w:rPr>
          <w:rFonts w:ascii="Arial" w:hAnsi="Arial" w:cs="Arial"/>
        </w:rPr>
      </w:pPr>
      <w:r w:rsidRPr="00A8598F">
        <w:rPr>
          <w:rFonts w:ascii="Arial" w:hAnsi="Arial" w:cs="Arial"/>
        </w:rPr>
        <w:t>Blanca Amparo Vélez Castro presentó solicitud de tutela en la que deprecó el amparo</w:t>
      </w:r>
      <w:r w:rsidR="00E968E3" w:rsidRPr="00EF6EC8">
        <w:rPr>
          <w:rStyle w:val="Refdenotaalpie"/>
          <w:rFonts w:ascii="Arial" w:hAnsi="Arial" w:cs="Arial"/>
        </w:rPr>
        <w:footnoteReference w:id="1"/>
      </w:r>
      <w:r w:rsidRPr="00A8598F">
        <w:rPr>
          <w:rFonts w:ascii="Arial" w:hAnsi="Arial" w:cs="Arial"/>
        </w:rPr>
        <w:t xml:space="preserve"> de los derechos fundamentales al debido proceso y al acceso a la administración de justicia, que consideró vulnerados por el Consejo de Estado-Sección Segunda-Subsección B, con ocasión del auto del 8 de noviembre de 2022, que confirmó la providencia proferida por el Tribunal Administrativo de Caldas el 2 de agosto de 2021, dentro del proceso de nulidad y restablecimiento del derecho con radicado número 17001-23-33-000-2016-00989-00/01.</w:t>
      </w:r>
    </w:p>
    <w:p w14:paraId="18EF6828" w14:textId="77777777" w:rsidR="00DB22A1" w:rsidRDefault="00DB22A1" w:rsidP="0057782E">
      <w:pPr>
        <w:contextualSpacing/>
        <w:jc w:val="both"/>
        <w:rPr>
          <w:rFonts w:ascii="Arial" w:hAnsi="Arial" w:cs="Arial"/>
        </w:rPr>
      </w:pPr>
    </w:p>
    <w:p w14:paraId="24AFBDE6" w14:textId="26E8301C" w:rsidR="00F53C9B" w:rsidRDefault="0001363C" w:rsidP="00F53C9B">
      <w:pPr>
        <w:contextualSpacing/>
        <w:jc w:val="both"/>
        <w:rPr>
          <w:rFonts w:ascii="Arial" w:hAnsi="Arial" w:cs="Arial"/>
          <w:b/>
          <w:bCs/>
        </w:rPr>
      </w:pPr>
      <w:r>
        <w:rPr>
          <w:rFonts w:ascii="Arial" w:hAnsi="Arial" w:cs="Arial"/>
          <w:b/>
          <w:bCs/>
        </w:rPr>
        <w:t xml:space="preserve">1.2. Hechos </w:t>
      </w:r>
      <w:r w:rsidR="00555B2F">
        <w:rPr>
          <w:rFonts w:ascii="Arial" w:hAnsi="Arial" w:cs="Arial"/>
          <w:b/>
          <w:bCs/>
        </w:rPr>
        <w:t>probados</w:t>
      </w:r>
      <w:r w:rsidR="00DC43FB">
        <w:rPr>
          <w:rFonts w:ascii="Arial" w:hAnsi="Arial" w:cs="Arial"/>
          <w:b/>
          <w:bCs/>
        </w:rPr>
        <w:t xml:space="preserve"> </w:t>
      </w:r>
    </w:p>
    <w:p w14:paraId="7E96F3EF" w14:textId="001922AC" w:rsidR="00E71F6E" w:rsidRDefault="00E71F6E" w:rsidP="00F53C9B">
      <w:pPr>
        <w:contextualSpacing/>
        <w:jc w:val="both"/>
        <w:rPr>
          <w:rFonts w:ascii="Arial" w:hAnsi="Arial" w:cs="Arial"/>
          <w:b/>
          <w:bCs/>
        </w:rPr>
      </w:pPr>
    </w:p>
    <w:p w14:paraId="543DF2B7" w14:textId="732F6A2A" w:rsidR="003A11DB" w:rsidRDefault="00586520" w:rsidP="00F53C9B">
      <w:pPr>
        <w:contextualSpacing/>
        <w:jc w:val="both"/>
        <w:rPr>
          <w:rFonts w:ascii="Arial" w:hAnsi="Arial" w:cs="Arial"/>
        </w:rPr>
      </w:pPr>
      <w:r>
        <w:rPr>
          <w:rFonts w:ascii="Arial" w:hAnsi="Arial" w:cs="Arial"/>
        </w:rPr>
        <w:t xml:space="preserve">Blanca Amparo Vélez Castro instauró demanda en ejercicio del medio de control de nulidad y restablecimiento del derecho, con el fin de que se </w:t>
      </w:r>
      <w:r w:rsidR="00D8130D">
        <w:rPr>
          <w:rFonts w:ascii="Arial" w:hAnsi="Arial" w:cs="Arial"/>
        </w:rPr>
        <w:t>dejara sin efecto el oficio AJ-SEM 1540- SAC 3914 del 19 de mayo de 2016, emitido por el municipio de Manizales, por medio del cual se negó el reconocimiento de una relación laboral</w:t>
      </w:r>
      <w:r w:rsidR="003A11DB">
        <w:rPr>
          <w:rFonts w:ascii="Arial" w:hAnsi="Arial" w:cs="Arial"/>
        </w:rPr>
        <w:t xml:space="preserve">. </w:t>
      </w:r>
      <w:r w:rsidR="003A11DB" w:rsidRPr="003A11DB">
        <w:rPr>
          <w:rFonts w:ascii="Arial" w:hAnsi="Arial" w:cs="Arial"/>
        </w:rPr>
        <w:t>A título de restablecimiento del derecho, solicit</w:t>
      </w:r>
      <w:r w:rsidR="003A11DB">
        <w:rPr>
          <w:rFonts w:ascii="Arial" w:hAnsi="Arial" w:cs="Arial"/>
        </w:rPr>
        <w:t>ó</w:t>
      </w:r>
      <w:r w:rsidR="003A11DB" w:rsidRPr="003A11DB">
        <w:rPr>
          <w:rFonts w:ascii="Arial" w:hAnsi="Arial" w:cs="Arial"/>
        </w:rPr>
        <w:t xml:space="preserve"> se declar</w:t>
      </w:r>
      <w:r w:rsidR="003A11DB">
        <w:rPr>
          <w:rFonts w:ascii="Arial" w:hAnsi="Arial" w:cs="Arial"/>
        </w:rPr>
        <w:t xml:space="preserve">ara </w:t>
      </w:r>
      <w:r w:rsidR="003A11DB" w:rsidRPr="003A11DB">
        <w:rPr>
          <w:rFonts w:ascii="Arial" w:hAnsi="Arial" w:cs="Arial"/>
        </w:rPr>
        <w:t>la existencia de tal vínculo, se orden</w:t>
      </w:r>
      <w:r w:rsidR="003A11DB">
        <w:rPr>
          <w:rFonts w:ascii="Arial" w:hAnsi="Arial" w:cs="Arial"/>
        </w:rPr>
        <w:t>ara</w:t>
      </w:r>
      <w:r w:rsidR="003A11DB" w:rsidRPr="003A11DB">
        <w:rPr>
          <w:rFonts w:ascii="Arial" w:hAnsi="Arial" w:cs="Arial"/>
        </w:rPr>
        <w:t xml:space="preserve"> sufragar los respectivos salarios, las prestaciones sociales y la sanción moratoria por la no cancelación de cesantías</w:t>
      </w:r>
      <w:r w:rsidR="003A11DB">
        <w:rPr>
          <w:rFonts w:ascii="Arial" w:hAnsi="Arial" w:cs="Arial"/>
        </w:rPr>
        <w:t>.</w:t>
      </w:r>
    </w:p>
    <w:p w14:paraId="18F96CA9" w14:textId="77777777" w:rsidR="00586520" w:rsidRDefault="00586520" w:rsidP="00F53C9B">
      <w:pPr>
        <w:contextualSpacing/>
        <w:jc w:val="both"/>
        <w:rPr>
          <w:rFonts w:ascii="Arial" w:hAnsi="Arial" w:cs="Arial"/>
        </w:rPr>
      </w:pPr>
    </w:p>
    <w:p w14:paraId="693BFE42" w14:textId="729140DA" w:rsidR="00925FE3" w:rsidRPr="00925FE3" w:rsidRDefault="00833383" w:rsidP="00833383">
      <w:pPr>
        <w:contextualSpacing/>
        <w:jc w:val="both"/>
        <w:rPr>
          <w:rFonts w:ascii="Arial" w:hAnsi="Arial" w:cs="Arial"/>
        </w:rPr>
      </w:pPr>
      <w:r>
        <w:rPr>
          <w:rFonts w:ascii="Arial" w:hAnsi="Arial" w:cs="Arial"/>
        </w:rPr>
        <w:t xml:space="preserve">El proceso le correspondió por reparto al </w:t>
      </w:r>
      <w:r w:rsidR="00DA5006">
        <w:rPr>
          <w:rFonts w:ascii="Arial" w:hAnsi="Arial" w:cs="Arial"/>
        </w:rPr>
        <w:t>Tribunal Administrativo de Caldas</w:t>
      </w:r>
      <w:r>
        <w:rPr>
          <w:rFonts w:ascii="Arial" w:hAnsi="Arial" w:cs="Arial"/>
        </w:rPr>
        <w:t xml:space="preserve"> y se identificó con el radicado núm</w:t>
      </w:r>
      <w:r w:rsidR="00FA091C">
        <w:rPr>
          <w:rFonts w:ascii="Arial" w:hAnsi="Arial" w:cs="Arial"/>
        </w:rPr>
        <w:t>ero</w:t>
      </w:r>
      <w:r>
        <w:rPr>
          <w:rFonts w:ascii="Arial" w:hAnsi="Arial" w:cs="Arial"/>
        </w:rPr>
        <w:t xml:space="preserve"> </w:t>
      </w:r>
      <w:r w:rsidR="00FA091C">
        <w:rPr>
          <w:rFonts w:ascii="Arial" w:hAnsi="Arial" w:cs="Arial"/>
        </w:rPr>
        <w:t>17</w:t>
      </w:r>
      <w:r w:rsidR="007D76C8" w:rsidRPr="007D76C8">
        <w:rPr>
          <w:rFonts w:ascii="Arial" w:hAnsi="Arial" w:cs="Arial"/>
        </w:rPr>
        <w:t>001-</w:t>
      </w:r>
      <w:r w:rsidR="00FA091C">
        <w:rPr>
          <w:rFonts w:ascii="Arial" w:hAnsi="Arial" w:cs="Arial"/>
        </w:rPr>
        <w:t>23</w:t>
      </w:r>
      <w:r w:rsidR="007D76C8" w:rsidRPr="007D76C8">
        <w:rPr>
          <w:rFonts w:ascii="Arial" w:hAnsi="Arial" w:cs="Arial"/>
        </w:rPr>
        <w:t>-</w:t>
      </w:r>
      <w:r w:rsidR="00FA091C">
        <w:rPr>
          <w:rFonts w:ascii="Arial" w:hAnsi="Arial" w:cs="Arial"/>
        </w:rPr>
        <w:t>33</w:t>
      </w:r>
      <w:r w:rsidR="007D76C8" w:rsidRPr="007D76C8">
        <w:rPr>
          <w:rFonts w:ascii="Arial" w:hAnsi="Arial" w:cs="Arial"/>
        </w:rPr>
        <w:t>-00</w:t>
      </w:r>
      <w:r w:rsidR="00FA091C">
        <w:rPr>
          <w:rFonts w:ascii="Arial" w:hAnsi="Arial" w:cs="Arial"/>
        </w:rPr>
        <w:t>0</w:t>
      </w:r>
      <w:r w:rsidR="007D76C8" w:rsidRPr="007D76C8">
        <w:rPr>
          <w:rFonts w:ascii="Arial" w:hAnsi="Arial" w:cs="Arial"/>
        </w:rPr>
        <w:t>-201</w:t>
      </w:r>
      <w:r w:rsidR="00FA091C">
        <w:rPr>
          <w:rFonts w:ascii="Arial" w:hAnsi="Arial" w:cs="Arial"/>
        </w:rPr>
        <w:t>6</w:t>
      </w:r>
      <w:r w:rsidR="007D76C8" w:rsidRPr="007D76C8">
        <w:rPr>
          <w:rFonts w:ascii="Arial" w:hAnsi="Arial" w:cs="Arial"/>
        </w:rPr>
        <w:t>-00</w:t>
      </w:r>
      <w:r w:rsidR="00FA091C">
        <w:rPr>
          <w:rFonts w:ascii="Arial" w:hAnsi="Arial" w:cs="Arial"/>
        </w:rPr>
        <w:t>989</w:t>
      </w:r>
      <w:r w:rsidR="007D76C8" w:rsidRPr="007D76C8">
        <w:rPr>
          <w:rFonts w:ascii="Arial" w:hAnsi="Arial" w:cs="Arial"/>
        </w:rPr>
        <w:t>-00/01</w:t>
      </w:r>
      <w:r w:rsidR="00925FE3">
        <w:rPr>
          <w:rFonts w:ascii="Arial" w:hAnsi="Arial" w:cs="Arial"/>
        </w:rPr>
        <w:t xml:space="preserve">. </w:t>
      </w:r>
      <w:r w:rsidR="00925FE3" w:rsidRPr="00925FE3">
        <w:rPr>
          <w:rFonts w:ascii="Arial" w:hAnsi="Arial" w:cs="Arial"/>
        </w:rPr>
        <w:t xml:space="preserve">Agotados los trámites </w:t>
      </w:r>
      <w:r w:rsidR="00925FE3">
        <w:rPr>
          <w:rFonts w:ascii="Arial" w:hAnsi="Arial" w:cs="Arial"/>
        </w:rPr>
        <w:t>posteriores a la admisión de la demanda</w:t>
      </w:r>
      <w:r w:rsidR="00925FE3" w:rsidRPr="00925FE3">
        <w:rPr>
          <w:rFonts w:ascii="Arial" w:hAnsi="Arial" w:cs="Arial"/>
        </w:rPr>
        <w:t xml:space="preserve">, el </w:t>
      </w:r>
      <w:r w:rsidR="001C1665">
        <w:rPr>
          <w:rFonts w:ascii="Arial" w:hAnsi="Arial" w:cs="Arial"/>
        </w:rPr>
        <w:t>t</w:t>
      </w:r>
      <w:r w:rsidR="00925FE3" w:rsidRPr="00925FE3">
        <w:rPr>
          <w:rFonts w:ascii="Arial" w:hAnsi="Arial" w:cs="Arial"/>
        </w:rPr>
        <w:t xml:space="preserve">ribunal celebró audiencia inicial el 9 de octubre de 2019 en la que decretó como pruebas, entre otras, las declaraciones de Luz Mery Cifuentes, Mauricio Álvarez Gómez, Gloria Inés López, </w:t>
      </w:r>
      <w:r w:rsidR="00925FE3" w:rsidRPr="00925FE3">
        <w:rPr>
          <w:rFonts w:ascii="Arial" w:hAnsi="Arial" w:cs="Arial"/>
        </w:rPr>
        <w:lastRenderedPageBreak/>
        <w:t xml:space="preserve">María Patricia Rivera, Bibiana María Álvarez, Yolanda Henao, María Valentina Henao, María Ensueño Henao, Luz María Gómez y José Guillermo Castaño; advirtió que </w:t>
      </w:r>
      <w:r w:rsidR="005B7C8D">
        <w:rPr>
          <w:rFonts w:ascii="Arial" w:hAnsi="Arial" w:cs="Arial"/>
        </w:rPr>
        <w:t>“</w:t>
      </w:r>
      <w:r w:rsidR="00925FE3" w:rsidRPr="00925FE3">
        <w:rPr>
          <w:rFonts w:ascii="Arial" w:hAnsi="Arial" w:cs="Arial"/>
        </w:rPr>
        <w:t>la parte actora se encargar[</w:t>
      </w:r>
      <w:proofErr w:type="spellStart"/>
      <w:r w:rsidR="00925FE3" w:rsidRPr="00925FE3">
        <w:rPr>
          <w:rFonts w:ascii="Arial" w:hAnsi="Arial" w:cs="Arial"/>
        </w:rPr>
        <w:t>ía</w:t>
      </w:r>
      <w:proofErr w:type="spellEnd"/>
      <w:r w:rsidR="00925FE3" w:rsidRPr="00925FE3">
        <w:rPr>
          <w:rFonts w:ascii="Arial" w:hAnsi="Arial" w:cs="Arial"/>
        </w:rPr>
        <w:t>] de la comparecencia de los testigos</w:t>
      </w:r>
      <w:r w:rsidR="005B7C8D">
        <w:rPr>
          <w:rFonts w:ascii="Arial" w:hAnsi="Arial" w:cs="Arial"/>
        </w:rPr>
        <w:t>”</w:t>
      </w:r>
      <w:r w:rsidR="00925FE3" w:rsidRPr="00925FE3">
        <w:rPr>
          <w:rFonts w:ascii="Arial" w:hAnsi="Arial" w:cs="Arial"/>
        </w:rPr>
        <w:t xml:space="preserve"> y señaló que, </w:t>
      </w:r>
      <w:r w:rsidR="00977174">
        <w:rPr>
          <w:rFonts w:ascii="Arial" w:hAnsi="Arial" w:cs="Arial"/>
        </w:rPr>
        <w:t>“</w:t>
      </w:r>
      <w:r w:rsidR="00925FE3" w:rsidRPr="00925FE3">
        <w:rPr>
          <w:rFonts w:ascii="Arial" w:hAnsi="Arial" w:cs="Arial"/>
        </w:rPr>
        <w:t>[e]n caso de que así lo requiera, […] se librar[</w:t>
      </w:r>
      <w:proofErr w:type="spellStart"/>
      <w:r w:rsidR="00925FE3" w:rsidRPr="00925FE3">
        <w:rPr>
          <w:rFonts w:ascii="Arial" w:hAnsi="Arial" w:cs="Arial"/>
        </w:rPr>
        <w:t>ían</w:t>
      </w:r>
      <w:proofErr w:type="spellEnd"/>
      <w:r w:rsidR="00925FE3" w:rsidRPr="00925FE3">
        <w:rPr>
          <w:rFonts w:ascii="Arial" w:hAnsi="Arial" w:cs="Arial"/>
        </w:rPr>
        <w:t>] las citaciones respectivas para que la parte interesada procure la asistencia de los declarantes</w:t>
      </w:r>
      <w:r w:rsidR="00977174">
        <w:rPr>
          <w:rFonts w:ascii="Arial" w:hAnsi="Arial" w:cs="Arial"/>
        </w:rPr>
        <w:t>”</w:t>
      </w:r>
      <w:r w:rsidR="00925FE3" w:rsidRPr="00925FE3">
        <w:rPr>
          <w:rFonts w:ascii="Arial" w:hAnsi="Arial" w:cs="Arial"/>
        </w:rPr>
        <w:t>.</w:t>
      </w:r>
      <w:r w:rsidR="00FC2F63">
        <w:rPr>
          <w:rFonts w:ascii="Arial" w:hAnsi="Arial" w:cs="Arial"/>
        </w:rPr>
        <w:t xml:space="preserve"> </w:t>
      </w:r>
    </w:p>
    <w:p w14:paraId="0A5DF084" w14:textId="0600AF4B" w:rsidR="007D76C8" w:rsidRDefault="007D76C8" w:rsidP="00833383">
      <w:pPr>
        <w:contextualSpacing/>
        <w:jc w:val="both"/>
        <w:rPr>
          <w:rFonts w:ascii="Arial" w:hAnsi="Arial" w:cs="Arial"/>
          <w:bCs/>
        </w:rPr>
      </w:pPr>
    </w:p>
    <w:p w14:paraId="635185D1" w14:textId="6EF00251" w:rsidR="00977174" w:rsidRDefault="00977174" w:rsidP="00833383">
      <w:pPr>
        <w:contextualSpacing/>
        <w:jc w:val="both"/>
        <w:rPr>
          <w:rFonts w:ascii="Arial" w:hAnsi="Arial" w:cs="Arial"/>
          <w:bCs/>
        </w:rPr>
      </w:pPr>
      <w:r>
        <w:rPr>
          <w:rFonts w:ascii="Arial" w:hAnsi="Arial" w:cs="Arial"/>
          <w:bCs/>
        </w:rPr>
        <w:t xml:space="preserve">Posteriormente, la autoridad judicial referida, mediante auto del 22 de julio de 2021, </w:t>
      </w:r>
      <w:r w:rsidR="00FB5BBE">
        <w:rPr>
          <w:rFonts w:ascii="Arial" w:hAnsi="Arial" w:cs="Arial"/>
          <w:bCs/>
        </w:rPr>
        <w:t xml:space="preserve">convocó a audiencia de pruebas para el 2 agosto de 2021 a las 3:15 pm, la cual sería celebrada a través de la plataforma Microsoft </w:t>
      </w:r>
      <w:proofErr w:type="spellStart"/>
      <w:r w:rsidR="00FB5BBE">
        <w:rPr>
          <w:rFonts w:ascii="Arial" w:hAnsi="Arial" w:cs="Arial"/>
          <w:bCs/>
        </w:rPr>
        <w:t>Teams</w:t>
      </w:r>
      <w:proofErr w:type="spellEnd"/>
      <w:r w:rsidR="00FB5BBE">
        <w:rPr>
          <w:rFonts w:ascii="Arial" w:hAnsi="Arial" w:cs="Arial"/>
          <w:bCs/>
        </w:rPr>
        <w:t>, por lo que enviaría la invitación a los correos que informaran las partes y al Ministerio Público</w:t>
      </w:r>
      <w:r w:rsidR="0036198C">
        <w:rPr>
          <w:rFonts w:ascii="Arial" w:hAnsi="Arial" w:cs="Arial"/>
          <w:bCs/>
        </w:rPr>
        <w:t>.</w:t>
      </w:r>
    </w:p>
    <w:p w14:paraId="0895C102" w14:textId="741A2CA2" w:rsidR="0036198C" w:rsidRDefault="0036198C" w:rsidP="00833383">
      <w:pPr>
        <w:contextualSpacing/>
        <w:jc w:val="both"/>
        <w:rPr>
          <w:rFonts w:ascii="Arial" w:hAnsi="Arial" w:cs="Arial"/>
          <w:bCs/>
        </w:rPr>
      </w:pPr>
    </w:p>
    <w:p w14:paraId="2B2F4AEC" w14:textId="382C8BCB" w:rsidR="0036198C" w:rsidRDefault="0036198C" w:rsidP="00833383">
      <w:pPr>
        <w:contextualSpacing/>
        <w:jc w:val="both"/>
        <w:rPr>
          <w:rFonts w:ascii="Arial" w:hAnsi="Arial" w:cs="Arial"/>
          <w:bCs/>
        </w:rPr>
      </w:pPr>
      <w:r>
        <w:rPr>
          <w:rFonts w:ascii="Arial" w:hAnsi="Arial" w:cs="Arial"/>
          <w:bCs/>
        </w:rPr>
        <w:t>Así entonces, el día indicado se realizó la correspondiente audiencia de pruebas</w:t>
      </w:r>
      <w:r w:rsidR="00115F9C">
        <w:rPr>
          <w:rFonts w:ascii="Arial" w:hAnsi="Arial" w:cs="Arial"/>
          <w:bCs/>
        </w:rPr>
        <w:t xml:space="preserve"> y en el curso de la misma, el tribunal decidió prescindir de los testimonios decretados, </w:t>
      </w:r>
      <w:r w:rsidR="0091209C">
        <w:rPr>
          <w:rFonts w:ascii="Arial" w:hAnsi="Arial" w:cs="Arial"/>
          <w:bCs/>
        </w:rPr>
        <w:t>porque</w:t>
      </w:r>
      <w:r w:rsidR="0042526A">
        <w:rPr>
          <w:rFonts w:ascii="Arial" w:hAnsi="Arial" w:cs="Arial"/>
          <w:bCs/>
        </w:rPr>
        <w:t xml:space="preserve"> no se cumplieron las formalidades </w:t>
      </w:r>
      <w:r w:rsidR="0091209C">
        <w:rPr>
          <w:rFonts w:ascii="Arial" w:hAnsi="Arial" w:cs="Arial"/>
          <w:bCs/>
        </w:rPr>
        <w:t xml:space="preserve">que exigió para su recepción. En contra de esta decisión la demandante </w:t>
      </w:r>
      <w:r w:rsidR="00115F9C">
        <w:rPr>
          <w:rFonts w:ascii="Arial" w:hAnsi="Arial" w:cs="Arial"/>
          <w:bCs/>
        </w:rPr>
        <w:t>formuló recurso de reposición y en subsidio apelación</w:t>
      </w:r>
      <w:r w:rsidR="0042526A">
        <w:rPr>
          <w:rFonts w:ascii="Arial" w:hAnsi="Arial" w:cs="Arial"/>
          <w:bCs/>
        </w:rPr>
        <w:t xml:space="preserve">. El tribunal no repuso la decisión y ordenó remitir el expediente al Consejo de Estado para que conociera del recurso de apelación. </w:t>
      </w:r>
    </w:p>
    <w:p w14:paraId="2C78E5AC" w14:textId="350FC38A" w:rsidR="005D63C0" w:rsidRDefault="005D63C0" w:rsidP="00833383">
      <w:pPr>
        <w:contextualSpacing/>
        <w:jc w:val="both"/>
        <w:rPr>
          <w:rFonts w:ascii="Arial" w:hAnsi="Arial" w:cs="Arial"/>
          <w:bCs/>
        </w:rPr>
      </w:pPr>
    </w:p>
    <w:p w14:paraId="4B5911D2" w14:textId="64676CA3" w:rsidR="00057610" w:rsidRDefault="005D63C0" w:rsidP="00833383">
      <w:pPr>
        <w:contextualSpacing/>
        <w:jc w:val="both"/>
        <w:rPr>
          <w:rFonts w:ascii="Arial" w:hAnsi="Arial" w:cs="Arial"/>
          <w:bCs/>
        </w:rPr>
      </w:pPr>
      <w:r>
        <w:rPr>
          <w:rFonts w:ascii="Arial" w:hAnsi="Arial" w:cs="Arial"/>
          <w:bCs/>
        </w:rPr>
        <w:t xml:space="preserve">El asunto </w:t>
      </w:r>
      <w:r w:rsidR="0042526A">
        <w:rPr>
          <w:rFonts w:ascii="Arial" w:hAnsi="Arial" w:cs="Arial"/>
          <w:bCs/>
        </w:rPr>
        <w:t xml:space="preserve">le correspondió por reparto a un despacho de la </w:t>
      </w:r>
      <w:r>
        <w:rPr>
          <w:rFonts w:ascii="Arial" w:hAnsi="Arial" w:cs="Arial"/>
          <w:bCs/>
        </w:rPr>
        <w:t>Subsección B de la Sección Segunda del Consejo de Estado</w:t>
      </w:r>
      <w:r w:rsidR="0042526A">
        <w:rPr>
          <w:rFonts w:ascii="Arial" w:hAnsi="Arial" w:cs="Arial"/>
          <w:bCs/>
        </w:rPr>
        <w:t xml:space="preserve"> que, </w:t>
      </w:r>
      <w:r w:rsidR="00146DCF">
        <w:rPr>
          <w:rFonts w:ascii="Arial" w:hAnsi="Arial" w:cs="Arial"/>
          <w:bCs/>
        </w:rPr>
        <w:t>mediante proveído del 8 de noviembre de 2022, confirmó la decisión de primera instancia.</w:t>
      </w:r>
      <w:r w:rsidR="005F5A1D">
        <w:rPr>
          <w:rFonts w:ascii="Arial" w:hAnsi="Arial" w:cs="Arial"/>
          <w:bCs/>
        </w:rPr>
        <w:t xml:space="preserve"> </w:t>
      </w:r>
      <w:r w:rsidR="00057610">
        <w:rPr>
          <w:rFonts w:ascii="Arial" w:hAnsi="Arial" w:cs="Arial"/>
          <w:bCs/>
        </w:rPr>
        <w:t>Advirtió</w:t>
      </w:r>
      <w:r w:rsidR="005F5A1D">
        <w:rPr>
          <w:rFonts w:ascii="Arial" w:hAnsi="Arial" w:cs="Arial"/>
          <w:bCs/>
        </w:rPr>
        <w:t xml:space="preserve"> que </w:t>
      </w:r>
      <w:r w:rsidR="00057610" w:rsidRPr="00057610">
        <w:rPr>
          <w:rFonts w:ascii="Arial" w:hAnsi="Arial" w:cs="Arial"/>
          <w:bCs/>
        </w:rPr>
        <w:t xml:space="preserve">la recepción de testimonios debe ser adelantada bajo los términos constitucionales y reglamentarios </w:t>
      </w:r>
      <w:r w:rsidR="00D910D1">
        <w:rPr>
          <w:rFonts w:ascii="Arial" w:hAnsi="Arial" w:cs="Arial"/>
          <w:bCs/>
        </w:rPr>
        <w:t xml:space="preserve">estipulados en ley, </w:t>
      </w:r>
      <w:r w:rsidR="0042526A">
        <w:rPr>
          <w:rFonts w:ascii="Arial" w:hAnsi="Arial" w:cs="Arial"/>
          <w:bCs/>
        </w:rPr>
        <w:t xml:space="preserve">para garantizar </w:t>
      </w:r>
      <w:r w:rsidR="00057610" w:rsidRPr="00057610">
        <w:rPr>
          <w:rFonts w:ascii="Arial" w:hAnsi="Arial" w:cs="Arial"/>
          <w:bCs/>
        </w:rPr>
        <w:t>la efectividad de los derechos de acceso a la administración de justicia y debido proceso de los contendientes, y</w:t>
      </w:r>
      <w:r w:rsidR="0042526A">
        <w:rPr>
          <w:rFonts w:ascii="Arial" w:hAnsi="Arial" w:cs="Arial"/>
          <w:bCs/>
        </w:rPr>
        <w:t xml:space="preserve"> hacer </w:t>
      </w:r>
      <w:r w:rsidR="00057610" w:rsidRPr="00057610">
        <w:rPr>
          <w:rFonts w:ascii="Arial" w:hAnsi="Arial" w:cs="Arial"/>
          <w:bCs/>
        </w:rPr>
        <w:t>materialmente posible el imperio armónico y concordante de los principios de oralidad, igualdad, concentración e inmediación propios de la esencia de nuestro sistema procesal</w:t>
      </w:r>
      <w:r w:rsidR="00D910D1">
        <w:rPr>
          <w:rFonts w:ascii="Arial" w:hAnsi="Arial" w:cs="Arial"/>
          <w:bCs/>
        </w:rPr>
        <w:t>.</w:t>
      </w:r>
    </w:p>
    <w:p w14:paraId="14052AFB" w14:textId="254E9BA7" w:rsidR="00D910D1" w:rsidRDefault="00D910D1" w:rsidP="00833383">
      <w:pPr>
        <w:contextualSpacing/>
        <w:jc w:val="both"/>
        <w:rPr>
          <w:rFonts w:ascii="Arial" w:hAnsi="Arial" w:cs="Arial"/>
          <w:bCs/>
        </w:rPr>
      </w:pPr>
    </w:p>
    <w:p w14:paraId="232C5AE4" w14:textId="6F8B139A" w:rsidR="00D35E9A" w:rsidRDefault="0042526A" w:rsidP="00833383">
      <w:pPr>
        <w:contextualSpacing/>
        <w:jc w:val="both"/>
        <w:rPr>
          <w:rFonts w:ascii="Arial" w:hAnsi="Arial" w:cs="Arial"/>
          <w:bCs/>
        </w:rPr>
      </w:pPr>
      <w:r>
        <w:rPr>
          <w:rFonts w:ascii="Arial" w:hAnsi="Arial" w:cs="Arial"/>
          <w:bCs/>
        </w:rPr>
        <w:t xml:space="preserve">Puso de presente </w:t>
      </w:r>
      <w:r w:rsidR="00D910D1">
        <w:rPr>
          <w:rFonts w:ascii="Arial" w:hAnsi="Arial" w:cs="Arial"/>
          <w:bCs/>
        </w:rPr>
        <w:t xml:space="preserve">que </w:t>
      </w:r>
      <w:r w:rsidR="00D910D1" w:rsidRPr="00D17C9A">
        <w:rPr>
          <w:rFonts w:ascii="Arial" w:hAnsi="Arial" w:cs="Arial"/>
          <w:bCs/>
        </w:rPr>
        <w:t xml:space="preserve">el </w:t>
      </w:r>
      <w:r w:rsidR="00D17C9A">
        <w:rPr>
          <w:rFonts w:ascii="Arial" w:hAnsi="Arial" w:cs="Arial"/>
          <w:bCs/>
        </w:rPr>
        <w:t>t</w:t>
      </w:r>
      <w:r w:rsidR="00D910D1" w:rsidRPr="00D17C9A">
        <w:rPr>
          <w:rFonts w:ascii="Arial" w:hAnsi="Arial" w:cs="Arial"/>
          <w:bCs/>
        </w:rPr>
        <w:t xml:space="preserve">ribunal informó, con suficiente antelación, la herramienta tecnológica, modalidad, fecha y hora en las cuales se adelantaría la audiencia de pruebas, decisión que, de acuerdo con los artículos 186 del CPACA y 217 del CGP, le otorgaba a la demandante el deber de procurar la asistencia de sus testigos a la diligencia, aunque no de cualquier manera, sino a través de la plataforma Microsoft </w:t>
      </w:r>
      <w:proofErr w:type="spellStart"/>
      <w:r w:rsidR="00D910D1" w:rsidRPr="00D17C9A">
        <w:rPr>
          <w:rFonts w:ascii="Arial" w:hAnsi="Arial" w:cs="Arial"/>
          <w:bCs/>
        </w:rPr>
        <w:t>Teams</w:t>
      </w:r>
      <w:proofErr w:type="spellEnd"/>
      <w:r w:rsidR="00D910D1" w:rsidRPr="00D17C9A">
        <w:rPr>
          <w:rFonts w:ascii="Arial" w:hAnsi="Arial" w:cs="Arial"/>
          <w:bCs/>
        </w:rPr>
        <w:t xml:space="preserve">, vía institucional prevista por el Consejo Superior de la Judicatura y disponible para ese fin. Por tanto, ante la ausencia de los testigos en la sala virtual conformada, el </w:t>
      </w:r>
      <w:r w:rsidR="00D910D1" w:rsidRPr="00F82D27">
        <w:rPr>
          <w:rFonts w:ascii="Arial" w:hAnsi="Arial" w:cs="Arial"/>
          <w:bCs/>
          <w:i/>
          <w:iCs/>
        </w:rPr>
        <w:t>a quo</w:t>
      </w:r>
      <w:r w:rsidR="00D910D1" w:rsidRPr="00D17C9A">
        <w:rPr>
          <w:rFonts w:ascii="Arial" w:hAnsi="Arial" w:cs="Arial"/>
          <w:bCs/>
        </w:rPr>
        <w:t xml:space="preserve"> aplicó con acierto la consecuencia establecida por el artículo 218 (numeral 1) del CGP, norma que lo autoriza, de acuerdo con su reconocida autonomía, a prescindir de aquellas declaraciones. </w:t>
      </w:r>
    </w:p>
    <w:p w14:paraId="76FDDC77" w14:textId="77777777" w:rsidR="00D35E9A" w:rsidRDefault="00D35E9A" w:rsidP="00833383">
      <w:pPr>
        <w:contextualSpacing/>
        <w:jc w:val="both"/>
        <w:rPr>
          <w:rFonts w:ascii="Arial" w:hAnsi="Arial" w:cs="Arial"/>
          <w:bCs/>
        </w:rPr>
      </w:pPr>
    </w:p>
    <w:p w14:paraId="3142022A" w14:textId="3CFC71D8" w:rsidR="00D910D1" w:rsidRDefault="00D910D1" w:rsidP="00833383">
      <w:pPr>
        <w:contextualSpacing/>
        <w:jc w:val="both"/>
        <w:rPr>
          <w:rFonts w:ascii="Arial" w:hAnsi="Arial" w:cs="Arial"/>
          <w:bCs/>
        </w:rPr>
      </w:pPr>
      <w:r w:rsidRPr="00D17C9A">
        <w:rPr>
          <w:rFonts w:ascii="Arial" w:hAnsi="Arial" w:cs="Arial"/>
          <w:bCs/>
        </w:rPr>
        <w:t xml:space="preserve">Aunado a lo anterior, </w:t>
      </w:r>
      <w:r w:rsidR="00D35E9A">
        <w:rPr>
          <w:rFonts w:ascii="Arial" w:hAnsi="Arial" w:cs="Arial"/>
          <w:bCs/>
        </w:rPr>
        <w:t xml:space="preserve">advirtió que </w:t>
      </w:r>
      <w:r w:rsidRPr="00D17C9A">
        <w:rPr>
          <w:rFonts w:ascii="Arial" w:hAnsi="Arial" w:cs="Arial"/>
          <w:bCs/>
        </w:rPr>
        <w:t>la revisión del video de la diligencia revela que, ciertamente, la modalidad sugerida por la demandante no garantizaba algún mínimo de idoneidad técnica para practicar los aludidos medios de convicción, tampoco permitía la relación directa del juzgador con los testigos, ni otorgaba seguridad en cuanto a la autenticidad de las declaraciones o la certeza de que aquellos no pudieran escucharse entre sí, aspectos que constituyen premisas básicas e imprescindibles de la praxis probatoria.</w:t>
      </w:r>
    </w:p>
    <w:p w14:paraId="484D2DA7" w14:textId="77777777" w:rsidR="009E7F82" w:rsidRDefault="009E7F82" w:rsidP="00833383">
      <w:pPr>
        <w:contextualSpacing/>
        <w:jc w:val="both"/>
        <w:rPr>
          <w:rFonts w:ascii="Arial" w:hAnsi="Arial" w:cs="Arial"/>
          <w:bCs/>
        </w:rPr>
      </w:pPr>
    </w:p>
    <w:p w14:paraId="2966AE5A" w14:textId="68C097E0" w:rsidR="00FE6083" w:rsidRDefault="00833383" w:rsidP="007E52A0">
      <w:pPr>
        <w:contextualSpacing/>
        <w:jc w:val="both"/>
        <w:rPr>
          <w:rFonts w:ascii="Arial" w:hAnsi="Arial" w:cs="Arial"/>
          <w:b/>
          <w:bCs/>
          <w:color w:val="0D0D0D"/>
          <w:spacing w:val="-3"/>
          <w:lang w:val="es-ES" w:eastAsia="zh-CN"/>
        </w:rPr>
      </w:pPr>
      <w:r>
        <w:rPr>
          <w:rFonts w:ascii="Arial" w:hAnsi="Arial" w:cs="Arial"/>
          <w:bCs/>
        </w:rPr>
        <w:t xml:space="preserve"> </w:t>
      </w:r>
      <w:r w:rsidR="00AF4427">
        <w:rPr>
          <w:rFonts w:ascii="Arial" w:hAnsi="Arial" w:cs="Arial"/>
          <w:b/>
          <w:bCs/>
          <w:color w:val="0D0D0D"/>
          <w:spacing w:val="-3"/>
          <w:lang w:val="es-ES" w:eastAsia="zh-CN"/>
        </w:rPr>
        <w:t>1.</w:t>
      </w:r>
      <w:r w:rsidR="000D277A">
        <w:rPr>
          <w:rFonts w:ascii="Arial" w:hAnsi="Arial" w:cs="Arial"/>
          <w:b/>
          <w:bCs/>
          <w:color w:val="0D0D0D"/>
          <w:spacing w:val="-3"/>
          <w:lang w:val="es-ES" w:eastAsia="zh-CN"/>
        </w:rPr>
        <w:t>3</w:t>
      </w:r>
      <w:r w:rsidR="00AF4427">
        <w:rPr>
          <w:rFonts w:ascii="Arial" w:hAnsi="Arial" w:cs="Arial"/>
          <w:b/>
          <w:bCs/>
          <w:color w:val="0D0D0D"/>
          <w:spacing w:val="-3"/>
          <w:lang w:val="es-ES" w:eastAsia="zh-CN"/>
        </w:rPr>
        <w:t xml:space="preserve">. Pretensiones </w:t>
      </w:r>
      <w:r w:rsidR="005A157F">
        <w:rPr>
          <w:rFonts w:ascii="Arial" w:hAnsi="Arial" w:cs="Arial"/>
          <w:b/>
          <w:bCs/>
          <w:color w:val="0D0D0D"/>
          <w:spacing w:val="-3"/>
          <w:lang w:val="es-ES" w:eastAsia="zh-CN"/>
        </w:rPr>
        <w:t>y argumentos de la</w:t>
      </w:r>
      <w:r w:rsidR="00AF4427">
        <w:rPr>
          <w:rFonts w:ascii="Arial" w:hAnsi="Arial" w:cs="Arial"/>
          <w:b/>
          <w:bCs/>
          <w:color w:val="0D0D0D"/>
          <w:spacing w:val="-3"/>
          <w:lang w:val="es-ES" w:eastAsia="zh-CN"/>
        </w:rPr>
        <w:t xml:space="preserve"> tutela</w:t>
      </w:r>
    </w:p>
    <w:p w14:paraId="3D1EC123" w14:textId="5FE4407E" w:rsidR="00AF4427" w:rsidRDefault="00AF4427" w:rsidP="00D90EF0">
      <w:pPr>
        <w:spacing w:line="276" w:lineRule="auto"/>
        <w:ind w:right="51"/>
        <w:contextualSpacing/>
        <w:jc w:val="both"/>
        <w:rPr>
          <w:rFonts w:ascii="Arial" w:hAnsi="Arial" w:cs="Arial"/>
          <w:b/>
          <w:bCs/>
          <w:color w:val="0D0D0D"/>
          <w:spacing w:val="-3"/>
          <w:lang w:val="es-ES" w:eastAsia="zh-CN"/>
        </w:rPr>
      </w:pPr>
    </w:p>
    <w:p w14:paraId="3E8E1ED7" w14:textId="11EE84F0" w:rsidR="0028234E" w:rsidRDefault="00D910D1" w:rsidP="00ED24FB">
      <w:pPr>
        <w:ind w:right="51"/>
        <w:contextualSpacing/>
        <w:jc w:val="both"/>
        <w:rPr>
          <w:rFonts w:ascii="Arial" w:hAnsi="Arial" w:cs="Arial"/>
          <w:color w:val="0D0D0D"/>
          <w:spacing w:val="-3"/>
          <w:lang w:val="es-ES" w:eastAsia="zh-CN"/>
        </w:rPr>
      </w:pPr>
      <w:r>
        <w:rPr>
          <w:rFonts w:ascii="Arial" w:hAnsi="Arial" w:cs="Arial"/>
          <w:color w:val="0D0D0D"/>
          <w:spacing w:val="-3"/>
          <w:lang w:val="es-ES" w:eastAsia="zh-CN"/>
        </w:rPr>
        <w:t>La accionante</w:t>
      </w:r>
      <w:r w:rsidR="00AF4427">
        <w:rPr>
          <w:rFonts w:ascii="Arial" w:hAnsi="Arial" w:cs="Arial"/>
          <w:color w:val="0D0D0D"/>
          <w:spacing w:val="-3"/>
          <w:lang w:val="es-ES" w:eastAsia="zh-CN"/>
        </w:rPr>
        <w:t xml:space="preserve"> solicit</w:t>
      </w:r>
      <w:r w:rsidR="00686A9D">
        <w:rPr>
          <w:rFonts w:ascii="Arial" w:hAnsi="Arial" w:cs="Arial"/>
          <w:color w:val="0D0D0D"/>
          <w:spacing w:val="-3"/>
          <w:lang w:val="es-ES" w:eastAsia="zh-CN"/>
        </w:rPr>
        <w:t>ó</w:t>
      </w:r>
      <w:r w:rsidR="00AF4427">
        <w:rPr>
          <w:rFonts w:ascii="Arial" w:hAnsi="Arial" w:cs="Arial"/>
          <w:color w:val="0D0D0D"/>
          <w:spacing w:val="-3"/>
          <w:lang w:val="es-ES" w:eastAsia="zh-CN"/>
        </w:rPr>
        <w:t xml:space="preserve"> (i) amparar </w:t>
      </w:r>
      <w:r w:rsidR="00686A9D">
        <w:rPr>
          <w:rFonts w:ascii="Arial" w:hAnsi="Arial" w:cs="Arial"/>
          <w:color w:val="0D0D0D"/>
          <w:spacing w:val="-3"/>
          <w:lang w:val="es-ES" w:eastAsia="zh-CN"/>
        </w:rPr>
        <w:t>su</w:t>
      </w:r>
      <w:r w:rsidR="0058192A">
        <w:rPr>
          <w:rFonts w:ascii="Arial" w:hAnsi="Arial" w:cs="Arial"/>
          <w:color w:val="0D0D0D"/>
          <w:spacing w:val="-3"/>
          <w:lang w:val="es-ES" w:eastAsia="zh-CN"/>
        </w:rPr>
        <w:t>s</w:t>
      </w:r>
      <w:r w:rsidR="00AF4427">
        <w:rPr>
          <w:rFonts w:ascii="Arial" w:hAnsi="Arial" w:cs="Arial"/>
          <w:color w:val="0D0D0D"/>
          <w:spacing w:val="-3"/>
          <w:lang w:val="es-ES" w:eastAsia="zh-CN"/>
        </w:rPr>
        <w:t xml:space="preserve"> derecho</w:t>
      </w:r>
      <w:r w:rsidR="0058192A">
        <w:rPr>
          <w:rFonts w:ascii="Arial" w:hAnsi="Arial" w:cs="Arial"/>
          <w:color w:val="0D0D0D"/>
          <w:spacing w:val="-3"/>
          <w:lang w:val="es-ES" w:eastAsia="zh-CN"/>
        </w:rPr>
        <w:t>s</w:t>
      </w:r>
      <w:r w:rsidR="00AF4427">
        <w:rPr>
          <w:rFonts w:ascii="Arial" w:hAnsi="Arial" w:cs="Arial"/>
          <w:color w:val="0D0D0D"/>
          <w:spacing w:val="-3"/>
          <w:lang w:val="es-ES" w:eastAsia="zh-CN"/>
        </w:rPr>
        <w:t xml:space="preserve"> fundamental</w:t>
      </w:r>
      <w:r w:rsidR="0058192A">
        <w:rPr>
          <w:rFonts w:ascii="Arial" w:hAnsi="Arial" w:cs="Arial"/>
          <w:color w:val="0D0D0D"/>
          <w:spacing w:val="-3"/>
          <w:lang w:val="es-ES" w:eastAsia="zh-CN"/>
        </w:rPr>
        <w:t>es</w:t>
      </w:r>
      <w:r w:rsidR="00686A9D">
        <w:rPr>
          <w:rFonts w:ascii="Arial" w:hAnsi="Arial" w:cs="Arial"/>
          <w:color w:val="0D0D0D"/>
          <w:spacing w:val="-3"/>
          <w:lang w:val="es-ES" w:eastAsia="zh-CN"/>
        </w:rPr>
        <w:t xml:space="preserve"> </w:t>
      </w:r>
      <w:r w:rsidR="0028234E">
        <w:rPr>
          <w:rFonts w:ascii="Arial" w:hAnsi="Arial" w:cs="Arial"/>
        </w:rPr>
        <w:t xml:space="preserve">al </w:t>
      </w:r>
      <w:r w:rsidR="00436518" w:rsidRPr="00A8598F">
        <w:rPr>
          <w:rFonts w:ascii="Arial" w:hAnsi="Arial" w:cs="Arial"/>
        </w:rPr>
        <w:t>debido proceso y al acceso a la administración de justicia</w:t>
      </w:r>
      <w:r w:rsidR="0028234E">
        <w:rPr>
          <w:rFonts w:ascii="Arial" w:hAnsi="Arial" w:cs="Arial"/>
        </w:rPr>
        <w:t xml:space="preserve"> </w:t>
      </w:r>
      <w:r w:rsidR="001A2395">
        <w:rPr>
          <w:rFonts w:ascii="Arial" w:hAnsi="Arial" w:cs="Arial"/>
          <w:color w:val="0D0D0D"/>
          <w:spacing w:val="-3"/>
          <w:lang w:val="es-ES" w:eastAsia="zh-CN"/>
        </w:rPr>
        <w:t>y como consecuencia</w:t>
      </w:r>
      <w:r w:rsidR="00F0549D">
        <w:rPr>
          <w:rFonts w:ascii="Arial" w:hAnsi="Arial" w:cs="Arial"/>
          <w:color w:val="0D0D0D"/>
          <w:spacing w:val="-3"/>
          <w:lang w:val="es-ES" w:eastAsia="zh-CN"/>
        </w:rPr>
        <w:t xml:space="preserve"> de ello</w:t>
      </w:r>
      <w:r w:rsidR="00AF4427">
        <w:rPr>
          <w:rFonts w:ascii="Arial" w:hAnsi="Arial" w:cs="Arial"/>
          <w:color w:val="0D0D0D"/>
          <w:spacing w:val="-3"/>
          <w:lang w:val="es-ES" w:eastAsia="zh-CN"/>
        </w:rPr>
        <w:t xml:space="preserve"> (</w:t>
      </w:r>
      <w:proofErr w:type="spellStart"/>
      <w:r w:rsidR="00AF4427">
        <w:rPr>
          <w:rFonts w:ascii="Arial" w:hAnsi="Arial" w:cs="Arial"/>
          <w:color w:val="0D0D0D"/>
          <w:spacing w:val="-3"/>
          <w:lang w:val="es-ES" w:eastAsia="zh-CN"/>
        </w:rPr>
        <w:t>ii</w:t>
      </w:r>
      <w:proofErr w:type="spellEnd"/>
      <w:r w:rsidR="00AF4427">
        <w:rPr>
          <w:rFonts w:ascii="Arial" w:hAnsi="Arial" w:cs="Arial"/>
          <w:color w:val="0D0D0D"/>
          <w:spacing w:val="-3"/>
          <w:lang w:val="es-ES" w:eastAsia="zh-CN"/>
        </w:rPr>
        <w:t>)</w:t>
      </w:r>
      <w:r w:rsidR="00F00392">
        <w:rPr>
          <w:rFonts w:ascii="Arial" w:hAnsi="Arial" w:cs="Arial"/>
          <w:color w:val="0D0D0D"/>
          <w:spacing w:val="-3"/>
          <w:lang w:val="es-ES" w:eastAsia="zh-CN"/>
        </w:rPr>
        <w:t xml:space="preserve"> </w:t>
      </w:r>
      <w:r w:rsidR="00436518">
        <w:rPr>
          <w:rFonts w:ascii="Arial" w:hAnsi="Arial" w:cs="Arial"/>
          <w:color w:val="0D0D0D"/>
          <w:spacing w:val="-3"/>
          <w:lang w:val="es-ES" w:eastAsia="zh-CN"/>
        </w:rPr>
        <w:t xml:space="preserve">ordenar al Tribunal Administrativo de Caldas y al Consejo de Estado que revoquen la “decisión de rechazar el recaudo de la prueba testimonial” y </w:t>
      </w:r>
      <w:r w:rsidR="0042526A">
        <w:rPr>
          <w:rFonts w:ascii="Arial" w:hAnsi="Arial" w:cs="Arial"/>
          <w:color w:val="0D0D0D"/>
          <w:spacing w:val="-3"/>
          <w:lang w:val="es-ES" w:eastAsia="zh-CN"/>
        </w:rPr>
        <w:t xml:space="preserve">fijen nueva </w:t>
      </w:r>
      <w:r w:rsidR="00ED24FB">
        <w:rPr>
          <w:rFonts w:ascii="Arial" w:hAnsi="Arial" w:cs="Arial"/>
          <w:color w:val="0D0D0D"/>
          <w:spacing w:val="-3"/>
          <w:lang w:val="es-ES" w:eastAsia="zh-CN"/>
        </w:rPr>
        <w:t xml:space="preserve">fecha </w:t>
      </w:r>
      <w:r w:rsidR="0042526A">
        <w:rPr>
          <w:rFonts w:ascii="Arial" w:hAnsi="Arial" w:cs="Arial"/>
          <w:color w:val="0D0D0D"/>
          <w:spacing w:val="-3"/>
          <w:lang w:val="es-ES" w:eastAsia="zh-CN"/>
        </w:rPr>
        <w:t xml:space="preserve">para su práctica. </w:t>
      </w:r>
    </w:p>
    <w:p w14:paraId="33533336" w14:textId="74DDD31B" w:rsidR="00AD5A0D" w:rsidRDefault="00AD5A0D" w:rsidP="00D90EF0">
      <w:pPr>
        <w:spacing w:line="276" w:lineRule="auto"/>
        <w:ind w:right="51"/>
        <w:contextualSpacing/>
        <w:jc w:val="both"/>
        <w:rPr>
          <w:rFonts w:ascii="Arial" w:hAnsi="Arial" w:cs="Arial"/>
          <w:color w:val="0D0D0D"/>
          <w:spacing w:val="-3"/>
          <w:lang w:val="es-ES" w:eastAsia="zh-CN"/>
        </w:rPr>
      </w:pPr>
    </w:p>
    <w:p w14:paraId="237DAC7D" w14:textId="74541223" w:rsidR="00114216" w:rsidRDefault="00114216" w:rsidP="00686A9D">
      <w:pPr>
        <w:ind w:right="51"/>
        <w:contextualSpacing/>
        <w:jc w:val="both"/>
        <w:rPr>
          <w:rFonts w:ascii="Arial" w:eastAsia="Arial" w:hAnsi="Arial" w:cs="Arial"/>
        </w:rPr>
      </w:pPr>
      <w:r w:rsidRPr="009764DB">
        <w:rPr>
          <w:rFonts w:ascii="Arial" w:eastAsia="Arial" w:hAnsi="Arial" w:cs="Arial"/>
        </w:rPr>
        <w:t xml:space="preserve">La parte actora, como sustento a sus pretensiones, </w:t>
      </w:r>
      <w:r w:rsidR="009F6BE1" w:rsidRPr="009764DB">
        <w:rPr>
          <w:rFonts w:ascii="Arial" w:eastAsia="Arial" w:hAnsi="Arial" w:cs="Arial"/>
        </w:rPr>
        <w:t xml:space="preserve">manifestó </w:t>
      </w:r>
      <w:r w:rsidRPr="009764DB">
        <w:rPr>
          <w:rFonts w:ascii="Arial" w:eastAsia="Arial" w:hAnsi="Arial" w:cs="Arial"/>
        </w:rPr>
        <w:t xml:space="preserve">que </w:t>
      </w:r>
      <w:r w:rsidR="00433CAA" w:rsidRPr="009764DB">
        <w:rPr>
          <w:rFonts w:ascii="Arial" w:eastAsia="Arial" w:hAnsi="Arial" w:cs="Arial"/>
        </w:rPr>
        <w:t>la autoridad judicial cuestionada</w:t>
      </w:r>
      <w:r w:rsidR="001950F0" w:rsidRPr="009764DB">
        <w:rPr>
          <w:rFonts w:ascii="Arial" w:hAnsi="Arial" w:cs="Arial"/>
          <w:color w:val="0D0D0D"/>
          <w:spacing w:val="-3"/>
          <w:lang w:val="es-ES" w:eastAsia="zh-CN"/>
        </w:rPr>
        <w:t>,</w:t>
      </w:r>
      <w:r w:rsidRPr="009764DB">
        <w:rPr>
          <w:rFonts w:ascii="Arial" w:eastAsia="Arial" w:hAnsi="Arial" w:cs="Arial"/>
        </w:rPr>
        <w:t xml:space="preserve"> incurrió en defecto </w:t>
      </w:r>
      <w:r w:rsidR="009764DB">
        <w:rPr>
          <w:rFonts w:ascii="Arial" w:eastAsia="Arial" w:hAnsi="Arial" w:cs="Arial"/>
        </w:rPr>
        <w:t>procedimental absoluto, defecto fáctico, defecto sustantivo, decisión sin motivación, desconocimiento del precedente constitucional y violación directa de la Constitución</w:t>
      </w:r>
      <w:r w:rsidR="00A32FFF" w:rsidRPr="009764DB">
        <w:rPr>
          <w:rFonts w:ascii="Arial" w:eastAsia="Arial" w:hAnsi="Arial" w:cs="Arial"/>
        </w:rPr>
        <w:t>.</w:t>
      </w:r>
    </w:p>
    <w:p w14:paraId="6E1CC031" w14:textId="60060A24" w:rsidR="001950F0" w:rsidRDefault="001950F0" w:rsidP="00686A9D">
      <w:pPr>
        <w:ind w:right="51"/>
        <w:contextualSpacing/>
        <w:jc w:val="both"/>
        <w:rPr>
          <w:rFonts w:ascii="Arial" w:eastAsia="Arial" w:hAnsi="Arial" w:cs="Arial"/>
        </w:rPr>
      </w:pPr>
    </w:p>
    <w:p w14:paraId="319ED464" w14:textId="4583D3C9" w:rsidR="00E34F2E" w:rsidRPr="006608EA" w:rsidRDefault="00634475" w:rsidP="00ED3689">
      <w:pPr>
        <w:ind w:right="51"/>
        <w:contextualSpacing/>
        <w:jc w:val="both"/>
        <w:rPr>
          <w:rFonts w:ascii="Arial" w:hAnsi="Arial" w:cs="Arial"/>
        </w:rPr>
      </w:pPr>
      <w:r w:rsidRPr="006608EA">
        <w:rPr>
          <w:rFonts w:ascii="Arial" w:hAnsi="Arial" w:cs="Arial"/>
        </w:rPr>
        <w:t xml:space="preserve">(i) </w:t>
      </w:r>
      <w:r w:rsidR="003307FE" w:rsidRPr="006608EA">
        <w:rPr>
          <w:rFonts w:ascii="Arial" w:hAnsi="Arial" w:cs="Arial"/>
        </w:rPr>
        <w:t xml:space="preserve">Respecto al defecto </w:t>
      </w:r>
      <w:r w:rsidR="00E34F2E" w:rsidRPr="006608EA">
        <w:rPr>
          <w:rFonts w:ascii="Arial" w:hAnsi="Arial" w:cs="Arial"/>
        </w:rPr>
        <w:t>procedimental absoluto sostuvo que el artículo 217 del C.G.P no indica</w:t>
      </w:r>
      <w:r w:rsidR="00915FE8">
        <w:rPr>
          <w:rFonts w:ascii="Arial" w:hAnsi="Arial" w:cs="Arial"/>
        </w:rPr>
        <w:t>ba</w:t>
      </w:r>
      <w:r w:rsidR="00E34F2E" w:rsidRPr="006608EA">
        <w:rPr>
          <w:rFonts w:ascii="Arial" w:hAnsi="Arial" w:cs="Arial"/>
        </w:rPr>
        <w:t xml:space="preserve"> que </w:t>
      </w:r>
      <w:r w:rsidR="00915FE8">
        <w:rPr>
          <w:rFonts w:ascii="Arial" w:hAnsi="Arial" w:cs="Arial"/>
        </w:rPr>
        <w:t>fuera</w:t>
      </w:r>
      <w:r w:rsidR="00E34F2E" w:rsidRPr="006608EA">
        <w:rPr>
          <w:rFonts w:ascii="Arial" w:hAnsi="Arial" w:cs="Arial"/>
        </w:rPr>
        <w:t xml:space="preserve"> obligatorio el env</w:t>
      </w:r>
      <w:r w:rsidR="00915FE8">
        <w:rPr>
          <w:rFonts w:ascii="Arial" w:hAnsi="Arial" w:cs="Arial"/>
        </w:rPr>
        <w:t>í</w:t>
      </w:r>
      <w:r w:rsidR="00E34F2E" w:rsidRPr="006608EA">
        <w:rPr>
          <w:rFonts w:ascii="Arial" w:hAnsi="Arial" w:cs="Arial"/>
        </w:rPr>
        <w:t xml:space="preserve">o previo de copia de documentos de identidad ni correos electrónicos, máxime cuando los testigos no los poseen. </w:t>
      </w:r>
      <w:r w:rsidR="00915FE8">
        <w:rPr>
          <w:rFonts w:ascii="Arial" w:hAnsi="Arial" w:cs="Arial"/>
        </w:rPr>
        <w:t>Arg</w:t>
      </w:r>
      <w:r w:rsidR="00F82D27">
        <w:rPr>
          <w:rFonts w:ascii="Arial" w:hAnsi="Arial" w:cs="Arial"/>
        </w:rPr>
        <w:t>u</w:t>
      </w:r>
      <w:r w:rsidR="00915FE8">
        <w:rPr>
          <w:rFonts w:ascii="Arial" w:hAnsi="Arial" w:cs="Arial"/>
        </w:rPr>
        <w:t>yó que el</w:t>
      </w:r>
      <w:r w:rsidR="00E34F2E" w:rsidRPr="006608EA">
        <w:rPr>
          <w:rFonts w:ascii="Arial" w:hAnsi="Arial" w:cs="Arial"/>
        </w:rPr>
        <w:t xml:space="preserve"> artículo 221 del C.G.P tampoco hace dichas exigencias</w:t>
      </w:r>
      <w:r w:rsidR="002A575E">
        <w:rPr>
          <w:rFonts w:ascii="Arial" w:hAnsi="Arial" w:cs="Arial"/>
        </w:rPr>
        <w:t xml:space="preserve"> por lo que, se </w:t>
      </w:r>
      <w:r w:rsidR="009E3E0F">
        <w:rPr>
          <w:rFonts w:ascii="Arial" w:hAnsi="Arial" w:cs="Arial"/>
        </w:rPr>
        <w:t>configura un</w:t>
      </w:r>
      <w:r w:rsidR="00E34F2E" w:rsidRPr="006608EA">
        <w:rPr>
          <w:rFonts w:ascii="Arial" w:hAnsi="Arial" w:cs="Arial"/>
        </w:rPr>
        <w:t xml:space="preserve"> exceso de ritual manifiesto</w:t>
      </w:r>
      <w:r w:rsidR="002A575E">
        <w:rPr>
          <w:rFonts w:ascii="Arial" w:hAnsi="Arial" w:cs="Arial"/>
        </w:rPr>
        <w:t xml:space="preserve">. Además, el magistrado no tuvo en </w:t>
      </w:r>
      <w:r w:rsidR="00E34F2E" w:rsidRPr="006608EA">
        <w:rPr>
          <w:rFonts w:ascii="Arial" w:hAnsi="Arial" w:cs="Arial"/>
        </w:rPr>
        <w:t xml:space="preserve">cuenta </w:t>
      </w:r>
      <w:r w:rsidR="002A575E">
        <w:rPr>
          <w:rFonts w:ascii="Arial" w:hAnsi="Arial" w:cs="Arial"/>
        </w:rPr>
        <w:t xml:space="preserve">que </w:t>
      </w:r>
      <w:r w:rsidR="00E34F2E" w:rsidRPr="006608EA">
        <w:rPr>
          <w:rFonts w:ascii="Arial" w:hAnsi="Arial" w:cs="Arial"/>
        </w:rPr>
        <w:t>el lugar de residencia de los testigos</w:t>
      </w:r>
      <w:r w:rsidR="002A575E">
        <w:rPr>
          <w:rFonts w:ascii="Arial" w:hAnsi="Arial" w:cs="Arial"/>
        </w:rPr>
        <w:t xml:space="preserve"> está alejado</w:t>
      </w:r>
      <w:r w:rsidR="00E34F2E" w:rsidRPr="006608EA">
        <w:rPr>
          <w:rFonts w:ascii="Arial" w:hAnsi="Arial" w:cs="Arial"/>
        </w:rPr>
        <w:t xml:space="preserve"> del casco urbano</w:t>
      </w:r>
      <w:r w:rsidR="002A575E">
        <w:rPr>
          <w:rFonts w:ascii="Arial" w:hAnsi="Arial" w:cs="Arial"/>
        </w:rPr>
        <w:t>, lo cual dificulta la conectividad a</w:t>
      </w:r>
      <w:r w:rsidR="00E34F2E" w:rsidRPr="006608EA">
        <w:rPr>
          <w:rFonts w:ascii="Arial" w:hAnsi="Arial" w:cs="Arial"/>
        </w:rPr>
        <w:t xml:space="preserve"> medios tecnológicos</w:t>
      </w:r>
      <w:r w:rsidR="00097A33">
        <w:rPr>
          <w:rFonts w:ascii="Arial" w:hAnsi="Arial" w:cs="Arial"/>
        </w:rPr>
        <w:t xml:space="preserve">, pues vivían en </w:t>
      </w:r>
      <w:r w:rsidR="00097A33" w:rsidRPr="006608EA">
        <w:rPr>
          <w:rFonts w:ascii="Arial" w:hAnsi="Arial" w:cs="Arial"/>
        </w:rPr>
        <w:t>un corregimiento alejado (7.5 horas) del casco urbano</w:t>
      </w:r>
      <w:r w:rsidR="00097A33">
        <w:rPr>
          <w:rFonts w:ascii="Arial" w:hAnsi="Arial" w:cs="Arial"/>
        </w:rPr>
        <w:t xml:space="preserve"> (Vereda La Garrucha, Corregimiento la Cristalina de Manizales)</w:t>
      </w:r>
      <w:r w:rsidR="00097A33">
        <w:rPr>
          <w:rFonts w:ascii="Arial" w:hAnsi="Arial" w:cs="Arial"/>
        </w:rPr>
        <w:t xml:space="preserve">. </w:t>
      </w:r>
    </w:p>
    <w:p w14:paraId="0A88E8E9" w14:textId="1499005F" w:rsidR="00E34F2E" w:rsidRPr="006608EA" w:rsidRDefault="00E34F2E" w:rsidP="00ED3689">
      <w:pPr>
        <w:ind w:right="51"/>
        <w:contextualSpacing/>
        <w:jc w:val="both"/>
        <w:rPr>
          <w:rFonts w:ascii="Arial" w:hAnsi="Arial" w:cs="Arial"/>
        </w:rPr>
      </w:pPr>
    </w:p>
    <w:p w14:paraId="0F861866" w14:textId="0ACEBF78" w:rsidR="00E34F2E" w:rsidRPr="006608EA" w:rsidRDefault="00E34F2E" w:rsidP="00ED3689">
      <w:pPr>
        <w:ind w:right="51"/>
        <w:contextualSpacing/>
        <w:jc w:val="both"/>
        <w:rPr>
          <w:rFonts w:ascii="Arial" w:hAnsi="Arial" w:cs="Arial"/>
        </w:rPr>
      </w:pPr>
      <w:r w:rsidRPr="006608EA">
        <w:rPr>
          <w:rFonts w:ascii="Arial" w:hAnsi="Arial" w:cs="Arial"/>
        </w:rPr>
        <w:t>(</w:t>
      </w:r>
      <w:proofErr w:type="spellStart"/>
      <w:r w:rsidRPr="006608EA">
        <w:rPr>
          <w:rFonts w:ascii="Arial" w:hAnsi="Arial" w:cs="Arial"/>
        </w:rPr>
        <w:t>ii</w:t>
      </w:r>
      <w:proofErr w:type="spellEnd"/>
      <w:r w:rsidRPr="006608EA">
        <w:rPr>
          <w:rFonts w:ascii="Arial" w:hAnsi="Arial" w:cs="Arial"/>
        </w:rPr>
        <w:t xml:space="preserve">) Indicó que se presentaba un defecto fáctico porque el </w:t>
      </w:r>
      <w:r w:rsidR="00172DBF" w:rsidRPr="006608EA">
        <w:rPr>
          <w:rFonts w:ascii="Arial" w:hAnsi="Arial" w:cs="Arial"/>
        </w:rPr>
        <w:t>m</w:t>
      </w:r>
      <w:r w:rsidRPr="006608EA">
        <w:rPr>
          <w:rFonts w:ascii="Arial" w:hAnsi="Arial" w:cs="Arial"/>
        </w:rPr>
        <w:t>agistrado en</w:t>
      </w:r>
      <w:r w:rsidR="002B7959">
        <w:rPr>
          <w:rFonts w:ascii="Arial" w:hAnsi="Arial" w:cs="Arial"/>
        </w:rPr>
        <w:t xml:space="preserve"> la</w:t>
      </w:r>
      <w:r w:rsidRPr="006608EA">
        <w:rPr>
          <w:rFonts w:ascii="Arial" w:hAnsi="Arial" w:cs="Arial"/>
        </w:rPr>
        <w:t xml:space="preserve"> audiencia</w:t>
      </w:r>
      <w:r w:rsidR="002A575E">
        <w:rPr>
          <w:rFonts w:ascii="Arial" w:hAnsi="Arial" w:cs="Arial"/>
        </w:rPr>
        <w:t>,</w:t>
      </w:r>
      <w:r w:rsidRPr="006608EA">
        <w:rPr>
          <w:rFonts w:ascii="Arial" w:hAnsi="Arial" w:cs="Arial"/>
        </w:rPr>
        <w:t xml:space="preserve"> </w:t>
      </w:r>
      <w:r w:rsidR="002A575E">
        <w:rPr>
          <w:rFonts w:ascii="Arial" w:hAnsi="Arial" w:cs="Arial"/>
        </w:rPr>
        <w:t xml:space="preserve">decidió </w:t>
      </w:r>
      <w:r w:rsidRPr="006608EA">
        <w:rPr>
          <w:rFonts w:ascii="Arial" w:hAnsi="Arial" w:cs="Arial"/>
        </w:rPr>
        <w:t xml:space="preserve">no escuchar a los testigos por no tener copias de las cédulas </w:t>
      </w:r>
      <w:r w:rsidR="00CB5EE1">
        <w:rPr>
          <w:rFonts w:ascii="Arial" w:hAnsi="Arial" w:cs="Arial"/>
        </w:rPr>
        <w:t>ni brindar los</w:t>
      </w:r>
      <w:r w:rsidRPr="006608EA">
        <w:rPr>
          <w:rFonts w:ascii="Arial" w:hAnsi="Arial" w:cs="Arial"/>
        </w:rPr>
        <w:t xml:space="preserve"> correos electrónicos</w:t>
      </w:r>
      <w:r w:rsidR="00CB5EE1">
        <w:rPr>
          <w:rFonts w:ascii="Arial" w:hAnsi="Arial" w:cs="Arial"/>
        </w:rPr>
        <w:t xml:space="preserve">, </w:t>
      </w:r>
      <w:r w:rsidRPr="006608EA">
        <w:rPr>
          <w:rFonts w:ascii="Arial" w:hAnsi="Arial" w:cs="Arial"/>
        </w:rPr>
        <w:t>desconociendo lo indicado en el escrito de la demanda, puesto</w:t>
      </w:r>
      <w:r w:rsidR="00CB5EE1">
        <w:rPr>
          <w:rFonts w:ascii="Arial" w:hAnsi="Arial" w:cs="Arial"/>
        </w:rPr>
        <w:t xml:space="preserve"> que</w:t>
      </w:r>
      <w:r w:rsidRPr="006608EA">
        <w:rPr>
          <w:rFonts w:ascii="Arial" w:hAnsi="Arial" w:cs="Arial"/>
        </w:rPr>
        <w:t xml:space="preserve"> desde el inicio se inform</w:t>
      </w:r>
      <w:r w:rsidR="00CB5EE1">
        <w:rPr>
          <w:rFonts w:ascii="Arial" w:hAnsi="Arial" w:cs="Arial"/>
        </w:rPr>
        <w:t>ó</w:t>
      </w:r>
      <w:r w:rsidRPr="006608EA">
        <w:rPr>
          <w:rFonts w:ascii="Arial" w:hAnsi="Arial" w:cs="Arial"/>
        </w:rPr>
        <w:t xml:space="preserve"> que </w:t>
      </w:r>
      <w:r w:rsidR="002A575E">
        <w:rPr>
          <w:rFonts w:ascii="Arial" w:hAnsi="Arial" w:cs="Arial"/>
        </w:rPr>
        <w:t>no tenían</w:t>
      </w:r>
      <w:r w:rsidRPr="006608EA">
        <w:rPr>
          <w:rFonts w:ascii="Arial" w:hAnsi="Arial" w:cs="Arial"/>
        </w:rPr>
        <w:t xml:space="preserve"> correo electrónico</w:t>
      </w:r>
      <w:r w:rsidR="002A575E">
        <w:rPr>
          <w:rFonts w:ascii="Arial" w:hAnsi="Arial" w:cs="Arial"/>
        </w:rPr>
        <w:t xml:space="preserve"> y que</w:t>
      </w:r>
      <w:r w:rsidRPr="006608EA">
        <w:rPr>
          <w:rFonts w:ascii="Arial" w:hAnsi="Arial" w:cs="Arial"/>
        </w:rPr>
        <w:t xml:space="preserve"> por residir en un lugar alejado era imposible acceder a las copias de las cédulas. </w:t>
      </w:r>
      <w:r w:rsidR="00CB5EE1">
        <w:rPr>
          <w:rFonts w:ascii="Arial" w:hAnsi="Arial" w:cs="Arial"/>
        </w:rPr>
        <w:t>Manifestó que en</w:t>
      </w:r>
      <w:r w:rsidRPr="006608EA">
        <w:rPr>
          <w:rFonts w:ascii="Arial" w:hAnsi="Arial" w:cs="Arial"/>
        </w:rPr>
        <w:t xml:space="preserve"> ninguna parte de la norma se indica que sea obligación</w:t>
      </w:r>
      <w:r w:rsidR="002A575E">
        <w:rPr>
          <w:rFonts w:ascii="Arial" w:hAnsi="Arial" w:cs="Arial"/>
        </w:rPr>
        <w:t xml:space="preserve"> la presentación de dicho </w:t>
      </w:r>
      <w:r w:rsidRPr="006608EA">
        <w:rPr>
          <w:rFonts w:ascii="Arial" w:hAnsi="Arial" w:cs="Arial"/>
        </w:rPr>
        <w:t>documento</w:t>
      </w:r>
      <w:r w:rsidR="002A575E">
        <w:rPr>
          <w:rFonts w:ascii="Arial" w:hAnsi="Arial" w:cs="Arial"/>
        </w:rPr>
        <w:t>, que se desconoció el estado de</w:t>
      </w:r>
      <w:r w:rsidRPr="006608EA">
        <w:rPr>
          <w:rFonts w:ascii="Arial" w:hAnsi="Arial" w:cs="Arial"/>
        </w:rPr>
        <w:t xml:space="preserve"> emergencia sanitaria y </w:t>
      </w:r>
      <w:r w:rsidR="002A575E">
        <w:rPr>
          <w:rFonts w:ascii="Arial" w:hAnsi="Arial" w:cs="Arial"/>
        </w:rPr>
        <w:t xml:space="preserve">que </w:t>
      </w:r>
      <w:r w:rsidRPr="006608EA">
        <w:rPr>
          <w:rFonts w:ascii="Arial" w:hAnsi="Arial" w:cs="Arial"/>
        </w:rPr>
        <w:t xml:space="preserve">la audiencia se realizaba de manera virtual. </w:t>
      </w:r>
    </w:p>
    <w:p w14:paraId="347AEE28" w14:textId="77777777" w:rsidR="00E34F2E" w:rsidRPr="006608EA" w:rsidRDefault="00E34F2E" w:rsidP="00ED3689">
      <w:pPr>
        <w:ind w:right="51"/>
        <w:contextualSpacing/>
        <w:jc w:val="both"/>
        <w:rPr>
          <w:rFonts w:ascii="Arial" w:hAnsi="Arial" w:cs="Arial"/>
        </w:rPr>
      </w:pPr>
    </w:p>
    <w:p w14:paraId="350FCE1B" w14:textId="5A8F2A2E" w:rsidR="00E34F2E" w:rsidRPr="006608EA" w:rsidRDefault="00E34F2E" w:rsidP="001D3B1D">
      <w:pPr>
        <w:ind w:right="51"/>
        <w:contextualSpacing/>
        <w:jc w:val="both"/>
        <w:rPr>
          <w:rFonts w:ascii="Arial" w:hAnsi="Arial" w:cs="Arial"/>
        </w:rPr>
      </w:pPr>
      <w:r w:rsidRPr="006608EA">
        <w:rPr>
          <w:rFonts w:ascii="Arial" w:hAnsi="Arial" w:cs="Arial"/>
        </w:rPr>
        <w:t>(</w:t>
      </w:r>
      <w:proofErr w:type="spellStart"/>
      <w:r w:rsidRPr="006608EA">
        <w:rPr>
          <w:rFonts w:ascii="Arial" w:hAnsi="Arial" w:cs="Arial"/>
        </w:rPr>
        <w:t>iii</w:t>
      </w:r>
      <w:proofErr w:type="spellEnd"/>
      <w:r w:rsidRPr="006608EA">
        <w:rPr>
          <w:rFonts w:ascii="Arial" w:hAnsi="Arial" w:cs="Arial"/>
        </w:rPr>
        <w:t xml:space="preserve">) En cuanto al defecto sustantivo, afirmó que </w:t>
      </w:r>
      <w:r w:rsidR="00CB5EE1">
        <w:rPr>
          <w:rFonts w:ascii="Arial" w:hAnsi="Arial" w:cs="Arial"/>
        </w:rPr>
        <w:t>l</w:t>
      </w:r>
      <w:r w:rsidRPr="006608EA">
        <w:rPr>
          <w:rFonts w:ascii="Arial" w:hAnsi="Arial" w:cs="Arial"/>
        </w:rPr>
        <w:t>os accionados no</w:t>
      </w:r>
      <w:r w:rsidR="00CB5EE1">
        <w:rPr>
          <w:rFonts w:ascii="Arial" w:hAnsi="Arial" w:cs="Arial"/>
        </w:rPr>
        <w:t xml:space="preserve"> sustentaron</w:t>
      </w:r>
      <w:r w:rsidRPr="006608EA">
        <w:rPr>
          <w:rFonts w:ascii="Arial" w:hAnsi="Arial" w:cs="Arial"/>
        </w:rPr>
        <w:t xml:space="preserve"> </w:t>
      </w:r>
      <w:r w:rsidR="00097A33">
        <w:rPr>
          <w:rFonts w:ascii="Arial" w:hAnsi="Arial" w:cs="Arial"/>
        </w:rPr>
        <w:t>la</w:t>
      </w:r>
      <w:r w:rsidRPr="006608EA">
        <w:rPr>
          <w:rFonts w:ascii="Arial" w:hAnsi="Arial" w:cs="Arial"/>
        </w:rPr>
        <w:t xml:space="preserve"> decisión de negar el recaudo de la prueba testimonial en una norma</w:t>
      </w:r>
      <w:r w:rsidR="00097A33">
        <w:rPr>
          <w:rFonts w:ascii="Arial" w:hAnsi="Arial" w:cs="Arial"/>
        </w:rPr>
        <w:t xml:space="preserve">, sino en el </w:t>
      </w:r>
      <w:r w:rsidR="004C3046" w:rsidRPr="006608EA">
        <w:rPr>
          <w:rFonts w:ascii="Arial" w:hAnsi="Arial" w:cs="Arial"/>
        </w:rPr>
        <w:t xml:space="preserve">capricho y </w:t>
      </w:r>
      <w:r w:rsidR="00097A33">
        <w:rPr>
          <w:rFonts w:ascii="Arial" w:hAnsi="Arial" w:cs="Arial"/>
        </w:rPr>
        <w:t xml:space="preserve">abusando de su </w:t>
      </w:r>
      <w:r w:rsidR="004C3046" w:rsidRPr="006608EA">
        <w:rPr>
          <w:rFonts w:ascii="Arial" w:hAnsi="Arial" w:cs="Arial"/>
        </w:rPr>
        <w:t>autoridad</w:t>
      </w:r>
      <w:r w:rsidR="00097A33">
        <w:rPr>
          <w:rFonts w:ascii="Arial" w:hAnsi="Arial" w:cs="Arial"/>
        </w:rPr>
        <w:t xml:space="preserve">. </w:t>
      </w:r>
    </w:p>
    <w:p w14:paraId="7E6323D9" w14:textId="77777777" w:rsidR="0071433E" w:rsidRPr="006608EA" w:rsidRDefault="0071433E" w:rsidP="001D3B1D">
      <w:pPr>
        <w:ind w:right="51"/>
        <w:contextualSpacing/>
        <w:jc w:val="both"/>
        <w:rPr>
          <w:rFonts w:ascii="Arial" w:hAnsi="Arial" w:cs="Arial"/>
        </w:rPr>
      </w:pPr>
    </w:p>
    <w:p w14:paraId="79555A82" w14:textId="568D4E1B" w:rsidR="00E34F2E" w:rsidRPr="006608EA" w:rsidRDefault="004C3046" w:rsidP="001D3B1D">
      <w:pPr>
        <w:ind w:right="51"/>
        <w:contextualSpacing/>
        <w:jc w:val="both"/>
        <w:rPr>
          <w:rFonts w:ascii="Arial" w:hAnsi="Arial" w:cs="Arial"/>
        </w:rPr>
      </w:pPr>
      <w:r w:rsidRPr="006608EA">
        <w:rPr>
          <w:rFonts w:ascii="Arial" w:hAnsi="Arial" w:cs="Arial"/>
        </w:rPr>
        <w:t>(</w:t>
      </w:r>
      <w:proofErr w:type="spellStart"/>
      <w:r w:rsidR="00097A33">
        <w:rPr>
          <w:rFonts w:ascii="Arial" w:hAnsi="Arial" w:cs="Arial"/>
        </w:rPr>
        <w:t>i</w:t>
      </w:r>
      <w:r w:rsidR="001D2D43" w:rsidRPr="006608EA">
        <w:rPr>
          <w:rFonts w:ascii="Arial" w:hAnsi="Arial" w:cs="Arial"/>
        </w:rPr>
        <w:t>v</w:t>
      </w:r>
      <w:proofErr w:type="spellEnd"/>
      <w:r w:rsidR="001D2D43" w:rsidRPr="006608EA">
        <w:rPr>
          <w:rFonts w:ascii="Arial" w:hAnsi="Arial" w:cs="Arial"/>
        </w:rPr>
        <w:t xml:space="preserve">) </w:t>
      </w:r>
      <w:r w:rsidR="00097A33">
        <w:rPr>
          <w:rFonts w:ascii="Arial" w:hAnsi="Arial" w:cs="Arial"/>
        </w:rPr>
        <w:t xml:space="preserve">El </w:t>
      </w:r>
      <w:r w:rsidR="001D2D43" w:rsidRPr="006608EA">
        <w:rPr>
          <w:rFonts w:ascii="Arial" w:hAnsi="Arial" w:cs="Arial"/>
        </w:rPr>
        <w:t xml:space="preserve">desconocimiento del precedente constitucional </w:t>
      </w:r>
      <w:r w:rsidR="00097A33">
        <w:rPr>
          <w:rFonts w:ascii="Arial" w:hAnsi="Arial" w:cs="Arial"/>
        </w:rPr>
        <w:t xml:space="preserve">lo sustentó la parte accionante aduciendo que: </w:t>
      </w:r>
      <w:r w:rsidR="001D2D43" w:rsidRPr="006608EA">
        <w:rPr>
          <w:rFonts w:ascii="Arial" w:hAnsi="Arial" w:cs="Arial"/>
        </w:rPr>
        <w:t>“</w:t>
      </w:r>
      <w:r w:rsidR="00521FE7">
        <w:rPr>
          <w:rFonts w:ascii="Arial" w:hAnsi="Arial" w:cs="Arial"/>
        </w:rPr>
        <w:t>l</w:t>
      </w:r>
      <w:r w:rsidR="001D2D43" w:rsidRPr="006608EA">
        <w:rPr>
          <w:rFonts w:ascii="Arial" w:hAnsi="Arial" w:cs="Arial"/>
        </w:rPr>
        <w:t xml:space="preserve">a jurisprudencia </w:t>
      </w:r>
      <w:r w:rsidR="001D2D43" w:rsidRPr="007D28A8">
        <w:rPr>
          <w:rFonts w:ascii="Arial" w:hAnsi="Arial" w:cs="Arial"/>
        </w:rPr>
        <w:t>constitucional</w:t>
      </w:r>
      <w:r w:rsidR="001D2D43" w:rsidRPr="006608EA">
        <w:rPr>
          <w:rFonts w:ascii="Arial" w:hAnsi="Arial" w:cs="Arial"/>
        </w:rPr>
        <w:t xml:space="preserve"> ha definido el derecho al debido proceso como el conjunto de garantías previstas en el ordenamiento jurídico, a través de las cuales se busca la protección del individuo incurso en una actuación judicial o administrativa, para que durante su trámite se respeten sus derechos y se logre la aplicación correcta de la justicia”</w:t>
      </w:r>
      <w:r w:rsidR="00097A33">
        <w:rPr>
          <w:rFonts w:ascii="Arial" w:hAnsi="Arial" w:cs="Arial"/>
        </w:rPr>
        <w:t xml:space="preserve">. Sentencia </w:t>
      </w:r>
      <w:r w:rsidR="001D2D43" w:rsidRPr="006608EA">
        <w:rPr>
          <w:rFonts w:ascii="Arial" w:hAnsi="Arial" w:cs="Arial"/>
        </w:rPr>
        <w:t>C-341/14.</w:t>
      </w:r>
    </w:p>
    <w:p w14:paraId="1EE5705A" w14:textId="77777777" w:rsidR="006608EA" w:rsidRDefault="006608EA" w:rsidP="001D3B1D">
      <w:pPr>
        <w:ind w:right="51"/>
        <w:contextualSpacing/>
        <w:jc w:val="both"/>
        <w:rPr>
          <w:rFonts w:ascii="Arial" w:hAnsi="Arial" w:cs="Arial"/>
        </w:rPr>
      </w:pPr>
    </w:p>
    <w:p w14:paraId="4F3EA8C9" w14:textId="12C58EE8" w:rsidR="001D2D43" w:rsidRPr="006608EA" w:rsidRDefault="001D2D43" w:rsidP="001D3B1D">
      <w:pPr>
        <w:ind w:right="51"/>
        <w:contextualSpacing/>
        <w:jc w:val="both"/>
        <w:rPr>
          <w:rFonts w:ascii="Arial" w:hAnsi="Arial" w:cs="Arial"/>
        </w:rPr>
      </w:pPr>
      <w:r w:rsidRPr="006608EA">
        <w:rPr>
          <w:rFonts w:ascii="Arial" w:hAnsi="Arial" w:cs="Arial"/>
        </w:rPr>
        <w:t>(vi)</w:t>
      </w:r>
      <w:r w:rsidR="00895253" w:rsidRPr="006608EA">
        <w:rPr>
          <w:rFonts w:ascii="Arial" w:hAnsi="Arial" w:cs="Arial"/>
        </w:rPr>
        <w:t xml:space="preserve"> Por último, sostuvo que la providencia cuestionada incurrió en violación directa de la Constitución porque </w:t>
      </w:r>
      <w:r w:rsidR="001140CC">
        <w:rPr>
          <w:rFonts w:ascii="Arial" w:hAnsi="Arial" w:cs="Arial"/>
        </w:rPr>
        <w:t>se vulnera</w:t>
      </w:r>
      <w:r w:rsidR="00895253" w:rsidRPr="006608EA">
        <w:rPr>
          <w:rFonts w:ascii="Arial" w:hAnsi="Arial" w:cs="Arial"/>
        </w:rPr>
        <w:t xml:space="preserve"> el debido proceso, el acceso a la </w:t>
      </w:r>
      <w:r w:rsidR="00E00F7D">
        <w:rPr>
          <w:rFonts w:ascii="Arial" w:hAnsi="Arial" w:cs="Arial"/>
        </w:rPr>
        <w:t xml:space="preserve">administración de </w:t>
      </w:r>
      <w:r w:rsidR="00895253" w:rsidRPr="006608EA">
        <w:rPr>
          <w:rFonts w:ascii="Arial" w:hAnsi="Arial" w:cs="Arial"/>
        </w:rPr>
        <w:t xml:space="preserve">justicia y a la igualdad </w:t>
      </w:r>
      <w:r w:rsidR="001140CC">
        <w:rPr>
          <w:rFonts w:ascii="Arial" w:hAnsi="Arial" w:cs="Arial"/>
        </w:rPr>
        <w:t xml:space="preserve">y que </w:t>
      </w:r>
      <w:r w:rsidR="00895253" w:rsidRPr="006608EA">
        <w:rPr>
          <w:rFonts w:ascii="Arial" w:hAnsi="Arial" w:cs="Arial"/>
        </w:rPr>
        <w:t>conexo a estos derechos también se viola el derecho a vida digna y un mínimo vital, ya que la accionada no posee otro ingreso</w:t>
      </w:r>
      <w:r w:rsidR="00E00F7D">
        <w:rPr>
          <w:rFonts w:ascii="Arial" w:hAnsi="Arial" w:cs="Arial"/>
        </w:rPr>
        <w:t xml:space="preserve"> y</w:t>
      </w:r>
      <w:r w:rsidR="00895253" w:rsidRPr="006608EA">
        <w:rPr>
          <w:rFonts w:ascii="Arial" w:hAnsi="Arial" w:cs="Arial"/>
        </w:rPr>
        <w:t xml:space="preserve"> no realizó cotizaciones </w:t>
      </w:r>
      <w:r w:rsidR="00097A33">
        <w:rPr>
          <w:rFonts w:ascii="Arial" w:hAnsi="Arial" w:cs="Arial"/>
        </w:rPr>
        <w:t>al sistema pensional porque confió en que dicha obligación la cumplía el municipio de Manizales</w:t>
      </w:r>
    </w:p>
    <w:p w14:paraId="19A122E3" w14:textId="77777777" w:rsidR="001D2D43" w:rsidRDefault="001D2D43" w:rsidP="001D3B1D">
      <w:pPr>
        <w:ind w:right="51"/>
        <w:contextualSpacing/>
        <w:jc w:val="both"/>
        <w:rPr>
          <w:rFonts w:ascii="Arial" w:hAnsi="Arial" w:cs="Arial"/>
        </w:rPr>
      </w:pPr>
    </w:p>
    <w:p w14:paraId="4263D452" w14:textId="7A42B295" w:rsidR="001D3B1D" w:rsidRDefault="001D3B1D" w:rsidP="001D3B1D">
      <w:pPr>
        <w:spacing w:line="276" w:lineRule="auto"/>
        <w:ind w:right="51"/>
        <w:contextualSpacing/>
        <w:jc w:val="both"/>
        <w:rPr>
          <w:rFonts w:ascii="Arial" w:hAnsi="Arial" w:cs="Arial"/>
          <w:b/>
          <w:bCs/>
          <w:color w:val="0D0D0D"/>
          <w:spacing w:val="-3"/>
          <w:lang w:val="es-ES" w:eastAsia="zh-CN"/>
        </w:rPr>
      </w:pPr>
      <w:r>
        <w:rPr>
          <w:rFonts w:ascii="Arial" w:hAnsi="Arial" w:cs="Arial"/>
          <w:b/>
          <w:bCs/>
          <w:color w:val="0D0D0D"/>
          <w:spacing w:val="-3"/>
          <w:lang w:val="es-ES" w:eastAsia="zh-CN"/>
        </w:rPr>
        <w:t>1.</w:t>
      </w:r>
      <w:r w:rsidR="000D277A">
        <w:rPr>
          <w:rFonts w:ascii="Arial" w:hAnsi="Arial" w:cs="Arial"/>
          <w:b/>
          <w:bCs/>
          <w:color w:val="0D0D0D"/>
          <w:spacing w:val="-3"/>
          <w:lang w:val="es-ES" w:eastAsia="zh-CN"/>
        </w:rPr>
        <w:t>4</w:t>
      </w:r>
      <w:r>
        <w:rPr>
          <w:rFonts w:ascii="Arial" w:hAnsi="Arial" w:cs="Arial"/>
          <w:b/>
          <w:bCs/>
          <w:color w:val="0D0D0D"/>
          <w:spacing w:val="-3"/>
          <w:lang w:val="es-ES" w:eastAsia="zh-CN"/>
        </w:rPr>
        <w:t>.</w:t>
      </w:r>
      <w:r>
        <w:rPr>
          <w:rFonts w:ascii="Arial" w:hAnsi="Arial" w:cs="Arial"/>
          <w:color w:val="0D0D0D"/>
          <w:spacing w:val="-3"/>
          <w:lang w:val="es-ES" w:eastAsia="zh-CN"/>
        </w:rPr>
        <w:t xml:space="preserve"> </w:t>
      </w:r>
      <w:r>
        <w:rPr>
          <w:rFonts w:ascii="Arial" w:hAnsi="Arial" w:cs="Arial"/>
          <w:b/>
          <w:bCs/>
          <w:color w:val="0D0D0D"/>
          <w:spacing w:val="-3"/>
          <w:lang w:val="es-ES" w:eastAsia="zh-CN"/>
        </w:rPr>
        <w:t>Tramite de tutela e intervenciones</w:t>
      </w:r>
    </w:p>
    <w:p w14:paraId="0AD52994" w14:textId="77777777" w:rsidR="001D3B1D" w:rsidRDefault="001D3B1D" w:rsidP="001D3B1D">
      <w:pPr>
        <w:jc w:val="both"/>
        <w:rPr>
          <w:rFonts w:ascii="Arial" w:hAnsi="Arial" w:cs="Arial"/>
          <w:color w:val="0D0D0D"/>
          <w:spacing w:val="-3"/>
          <w:lang w:val="es-ES" w:eastAsia="zh-CN"/>
        </w:rPr>
      </w:pPr>
    </w:p>
    <w:p w14:paraId="0D291F3C" w14:textId="45070225" w:rsidR="00453909" w:rsidRDefault="00453909" w:rsidP="00453909">
      <w:pPr>
        <w:jc w:val="both"/>
        <w:rPr>
          <w:rFonts w:ascii="Arial" w:eastAsia="Verdana" w:hAnsi="Arial" w:cs="Arial"/>
        </w:rPr>
      </w:pPr>
      <w:r w:rsidRPr="00460AAD">
        <w:rPr>
          <w:rFonts w:ascii="Arial" w:eastAsia="Verdana" w:hAnsi="Arial" w:cs="Arial"/>
        </w:rPr>
        <w:t>El Despacho del magistrado ponente, con auto de</w:t>
      </w:r>
      <w:r>
        <w:rPr>
          <w:rFonts w:ascii="Arial" w:eastAsia="Verdana" w:hAnsi="Arial" w:cs="Arial"/>
        </w:rPr>
        <w:t xml:space="preserve">l </w:t>
      </w:r>
      <w:r w:rsidR="00CE6C75">
        <w:rPr>
          <w:rFonts w:ascii="Arial" w:eastAsia="Verdana" w:hAnsi="Arial" w:cs="Arial"/>
        </w:rPr>
        <w:t>22 de marzo de 2023</w:t>
      </w:r>
      <w:r w:rsidRPr="00460AAD">
        <w:rPr>
          <w:rStyle w:val="Refdenotaalpie"/>
          <w:rFonts w:ascii="Arial" w:eastAsia="Verdana" w:hAnsi="Arial" w:cs="Arial"/>
        </w:rPr>
        <w:footnoteReference w:id="2"/>
      </w:r>
      <w:r w:rsidRPr="00460AAD">
        <w:rPr>
          <w:rFonts w:ascii="Arial" w:eastAsia="Verdana" w:hAnsi="Arial" w:cs="Arial"/>
        </w:rPr>
        <w:t>, admitió la acción</w:t>
      </w:r>
      <w:r>
        <w:rPr>
          <w:rFonts w:ascii="Arial" w:eastAsia="Verdana" w:hAnsi="Arial" w:cs="Arial"/>
        </w:rPr>
        <w:t xml:space="preserve"> y ordenó vincular</w:t>
      </w:r>
      <w:r w:rsidRPr="00460AAD">
        <w:rPr>
          <w:rFonts w:ascii="Arial" w:eastAsia="Verdana" w:hAnsi="Arial" w:cs="Arial"/>
        </w:rPr>
        <w:t xml:space="preserve"> </w:t>
      </w:r>
      <w:r>
        <w:rPr>
          <w:rFonts w:ascii="Arial" w:eastAsia="Verdana" w:hAnsi="Arial" w:cs="Arial"/>
        </w:rPr>
        <w:t>a</w:t>
      </w:r>
      <w:r w:rsidR="00A963F6">
        <w:rPr>
          <w:rFonts w:ascii="Arial" w:eastAsia="Verdana" w:hAnsi="Arial" w:cs="Arial"/>
        </w:rPr>
        <w:t>l municipio de Manizales y a</w:t>
      </w:r>
      <w:r>
        <w:rPr>
          <w:rFonts w:ascii="Arial" w:eastAsia="Verdana" w:hAnsi="Arial" w:cs="Arial"/>
        </w:rPr>
        <w:t xml:space="preserve"> quienes participa</w:t>
      </w:r>
      <w:r w:rsidR="00097A33">
        <w:rPr>
          <w:rFonts w:ascii="Arial" w:eastAsia="Verdana" w:hAnsi="Arial" w:cs="Arial"/>
        </w:rPr>
        <w:t>ron</w:t>
      </w:r>
      <w:r>
        <w:rPr>
          <w:rFonts w:ascii="Arial" w:eastAsia="Verdana" w:hAnsi="Arial" w:cs="Arial"/>
        </w:rPr>
        <w:t xml:space="preserve"> en el proceso de </w:t>
      </w:r>
      <w:r w:rsidR="00A963F6">
        <w:rPr>
          <w:rFonts w:ascii="Arial" w:eastAsia="Verdana" w:hAnsi="Arial" w:cs="Arial"/>
        </w:rPr>
        <w:t>nulidad y restablecimiento del derecho</w:t>
      </w:r>
      <w:r>
        <w:rPr>
          <w:rFonts w:ascii="Arial" w:eastAsia="Verdana" w:hAnsi="Arial" w:cs="Arial"/>
        </w:rPr>
        <w:t>, objeto de la solicitud de amparo, como terceros interesados</w:t>
      </w:r>
      <w:r w:rsidRPr="00460AAD">
        <w:rPr>
          <w:rFonts w:ascii="Arial" w:eastAsia="Verdana" w:hAnsi="Arial" w:cs="Arial"/>
        </w:rPr>
        <w:t>.</w:t>
      </w:r>
    </w:p>
    <w:p w14:paraId="7D9FF88A" w14:textId="77777777" w:rsidR="00453909" w:rsidRDefault="00453909" w:rsidP="00453909">
      <w:pPr>
        <w:jc w:val="both"/>
        <w:rPr>
          <w:rFonts w:ascii="Arial" w:eastAsia="Verdana" w:hAnsi="Arial" w:cs="Arial"/>
        </w:rPr>
      </w:pPr>
    </w:p>
    <w:p w14:paraId="7D0ECBBA" w14:textId="11FF81F1" w:rsidR="00453909" w:rsidRDefault="00453909" w:rsidP="00453909">
      <w:pPr>
        <w:jc w:val="both"/>
        <w:rPr>
          <w:rFonts w:ascii="Arial" w:eastAsia="Verdana" w:hAnsi="Arial" w:cs="Arial"/>
        </w:rPr>
      </w:pPr>
      <w:r>
        <w:rPr>
          <w:rFonts w:ascii="Arial" w:eastAsia="Verdana" w:hAnsi="Arial" w:cs="Arial"/>
        </w:rPr>
        <w:t>Enviadas las notificaciones correspondientes, se recibieron las siguientes respuestas:</w:t>
      </w:r>
    </w:p>
    <w:p w14:paraId="3BAA99AE" w14:textId="77777777" w:rsidR="00453909" w:rsidRDefault="00453909" w:rsidP="00453909">
      <w:pPr>
        <w:jc w:val="both"/>
        <w:rPr>
          <w:rFonts w:ascii="Arial" w:eastAsia="Verdana" w:hAnsi="Arial" w:cs="Arial"/>
        </w:rPr>
      </w:pPr>
    </w:p>
    <w:p w14:paraId="601E9470" w14:textId="38EA11DE" w:rsidR="00CB08C0" w:rsidRDefault="00CB08C0" w:rsidP="00453909">
      <w:pPr>
        <w:jc w:val="both"/>
        <w:rPr>
          <w:rFonts w:ascii="Arial" w:eastAsia="Verdana" w:hAnsi="Arial" w:cs="Arial"/>
        </w:rPr>
      </w:pPr>
      <w:r>
        <w:rPr>
          <w:rFonts w:ascii="Arial" w:eastAsia="Verdana" w:hAnsi="Arial" w:cs="Arial"/>
        </w:rPr>
        <w:t xml:space="preserve">El </w:t>
      </w:r>
      <w:r>
        <w:rPr>
          <w:rFonts w:ascii="Arial" w:eastAsia="Verdana" w:hAnsi="Arial" w:cs="Arial"/>
          <w:b/>
          <w:bCs/>
        </w:rPr>
        <w:t>Tribunal Administrativo de Caldas</w:t>
      </w:r>
      <w:r>
        <w:rPr>
          <w:rFonts w:ascii="Arial" w:eastAsia="Verdana" w:hAnsi="Arial" w:cs="Arial"/>
        </w:rPr>
        <w:t xml:space="preserve"> allegó la contestación </w:t>
      </w:r>
      <w:r w:rsidR="00471E46">
        <w:rPr>
          <w:rFonts w:ascii="Arial" w:eastAsia="Verdana" w:hAnsi="Arial" w:cs="Arial"/>
        </w:rPr>
        <w:t xml:space="preserve">y deprecó que se declarara la improcedencia de la acción teniendo en cuenta que las razones y argumentos expuestos por la parte accionante constituyen una instancia adicional o un nuevo debate respecto de lo que ya se decidió por el juez natural </w:t>
      </w:r>
      <w:r w:rsidR="00A9438A">
        <w:rPr>
          <w:rFonts w:ascii="Arial" w:eastAsia="Verdana" w:hAnsi="Arial" w:cs="Arial"/>
        </w:rPr>
        <w:t>pues se respetó</w:t>
      </w:r>
      <w:r w:rsidR="00471E46">
        <w:rPr>
          <w:rFonts w:ascii="Arial" w:eastAsia="Verdana" w:hAnsi="Arial" w:cs="Arial"/>
        </w:rPr>
        <w:t xml:space="preserve"> el debido proceso y</w:t>
      </w:r>
      <w:r w:rsidR="00A9438A">
        <w:rPr>
          <w:rFonts w:ascii="Arial" w:eastAsia="Verdana" w:hAnsi="Arial" w:cs="Arial"/>
        </w:rPr>
        <w:t xml:space="preserve"> las</w:t>
      </w:r>
      <w:r w:rsidR="00471E46">
        <w:rPr>
          <w:rFonts w:ascii="Arial" w:eastAsia="Verdana" w:hAnsi="Arial" w:cs="Arial"/>
        </w:rPr>
        <w:t xml:space="preserve"> demás garantías superiores.</w:t>
      </w:r>
    </w:p>
    <w:p w14:paraId="0612CB71" w14:textId="1A136679" w:rsidR="00471E46" w:rsidRDefault="00471E46" w:rsidP="00453909">
      <w:pPr>
        <w:jc w:val="both"/>
        <w:rPr>
          <w:rFonts w:ascii="Arial" w:eastAsia="Verdana" w:hAnsi="Arial" w:cs="Arial"/>
        </w:rPr>
      </w:pPr>
    </w:p>
    <w:p w14:paraId="754F012D" w14:textId="0373E84D" w:rsidR="00471E46" w:rsidRDefault="00097A33" w:rsidP="00453909">
      <w:pPr>
        <w:jc w:val="both"/>
        <w:rPr>
          <w:rFonts w:ascii="Arial" w:eastAsia="Verdana" w:hAnsi="Arial" w:cs="Arial"/>
        </w:rPr>
      </w:pPr>
      <w:r>
        <w:rPr>
          <w:rFonts w:ascii="Arial" w:eastAsia="Verdana" w:hAnsi="Arial" w:cs="Arial"/>
        </w:rPr>
        <w:t>I</w:t>
      </w:r>
      <w:r w:rsidR="002F3C87">
        <w:rPr>
          <w:rFonts w:ascii="Arial" w:eastAsia="Verdana" w:hAnsi="Arial" w:cs="Arial"/>
        </w:rPr>
        <w:t>ndicó</w:t>
      </w:r>
      <w:r w:rsidR="002F3C87" w:rsidRPr="002F3C87">
        <w:rPr>
          <w:rFonts w:ascii="Arial" w:eastAsia="Verdana" w:hAnsi="Arial" w:cs="Arial"/>
        </w:rPr>
        <w:t xml:space="preserve"> que </w:t>
      </w:r>
      <w:r w:rsidR="00F51965">
        <w:rPr>
          <w:rFonts w:ascii="Arial" w:eastAsia="Verdana" w:hAnsi="Arial" w:cs="Arial"/>
        </w:rPr>
        <w:t xml:space="preserve">la providencia que negó la práctica de la prueba testimonial, fue emitida por el funcionario competente y estuvo precedida del estudio normativo correspondiente </w:t>
      </w:r>
      <w:r w:rsidR="002F3C87" w:rsidRPr="002F3C87">
        <w:rPr>
          <w:rFonts w:ascii="Arial" w:eastAsia="Verdana" w:hAnsi="Arial" w:cs="Arial"/>
        </w:rPr>
        <w:t xml:space="preserve">en el marco de un proceso </w:t>
      </w:r>
      <w:proofErr w:type="spellStart"/>
      <w:r w:rsidR="002F3C87" w:rsidRPr="002F3C87">
        <w:rPr>
          <w:rFonts w:ascii="Arial" w:eastAsia="Verdana" w:hAnsi="Arial" w:cs="Arial"/>
        </w:rPr>
        <w:t>rituado</w:t>
      </w:r>
      <w:proofErr w:type="spellEnd"/>
      <w:r w:rsidR="002F3C87" w:rsidRPr="002F3C87">
        <w:rPr>
          <w:rFonts w:ascii="Arial" w:eastAsia="Verdana" w:hAnsi="Arial" w:cs="Arial"/>
        </w:rPr>
        <w:t xml:space="preserve"> con todo el rigor jurídico y con plena observancia de los derechos y garantías que aseguraron a las partes la igualdad procesal y una decisión imparcial y debidamente motivada.</w:t>
      </w:r>
    </w:p>
    <w:p w14:paraId="34CEA423" w14:textId="767BB34B" w:rsidR="002F3C87" w:rsidRDefault="002F3C87" w:rsidP="00453909">
      <w:pPr>
        <w:jc w:val="both"/>
        <w:rPr>
          <w:rFonts w:ascii="Arial" w:eastAsia="Verdana" w:hAnsi="Arial" w:cs="Arial"/>
        </w:rPr>
      </w:pPr>
    </w:p>
    <w:p w14:paraId="029A499F" w14:textId="55EFBE1C" w:rsidR="002F3C87" w:rsidRPr="00CB08C0" w:rsidRDefault="002F3C87" w:rsidP="00453909">
      <w:pPr>
        <w:jc w:val="both"/>
        <w:rPr>
          <w:rFonts w:ascii="Arial" w:eastAsia="Verdana" w:hAnsi="Arial" w:cs="Arial"/>
        </w:rPr>
      </w:pPr>
      <w:r>
        <w:rPr>
          <w:rFonts w:ascii="Arial" w:eastAsia="Verdana" w:hAnsi="Arial" w:cs="Arial"/>
        </w:rPr>
        <w:t>Adicionalmente, arguyó</w:t>
      </w:r>
      <w:r w:rsidRPr="002F3C87">
        <w:rPr>
          <w:rFonts w:ascii="Arial" w:eastAsia="Verdana" w:hAnsi="Arial" w:cs="Arial"/>
        </w:rPr>
        <w:t xml:space="preserve"> que </w:t>
      </w:r>
      <w:r>
        <w:rPr>
          <w:rFonts w:ascii="Arial" w:eastAsia="Verdana" w:hAnsi="Arial" w:cs="Arial"/>
        </w:rPr>
        <w:t>la inconformidad de la accionante</w:t>
      </w:r>
      <w:r w:rsidRPr="002F3C87">
        <w:rPr>
          <w:rFonts w:ascii="Arial" w:eastAsia="Verdana" w:hAnsi="Arial" w:cs="Arial"/>
        </w:rPr>
        <w:t>, t</w:t>
      </w:r>
      <w:r>
        <w:rPr>
          <w:rFonts w:ascii="Arial" w:eastAsia="Verdana" w:hAnsi="Arial" w:cs="Arial"/>
        </w:rPr>
        <w:t>enía</w:t>
      </w:r>
      <w:r w:rsidRPr="002F3C87">
        <w:rPr>
          <w:rFonts w:ascii="Arial" w:eastAsia="Verdana" w:hAnsi="Arial" w:cs="Arial"/>
        </w:rPr>
        <w:t xml:space="preserve"> relación directa con la práctica de la prueba testimonial, aspecto que fue objeto de análisis por </w:t>
      </w:r>
      <w:r>
        <w:rPr>
          <w:rFonts w:ascii="Arial" w:eastAsia="Verdana" w:hAnsi="Arial" w:cs="Arial"/>
        </w:rPr>
        <w:t>el tribunal</w:t>
      </w:r>
      <w:r w:rsidRPr="002F3C87">
        <w:rPr>
          <w:rFonts w:ascii="Arial" w:eastAsia="Verdana" w:hAnsi="Arial" w:cs="Arial"/>
        </w:rPr>
        <w:t xml:space="preserve"> en el trámite del medio de control de nulidad y restablecimiento del derecho y por el Consejo de Estado al resolver el recurso de apelación.</w:t>
      </w:r>
    </w:p>
    <w:p w14:paraId="6D2960CA" w14:textId="77777777" w:rsidR="00CB08C0" w:rsidRDefault="00CB08C0" w:rsidP="00453909">
      <w:pPr>
        <w:jc w:val="both"/>
        <w:rPr>
          <w:rFonts w:ascii="Arial" w:eastAsia="Verdana" w:hAnsi="Arial" w:cs="Arial"/>
        </w:rPr>
      </w:pPr>
    </w:p>
    <w:p w14:paraId="3079B879" w14:textId="16737361" w:rsidR="00BC0666" w:rsidRDefault="00B26DD7" w:rsidP="00F769E5">
      <w:pPr>
        <w:jc w:val="both"/>
        <w:rPr>
          <w:rFonts w:ascii="Arial" w:eastAsia="Verdana" w:hAnsi="Arial" w:cs="Arial"/>
        </w:rPr>
      </w:pPr>
      <w:r>
        <w:rPr>
          <w:rFonts w:ascii="Arial" w:eastAsia="Verdana" w:hAnsi="Arial" w:cs="Arial"/>
        </w:rPr>
        <w:t xml:space="preserve">La </w:t>
      </w:r>
      <w:r w:rsidR="00BC0666">
        <w:rPr>
          <w:rFonts w:ascii="Arial" w:eastAsia="Verdana" w:hAnsi="Arial" w:cs="Arial"/>
          <w:b/>
          <w:bCs/>
        </w:rPr>
        <w:t xml:space="preserve">Subsección B de la Sección Segunda del Consejo de Estado </w:t>
      </w:r>
      <w:r w:rsidR="00586413">
        <w:rPr>
          <w:rFonts w:ascii="Arial" w:eastAsia="Verdana" w:hAnsi="Arial" w:cs="Arial"/>
        </w:rPr>
        <w:t xml:space="preserve">contestó la acción y </w:t>
      </w:r>
      <w:r w:rsidR="00BC0666">
        <w:rPr>
          <w:rFonts w:ascii="Arial" w:eastAsia="Verdana" w:hAnsi="Arial" w:cs="Arial"/>
        </w:rPr>
        <w:t xml:space="preserve">advirtió que </w:t>
      </w:r>
      <w:r w:rsidR="00BC0666" w:rsidRPr="00BC0666">
        <w:rPr>
          <w:rFonts w:ascii="Arial" w:eastAsia="Verdana" w:hAnsi="Arial" w:cs="Arial"/>
        </w:rPr>
        <w:t xml:space="preserve">en lo concerniente a los hechos sobre los cuales se fundamenta </w:t>
      </w:r>
      <w:r w:rsidR="00BC0666">
        <w:rPr>
          <w:rFonts w:ascii="Arial" w:eastAsia="Verdana" w:hAnsi="Arial" w:cs="Arial"/>
        </w:rPr>
        <w:t xml:space="preserve">la solicitud de amparo, se atenía </w:t>
      </w:r>
      <w:r w:rsidR="00BC0666" w:rsidRPr="00BC0666">
        <w:rPr>
          <w:rFonts w:ascii="Arial" w:eastAsia="Verdana" w:hAnsi="Arial" w:cs="Arial"/>
        </w:rPr>
        <w:t xml:space="preserve">a lo que </w:t>
      </w:r>
      <w:r w:rsidR="00F51965">
        <w:rPr>
          <w:rFonts w:ascii="Arial" w:eastAsia="Verdana" w:hAnsi="Arial" w:cs="Arial"/>
        </w:rPr>
        <w:t xml:space="preserve">resultara </w:t>
      </w:r>
      <w:r w:rsidR="00BC0666" w:rsidRPr="00BC0666">
        <w:rPr>
          <w:rFonts w:ascii="Arial" w:eastAsia="Verdana" w:hAnsi="Arial" w:cs="Arial"/>
        </w:rPr>
        <w:t>dem</w:t>
      </w:r>
      <w:r w:rsidR="00F769E5">
        <w:rPr>
          <w:rFonts w:ascii="Arial" w:eastAsia="Verdana" w:hAnsi="Arial" w:cs="Arial"/>
        </w:rPr>
        <w:t>ostra</w:t>
      </w:r>
      <w:r w:rsidR="00F51965">
        <w:rPr>
          <w:rFonts w:ascii="Arial" w:eastAsia="Verdana" w:hAnsi="Arial" w:cs="Arial"/>
        </w:rPr>
        <w:t>do</w:t>
      </w:r>
      <w:r w:rsidR="00BC0666" w:rsidRPr="00BC0666">
        <w:rPr>
          <w:rFonts w:ascii="Arial" w:eastAsia="Verdana" w:hAnsi="Arial" w:cs="Arial"/>
        </w:rPr>
        <w:t xml:space="preserve"> durante el trámite, y en cuanto </w:t>
      </w:r>
      <w:r w:rsidR="00BC0666">
        <w:rPr>
          <w:rFonts w:ascii="Arial" w:eastAsia="Verdana" w:hAnsi="Arial" w:cs="Arial"/>
        </w:rPr>
        <w:t>a</w:t>
      </w:r>
      <w:r w:rsidR="00BC0666" w:rsidRPr="00BC0666">
        <w:rPr>
          <w:rFonts w:ascii="Arial" w:eastAsia="Verdana" w:hAnsi="Arial" w:cs="Arial"/>
        </w:rPr>
        <w:t xml:space="preserve"> los motivos de inconformidad con la providencia de</w:t>
      </w:r>
      <w:r w:rsidR="00BC0666">
        <w:rPr>
          <w:rFonts w:ascii="Arial" w:eastAsia="Verdana" w:hAnsi="Arial" w:cs="Arial"/>
        </w:rPr>
        <w:t>l</w:t>
      </w:r>
      <w:r w:rsidR="00BC0666" w:rsidRPr="00BC0666">
        <w:rPr>
          <w:rFonts w:ascii="Arial" w:eastAsia="Verdana" w:hAnsi="Arial" w:cs="Arial"/>
        </w:rPr>
        <w:t xml:space="preserve"> 8 de noviembre de 2022 proferida dentro del </w:t>
      </w:r>
      <w:r w:rsidR="00BC0666">
        <w:rPr>
          <w:rFonts w:ascii="Arial" w:eastAsia="Verdana" w:hAnsi="Arial" w:cs="Arial"/>
        </w:rPr>
        <w:t>medio de control de nulidad y restablecimiento del derecho</w:t>
      </w:r>
      <w:r w:rsidR="00BC0666" w:rsidRPr="00BC0666">
        <w:rPr>
          <w:rFonts w:ascii="Arial" w:eastAsia="Verdana" w:hAnsi="Arial" w:cs="Arial"/>
        </w:rPr>
        <w:t xml:space="preserve">, </w:t>
      </w:r>
      <w:r w:rsidR="00BC0666">
        <w:rPr>
          <w:rFonts w:ascii="Arial" w:eastAsia="Verdana" w:hAnsi="Arial" w:cs="Arial"/>
        </w:rPr>
        <w:t>consider</w:t>
      </w:r>
      <w:r w:rsidR="00F51965">
        <w:rPr>
          <w:rFonts w:ascii="Arial" w:eastAsia="Verdana" w:hAnsi="Arial" w:cs="Arial"/>
        </w:rPr>
        <w:t>ó</w:t>
      </w:r>
      <w:r w:rsidR="00BC0666" w:rsidRPr="00BC0666">
        <w:rPr>
          <w:rFonts w:ascii="Arial" w:eastAsia="Verdana" w:hAnsi="Arial" w:cs="Arial"/>
        </w:rPr>
        <w:t xml:space="preserve"> que las razones que le sirvieron de fundamento están consignadas en sus motivaciones, las que deben dar suficiente cuenta de aquellas.</w:t>
      </w:r>
    </w:p>
    <w:p w14:paraId="3A863191" w14:textId="77777777" w:rsidR="00B26DD7" w:rsidRDefault="00B26DD7" w:rsidP="00453909">
      <w:pPr>
        <w:jc w:val="both"/>
        <w:rPr>
          <w:rFonts w:ascii="Arial" w:eastAsia="Verdana" w:hAnsi="Arial" w:cs="Arial"/>
        </w:rPr>
      </w:pPr>
    </w:p>
    <w:p w14:paraId="702E0D0F" w14:textId="3ADAED44" w:rsidR="001D3B1D" w:rsidRDefault="007D50A3" w:rsidP="001D3B1D">
      <w:pPr>
        <w:overflowPunct w:val="0"/>
        <w:autoSpaceDE w:val="0"/>
        <w:autoSpaceDN w:val="0"/>
        <w:adjustRightInd w:val="0"/>
        <w:jc w:val="both"/>
        <w:rPr>
          <w:rFonts w:ascii="Arial" w:hAnsi="Arial" w:cs="Arial"/>
          <w:color w:val="0D0D0D"/>
          <w:spacing w:val="-3"/>
          <w:lang w:val="es-ES" w:eastAsia="zh-CN"/>
        </w:rPr>
      </w:pPr>
      <w:r>
        <w:rPr>
          <w:rFonts w:ascii="Arial" w:hAnsi="Arial" w:cs="Arial"/>
          <w:color w:val="0D0D0D"/>
          <w:spacing w:val="-3"/>
          <w:lang w:val="es-ES" w:eastAsia="zh-CN"/>
        </w:rPr>
        <w:t>Los demás sujetos procesales, guardaron silencio a pesar de haber sido notificados en debida forma.</w:t>
      </w:r>
    </w:p>
    <w:p w14:paraId="7BCD2ABB" w14:textId="77777777" w:rsidR="00F51965" w:rsidRDefault="00F51965" w:rsidP="001D3B1D">
      <w:pPr>
        <w:overflowPunct w:val="0"/>
        <w:autoSpaceDE w:val="0"/>
        <w:autoSpaceDN w:val="0"/>
        <w:adjustRightInd w:val="0"/>
        <w:jc w:val="both"/>
        <w:rPr>
          <w:rFonts w:ascii="Arial" w:eastAsia="Verdana" w:hAnsi="Arial" w:cs="Arial"/>
          <w:bCs/>
        </w:rPr>
      </w:pPr>
    </w:p>
    <w:p w14:paraId="31B7F80E" w14:textId="77777777" w:rsidR="001D3B1D" w:rsidRPr="00753BFF" w:rsidRDefault="001D3B1D" w:rsidP="001D3B1D">
      <w:pPr>
        <w:numPr>
          <w:ilvl w:val="0"/>
          <w:numId w:val="1"/>
        </w:numPr>
        <w:spacing w:line="276" w:lineRule="auto"/>
        <w:ind w:left="720"/>
        <w:jc w:val="center"/>
        <w:rPr>
          <w:rFonts w:ascii="Arial" w:hAnsi="Arial" w:cs="Arial"/>
          <w:b/>
          <w:color w:val="0D0D0D"/>
          <w:spacing w:val="-3"/>
          <w:lang w:val="es-ES" w:eastAsia="zh-CN"/>
        </w:rPr>
      </w:pPr>
      <w:r>
        <w:rPr>
          <w:rFonts w:ascii="Arial" w:hAnsi="Arial" w:cs="Arial"/>
          <w:b/>
          <w:color w:val="0D0D0D"/>
          <w:spacing w:val="-3"/>
          <w:lang w:val="es-ES" w:eastAsia="zh-CN"/>
        </w:rPr>
        <w:t>CONSIDERACIONES</w:t>
      </w:r>
    </w:p>
    <w:p w14:paraId="79B3FCFC" w14:textId="77777777" w:rsidR="001D3B1D" w:rsidRDefault="001D3B1D" w:rsidP="001D3B1D">
      <w:pPr>
        <w:ind w:right="51"/>
        <w:jc w:val="both"/>
        <w:rPr>
          <w:rFonts w:ascii="Arial" w:hAnsi="Arial" w:cs="Arial"/>
          <w:b/>
          <w:lang w:val="es-ES"/>
        </w:rPr>
      </w:pPr>
    </w:p>
    <w:p w14:paraId="203E2E88" w14:textId="77777777" w:rsidR="00545C6C" w:rsidRPr="00F01B98" w:rsidRDefault="00545C6C" w:rsidP="00545C6C">
      <w:pPr>
        <w:spacing w:line="276" w:lineRule="auto"/>
        <w:ind w:right="51"/>
        <w:jc w:val="both"/>
        <w:rPr>
          <w:rFonts w:ascii="Arial" w:hAnsi="Arial" w:cs="Arial"/>
          <w:b/>
          <w:lang w:val="es-ES"/>
        </w:rPr>
      </w:pPr>
      <w:r>
        <w:rPr>
          <w:rFonts w:ascii="Arial" w:hAnsi="Arial" w:cs="Arial"/>
          <w:b/>
          <w:lang w:val="es-ES"/>
        </w:rPr>
        <w:t>2.1. Competencia</w:t>
      </w:r>
    </w:p>
    <w:p w14:paraId="0C8BE8DB" w14:textId="77777777" w:rsidR="00545C6C" w:rsidRDefault="00545C6C" w:rsidP="00545C6C">
      <w:pPr>
        <w:ind w:right="51"/>
        <w:jc w:val="both"/>
        <w:rPr>
          <w:rFonts w:ascii="Arial" w:hAnsi="Arial" w:cs="Arial"/>
          <w:bCs/>
          <w:lang w:val="es-ES"/>
        </w:rPr>
      </w:pPr>
    </w:p>
    <w:p w14:paraId="6E70DE0A" w14:textId="31D387FD" w:rsidR="00545C6C" w:rsidRDefault="00545C6C" w:rsidP="00545C6C">
      <w:pPr>
        <w:pStyle w:val="Prrafodelista"/>
        <w:spacing w:line="240" w:lineRule="auto"/>
        <w:ind w:left="0"/>
        <w:rPr>
          <w:szCs w:val="24"/>
        </w:rPr>
      </w:pPr>
      <w:r>
        <w:rPr>
          <w:szCs w:val="24"/>
        </w:rPr>
        <w:t xml:space="preserve">La Sala tiene competencia para decidir la presente acción de tutela, </w:t>
      </w:r>
      <w:r w:rsidR="00596830">
        <w:rPr>
          <w:szCs w:val="24"/>
        </w:rPr>
        <w:t xml:space="preserve">de conformidad con </w:t>
      </w:r>
      <w:r>
        <w:rPr>
          <w:szCs w:val="24"/>
        </w:rPr>
        <w:t xml:space="preserve">lo dispuesto en los artículos 86 de la Constitución Política y 37 del Decreto 2591 de 1991, y lo previsto en el reglamento interno de la Corporación. </w:t>
      </w:r>
    </w:p>
    <w:p w14:paraId="7B032695" w14:textId="77777777" w:rsidR="00545C6C" w:rsidRDefault="00545C6C" w:rsidP="00545C6C">
      <w:pPr>
        <w:pStyle w:val="Prrafodelista"/>
        <w:spacing w:line="240" w:lineRule="auto"/>
        <w:ind w:left="0"/>
        <w:rPr>
          <w:szCs w:val="24"/>
        </w:rPr>
      </w:pPr>
    </w:p>
    <w:p w14:paraId="42EC1332" w14:textId="661E0B6E" w:rsidR="00545C6C" w:rsidRPr="002D7F44" w:rsidRDefault="00545C6C" w:rsidP="00545C6C">
      <w:pPr>
        <w:pStyle w:val="Prrafodelista"/>
        <w:spacing w:line="240" w:lineRule="auto"/>
        <w:ind w:left="0"/>
        <w:rPr>
          <w:szCs w:val="24"/>
        </w:rPr>
      </w:pPr>
      <w:r w:rsidRPr="00DE34C8">
        <w:rPr>
          <w:b/>
          <w:bCs/>
          <w:szCs w:val="24"/>
        </w:rPr>
        <w:t>2.2.</w:t>
      </w:r>
      <w:r w:rsidRPr="00DE34C8">
        <w:rPr>
          <w:szCs w:val="24"/>
        </w:rPr>
        <w:t xml:space="preserve"> La </w:t>
      </w:r>
      <w:r w:rsidRPr="005F2E11">
        <w:rPr>
          <w:b/>
          <w:bCs/>
          <w:szCs w:val="24"/>
        </w:rPr>
        <w:t>legitimación en la causa por activa</w:t>
      </w:r>
      <w:r w:rsidRPr="00685F98">
        <w:rPr>
          <w:szCs w:val="24"/>
        </w:rPr>
        <w:t xml:space="preserve"> </w:t>
      </w:r>
      <w:r w:rsidR="00F165AC">
        <w:rPr>
          <w:szCs w:val="24"/>
        </w:rPr>
        <w:t xml:space="preserve">de </w:t>
      </w:r>
      <w:r w:rsidR="00F769E5">
        <w:rPr>
          <w:szCs w:val="24"/>
        </w:rPr>
        <w:t>Blanca Amparo Vélez Castro</w:t>
      </w:r>
      <w:r w:rsidRPr="002D7F44">
        <w:rPr>
          <w:szCs w:val="24"/>
        </w:rPr>
        <w:t xml:space="preserve"> se encuentra acreditada, puesto que </w:t>
      </w:r>
      <w:r>
        <w:rPr>
          <w:szCs w:val="24"/>
        </w:rPr>
        <w:t>fungi</w:t>
      </w:r>
      <w:r w:rsidR="000F0ED9">
        <w:rPr>
          <w:szCs w:val="24"/>
        </w:rPr>
        <w:t>ó</w:t>
      </w:r>
      <w:r>
        <w:rPr>
          <w:szCs w:val="24"/>
        </w:rPr>
        <w:t xml:space="preserve"> como </w:t>
      </w:r>
      <w:r w:rsidR="00F769E5">
        <w:rPr>
          <w:szCs w:val="24"/>
        </w:rPr>
        <w:t>demandante</w:t>
      </w:r>
      <w:r w:rsidRPr="002D7F44">
        <w:rPr>
          <w:szCs w:val="24"/>
        </w:rPr>
        <w:t xml:space="preserve"> dentro de</w:t>
      </w:r>
      <w:r w:rsidR="00EA1C95">
        <w:rPr>
          <w:szCs w:val="24"/>
        </w:rPr>
        <w:t xml:space="preserve">l proceso de </w:t>
      </w:r>
      <w:r w:rsidR="00F769E5">
        <w:rPr>
          <w:szCs w:val="24"/>
        </w:rPr>
        <w:t>nulidad y restablecimiento del derecho</w:t>
      </w:r>
      <w:r w:rsidR="00EA1C95">
        <w:rPr>
          <w:szCs w:val="24"/>
        </w:rPr>
        <w:t xml:space="preserve"> </w:t>
      </w:r>
      <w:r w:rsidRPr="002D7F44">
        <w:rPr>
          <w:szCs w:val="24"/>
        </w:rPr>
        <w:t>con radicado núm</w:t>
      </w:r>
      <w:r w:rsidR="00EA1C95">
        <w:rPr>
          <w:szCs w:val="24"/>
        </w:rPr>
        <w:t>ero</w:t>
      </w:r>
      <w:r w:rsidRPr="002D7F44">
        <w:rPr>
          <w:szCs w:val="24"/>
        </w:rPr>
        <w:t xml:space="preserve"> </w:t>
      </w:r>
      <w:r w:rsidR="000F0ED9">
        <w:rPr>
          <w:rFonts w:cs="Arial"/>
          <w:color w:val="0D0D0D"/>
          <w:spacing w:val="-3"/>
          <w:lang w:val="es-ES" w:eastAsia="zh-CN"/>
        </w:rPr>
        <w:t xml:space="preserve">número </w:t>
      </w:r>
      <w:r w:rsidR="000F0ED9" w:rsidRPr="00DB22A1">
        <w:rPr>
          <w:rFonts w:cs="Arial"/>
          <w:szCs w:val="24"/>
        </w:rPr>
        <w:t>63001-33-40-005-2017-00311-00/01</w:t>
      </w:r>
      <w:r w:rsidRPr="002D7F44">
        <w:rPr>
          <w:szCs w:val="24"/>
        </w:rPr>
        <w:t xml:space="preserve"> y</w:t>
      </w:r>
      <w:r w:rsidR="00F51965">
        <w:rPr>
          <w:szCs w:val="24"/>
        </w:rPr>
        <w:t>,</w:t>
      </w:r>
      <w:r w:rsidRPr="002D7F44">
        <w:rPr>
          <w:szCs w:val="24"/>
        </w:rPr>
        <w:t xml:space="preserve"> </w:t>
      </w:r>
      <w:r>
        <w:rPr>
          <w:szCs w:val="24"/>
        </w:rPr>
        <w:t xml:space="preserve">por ende, </w:t>
      </w:r>
      <w:r w:rsidR="000F0ED9">
        <w:rPr>
          <w:szCs w:val="24"/>
        </w:rPr>
        <w:t>es la</w:t>
      </w:r>
      <w:r w:rsidRPr="00685F98">
        <w:rPr>
          <w:szCs w:val="24"/>
        </w:rPr>
        <w:t xml:space="preserve"> titular</w:t>
      </w:r>
      <w:r w:rsidRPr="002D7F44">
        <w:rPr>
          <w:szCs w:val="24"/>
        </w:rPr>
        <w:t xml:space="preserve"> de</w:t>
      </w:r>
      <w:r>
        <w:rPr>
          <w:szCs w:val="24"/>
        </w:rPr>
        <w:t xml:space="preserve"> los</w:t>
      </w:r>
      <w:r w:rsidRPr="002D7F44">
        <w:rPr>
          <w:szCs w:val="24"/>
        </w:rPr>
        <w:t xml:space="preserve"> derecho</w:t>
      </w:r>
      <w:r>
        <w:rPr>
          <w:szCs w:val="24"/>
        </w:rPr>
        <w:t>s</w:t>
      </w:r>
      <w:r w:rsidRPr="002D7F44">
        <w:rPr>
          <w:szCs w:val="24"/>
        </w:rPr>
        <w:t xml:space="preserve"> fundamental</w:t>
      </w:r>
      <w:r>
        <w:rPr>
          <w:szCs w:val="24"/>
        </w:rPr>
        <w:t xml:space="preserve">es </w:t>
      </w:r>
      <w:r w:rsidRPr="002D7F44">
        <w:rPr>
          <w:szCs w:val="24"/>
        </w:rPr>
        <w:t>cuyo amparo pretende.</w:t>
      </w:r>
    </w:p>
    <w:p w14:paraId="75A942BF" w14:textId="77777777" w:rsidR="00545C6C" w:rsidRPr="002D7F44" w:rsidRDefault="00545C6C" w:rsidP="00545C6C">
      <w:pPr>
        <w:pStyle w:val="Prrafodelista"/>
        <w:spacing w:line="240" w:lineRule="auto"/>
        <w:ind w:left="0"/>
        <w:rPr>
          <w:szCs w:val="24"/>
        </w:rPr>
      </w:pPr>
    </w:p>
    <w:p w14:paraId="79729491" w14:textId="3BAF0641" w:rsidR="00545C6C" w:rsidRDefault="00545C6C" w:rsidP="00545C6C">
      <w:pPr>
        <w:pStyle w:val="Prrafodelista"/>
        <w:spacing w:line="240" w:lineRule="auto"/>
        <w:ind w:left="0"/>
        <w:rPr>
          <w:szCs w:val="24"/>
        </w:rPr>
      </w:pPr>
      <w:r w:rsidRPr="002D7F44">
        <w:rPr>
          <w:szCs w:val="24"/>
        </w:rPr>
        <w:t xml:space="preserve">También está probada </w:t>
      </w:r>
      <w:r w:rsidRPr="00DE34C8">
        <w:rPr>
          <w:szCs w:val="24"/>
        </w:rPr>
        <w:t xml:space="preserve">la </w:t>
      </w:r>
      <w:r w:rsidRPr="005F2E11">
        <w:rPr>
          <w:b/>
          <w:bCs/>
          <w:szCs w:val="24"/>
        </w:rPr>
        <w:t>legitimación en la causa por pasiva</w:t>
      </w:r>
      <w:r w:rsidRPr="002D7F44">
        <w:rPr>
          <w:szCs w:val="24"/>
        </w:rPr>
        <w:t xml:space="preserve"> </w:t>
      </w:r>
      <w:r>
        <w:rPr>
          <w:szCs w:val="24"/>
        </w:rPr>
        <w:t>del</w:t>
      </w:r>
      <w:r w:rsidR="00B46321">
        <w:rPr>
          <w:szCs w:val="24"/>
        </w:rPr>
        <w:t xml:space="preserve"> </w:t>
      </w:r>
      <w:r w:rsidR="00D34EB7">
        <w:rPr>
          <w:szCs w:val="24"/>
        </w:rPr>
        <w:t>Tribunal Administrativo de Caldas y del Consejo de Estado-Sección Segunda-Subsección B</w:t>
      </w:r>
      <w:r w:rsidRPr="002D7F44">
        <w:rPr>
          <w:szCs w:val="24"/>
        </w:rPr>
        <w:t>, en la medida en que fue</w:t>
      </w:r>
      <w:r w:rsidR="00F04517">
        <w:rPr>
          <w:szCs w:val="24"/>
        </w:rPr>
        <w:t>ron</w:t>
      </w:r>
      <w:r w:rsidRPr="002D7F44">
        <w:rPr>
          <w:szCs w:val="24"/>
        </w:rPr>
        <w:t xml:space="preserve"> l</w:t>
      </w:r>
      <w:r>
        <w:rPr>
          <w:szCs w:val="24"/>
        </w:rPr>
        <w:t>a</w:t>
      </w:r>
      <w:r w:rsidR="00F04517">
        <w:rPr>
          <w:szCs w:val="24"/>
        </w:rPr>
        <w:t>s</w:t>
      </w:r>
      <w:r>
        <w:rPr>
          <w:szCs w:val="24"/>
        </w:rPr>
        <w:t xml:space="preserve"> a</w:t>
      </w:r>
      <w:r w:rsidRPr="002D7F44">
        <w:rPr>
          <w:szCs w:val="24"/>
        </w:rPr>
        <w:t>utoridad</w:t>
      </w:r>
      <w:r w:rsidR="00F04517">
        <w:rPr>
          <w:szCs w:val="24"/>
        </w:rPr>
        <w:t>es</w:t>
      </w:r>
      <w:r w:rsidRPr="002D7F44">
        <w:rPr>
          <w:szCs w:val="24"/>
        </w:rPr>
        <w:t xml:space="preserve"> que profir</w:t>
      </w:r>
      <w:r>
        <w:rPr>
          <w:szCs w:val="24"/>
        </w:rPr>
        <w:t>i</w:t>
      </w:r>
      <w:r w:rsidR="00F04517">
        <w:rPr>
          <w:szCs w:val="24"/>
        </w:rPr>
        <w:t>eron</w:t>
      </w:r>
      <w:r w:rsidRPr="002D7F44">
        <w:rPr>
          <w:szCs w:val="24"/>
        </w:rPr>
        <w:t xml:space="preserve"> </w:t>
      </w:r>
      <w:r w:rsidRPr="00DE34C8">
        <w:rPr>
          <w:szCs w:val="24"/>
        </w:rPr>
        <w:t>la</w:t>
      </w:r>
      <w:r w:rsidR="00F04517">
        <w:rPr>
          <w:szCs w:val="24"/>
        </w:rPr>
        <w:t>s decisiones</w:t>
      </w:r>
      <w:r w:rsidRPr="00DE34C8">
        <w:rPr>
          <w:szCs w:val="24"/>
        </w:rPr>
        <w:t xml:space="preserve"> </w:t>
      </w:r>
      <w:r w:rsidRPr="002D7F44">
        <w:rPr>
          <w:szCs w:val="24"/>
        </w:rPr>
        <w:t xml:space="preserve">que, según </w:t>
      </w:r>
      <w:r w:rsidR="00120137">
        <w:rPr>
          <w:szCs w:val="24"/>
        </w:rPr>
        <w:t>l</w:t>
      </w:r>
      <w:r w:rsidR="00F04517">
        <w:rPr>
          <w:szCs w:val="24"/>
        </w:rPr>
        <w:t>a</w:t>
      </w:r>
      <w:r w:rsidRPr="002D7F44">
        <w:rPr>
          <w:szCs w:val="24"/>
        </w:rPr>
        <w:t xml:space="preserve"> tutelante, vulner</w:t>
      </w:r>
      <w:r w:rsidR="006445D1">
        <w:rPr>
          <w:szCs w:val="24"/>
        </w:rPr>
        <w:t>aron</w:t>
      </w:r>
      <w:r w:rsidRPr="002D7F44">
        <w:rPr>
          <w:szCs w:val="24"/>
        </w:rPr>
        <w:t xml:space="preserve"> sus derechos fundamentales.</w:t>
      </w:r>
    </w:p>
    <w:p w14:paraId="3AFF30D1" w14:textId="6B009817" w:rsidR="00B46321" w:rsidRDefault="00B46321" w:rsidP="00545C6C">
      <w:pPr>
        <w:pStyle w:val="Prrafodelista"/>
        <w:spacing w:line="240" w:lineRule="auto"/>
        <w:ind w:left="0"/>
        <w:rPr>
          <w:szCs w:val="24"/>
        </w:rPr>
      </w:pPr>
    </w:p>
    <w:p w14:paraId="01749A2A" w14:textId="459999E3" w:rsidR="00B46321" w:rsidRDefault="00B46321" w:rsidP="00B46321">
      <w:pPr>
        <w:jc w:val="both"/>
        <w:rPr>
          <w:rFonts w:ascii="Arial" w:hAnsi="Arial" w:cs="Arial"/>
          <w:sz w:val="16"/>
          <w:szCs w:val="16"/>
        </w:rPr>
      </w:pPr>
      <w:r>
        <w:rPr>
          <w:rFonts w:ascii="Arial" w:hAnsi="Arial" w:cs="Arial"/>
          <w:lang w:val="es-ES_tradnl"/>
        </w:rPr>
        <w:t xml:space="preserve">Ahora bien, la Sala observa que los cuestionamientos de la accionante van dirigidos en contra </w:t>
      </w:r>
      <w:r w:rsidR="00D34EB7">
        <w:rPr>
          <w:rFonts w:ascii="Arial" w:hAnsi="Arial" w:cs="Arial"/>
          <w:lang w:val="es-ES_tradnl"/>
        </w:rPr>
        <w:t>el auto de primera instancia y el que resolvió su apelación,</w:t>
      </w:r>
      <w:r>
        <w:rPr>
          <w:rFonts w:ascii="Arial" w:hAnsi="Arial" w:cs="Arial"/>
          <w:lang w:val="es-ES_tradnl"/>
        </w:rPr>
        <w:t xml:space="preserve"> proferid</w:t>
      </w:r>
      <w:r w:rsidR="00D34EB7">
        <w:rPr>
          <w:rFonts w:ascii="Arial" w:hAnsi="Arial" w:cs="Arial"/>
          <w:lang w:val="es-ES_tradnl"/>
        </w:rPr>
        <w:t>o</w:t>
      </w:r>
      <w:r>
        <w:rPr>
          <w:rFonts w:ascii="Arial" w:hAnsi="Arial" w:cs="Arial"/>
          <w:lang w:val="es-ES_tradnl"/>
        </w:rPr>
        <w:t xml:space="preserve">s dentro del proceso de </w:t>
      </w:r>
      <w:r w:rsidR="00D34EB7">
        <w:rPr>
          <w:rFonts w:ascii="Arial" w:hAnsi="Arial" w:cs="Arial"/>
          <w:lang w:val="es-ES_tradnl"/>
        </w:rPr>
        <w:t>nulidad y restablecimiento del derecho</w:t>
      </w:r>
      <w:r>
        <w:rPr>
          <w:rFonts w:ascii="Arial" w:hAnsi="Arial" w:cs="Arial"/>
          <w:lang w:val="es-ES_tradnl"/>
        </w:rPr>
        <w:t xml:space="preserve"> que</w:t>
      </w:r>
      <w:r w:rsidR="00892F8C">
        <w:rPr>
          <w:rFonts w:ascii="Arial" w:hAnsi="Arial" w:cs="Arial"/>
          <w:lang w:val="es-ES_tradnl"/>
        </w:rPr>
        <w:t xml:space="preserve"> </w:t>
      </w:r>
      <w:r>
        <w:rPr>
          <w:rFonts w:ascii="Arial" w:hAnsi="Arial" w:cs="Arial"/>
          <w:lang w:val="es-ES_tradnl"/>
        </w:rPr>
        <w:t>promovió</w:t>
      </w:r>
      <w:r w:rsidR="00892F8C">
        <w:rPr>
          <w:rFonts w:ascii="Arial" w:hAnsi="Arial" w:cs="Arial"/>
          <w:lang w:val="es-ES_tradnl"/>
        </w:rPr>
        <w:t xml:space="preserve"> en contra</w:t>
      </w:r>
      <w:r w:rsidR="00D34EB7">
        <w:rPr>
          <w:rFonts w:ascii="Arial" w:hAnsi="Arial" w:cs="Arial"/>
          <w:lang w:val="es-ES_tradnl"/>
        </w:rPr>
        <w:t xml:space="preserve"> del municipio de Manizales</w:t>
      </w:r>
      <w:r>
        <w:rPr>
          <w:rFonts w:ascii="Arial" w:hAnsi="Arial" w:cs="Arial"/>
          <w:lang w:val="es-ES_tradnl"/>
        </w:rPr>
        <w:t xml:space="preserve">, sin embargo, es preciso aclarar que el estudio de la solicitud de amparo incoada se efectuará </w:t>
      </w:r>
      <w:r w:rsidR="00F51965">
        <w:rPr>
          <w:rFonts w:ascii="Arial" w:hAnsi="Arial" w:cs="Arial"/>
          <w:lang w:val="es-ES_tradnl"/>
        </w:rPr>
        <w:t xml:space="preserve">únicamente </w:t>
      </w:r>
      <w:r>
        <w:rPr>
          <w:rFonts w:ascii="Arial" w:hAnsi="Arial" w:cs="Arial"/>
          <w:lang w:val="es-ES_tradnl"/>
        </w:rPr>
        <w:t xml:space="preserve">respecto de la </w:t>
      </w:r>
      <w:r w:rsidR="00D34EB7">
        <w:rPr>
          <w:rFonts w:ascii="Arial" w:hAnsi="Arial" w:cs="Arial"/>
          <w:lang w:val="es-ES_tradnl"/>
        </w:rPr>
        <w:t>providenc</w:t>
      </w:r>
      <w:r>
        <w:rPr>
          <w:rFonts w:ascii="Arial" w:hAnsi="Arial" w:cs="Arial"/>
          <w:lang w:val="es-ES_tradnl"/>
        </w:rPr>
        <w:t xml:space="preserve">ia de segunda instancia proferida por </w:t>
      </w:r>
      <w:r w:rsidR="00D34EB7">
        <w:rPr>
          <w:rFonts w:ascii="Arial" w:hAnsi="Arial" w:cs="Arial"/>
          <w:lang w:val="es-ES_tradnl"/>
        </w:rPr>
        <w:t>la Subsección B de la Sección Segunda del Consejo de Estado</w:t>
      </w:r>
      <w:r>
        <w:rPr>
          <w:rFonts w:ascii="Arial" w:hAnsi="Arial" w:cs="Arial"/>
          <w:lang w:val="es-ES_tradnl"/>
        </w:rPr>
        <w:t>, por ser esta decisión la que dio fin a la controversia.</w:t>
      </w:r>
    </w:p>
    <w:p w14:paraId="3BBA7031" w14:textId="30B16BF6" w:rsidR="00545C6C" w:rsidRDefault="00545C6C" w:rsidP="00545C6C">
      <w:pPr>
        <w:spacing w:line="276" w:lineRule="auto"/>
        <w:ind w:right="51"/>
        <w:jc w:val="both"/>
        <w:rPr>
          <w:rFonts w:ascii="Arial" w:hAnsi="Arial" w:cs="Arial"/>
          <w:bCs/>
        </w:rPr>
      </w:pPr>
    </w:p>
    <w:p w14:paraId="218795AF" w14:textId="698621D4" w:rsidR="00F51965" w:rsidRDefault="00F51965" w:rsidP="00545C6C">
      <w:pPr>
        <w:spacing w:line="276" w:lineRule="auto"/>
        <w:ind w:right="51"/>
        <w:jc w:val="both"/>
        <w:rPr>
          <w:rFonts w:ascii="Arial" w:hAnsi="Arial" w:cs="Arial"/>
          <w:bCs/>
        </w:rPr>
      </w:pPr>
    </w:p>
    <w:p w14:paraId="59CCB840" w14:textId="1DC56138" w:rsidR="00F51965" w:rsidRDefault="00F51965" w:rsidP="00545C6C">
      <w:pPr>
        <w:spacing w:line="276" w:lineRule="auto"/>
        <w:ind w:right="51"/>
        <w:jc w:val="both"/>
        <w:rPr>
          <w:rFonts w:ascii="Arial" w:hAnsi="Arial" w:cs="Arial"/>
          <w:bCs/>
        </w:rPr>
      </w:pPr>
    </w:p>
    <w:p w14:paraId="7A6EE8D4" w14:textId="77777777" w:rsidR="00545C6C" w:rsidRDefault="00545C6C" w:rsidP="00545C6C">
      <w:pPr>
        <w:spacing w:line="276" w:lineRule="auto"/>
        <w:ind w:right="51"/>
        <w:jc w:val="both"/>
        <w:rPr>
          <w:rFonts w:ascii="Arial" w:hAnsi="Arial" w:cs="Arial"/>
          <w:b/>
        </w:rPr>
      </w:pPr>
      <w:r w:rsidRPr="00BE6FB8">
        <w:rPr>
          <w:rFonts w:ascii="Arial" w:hAnsi="Arial" w:cs="Arial"/>
          <w:b/>
          <w:lang w:val="es-ES"/>
        </w:rPr>
        <w:t>2.</w:t>
      </w:r>
      <w:r>
        <w:rPr>
          <w:rFonts w:ascii="Arial" w:hAnsi="Arial" w:cs="Arial"/>
          <w:b/>
          <w:lang w:val="es-ES"/>
        </w:rPr>
        <w:t>3</w:t>
      </w:r>
      <w:r w:rsidRPr="00BE6FB8">
        <w:rPr>
          <w:rFonts w:ascii="Arial" w:hAnsi="Arial" w:cs="Arial"/>
          <w:b/>
          <w:lang w:val="es-ES"/>
        </w:rPr>
        <w:t xml:space="preserve">. </w:t>
      </w:r>
      <w:r>
        <w:rPr>
          <w:rFonts w:ascii="Arial" w:hAnsi="Arial" w:cs="Arial"/>
          <w:b/>
        </w:rPr>
        <w:t>Procedibilidad de la acción</w:t>
      </w:r>
    </w:p>
    <w:p w14:paraId="0BE715D7" w14:textId="77777777" w:rsidR="00545C6C" w:rsidRDefault="00545C6C" w:rsidP="00545C6C">
      <w:pPr>
        <w:autoSpaceDE w:val="0"/>
        <w:autoSpaceDN w:val="0"/>
        <w:adjustRightInd w:val="0"/>
        <w:jc w:val="both"/>
        <w:rPr>
          <w:rFonts w:ascii="Arial" w:hAnsi="Arial" w:cs="Arial"/>
          <w:b/>
          <w:lang w:val="es-ES"/>
        </w:rPr>
      </w:pPr>
    </w:p>
    <w:p w14:paraId="3B3D804B" w14:textId="77777777" w:rsidR="00545C6C" w:rsidRPr="008B4E05" w:rsidRDefault="00545C6C" w:rsidP="00545C6C">
      <w:pPr>
        <w:contextualSpacing/>
        <w:jc w:val="both"/>
        <w:rPr>
          <w:rFonts w:ascii="Arial" w:eastAsia="Arial" w:hAnsi="Arial" w:cs="Arial"/>
          <w:lang w:val="es-MX"/>
        </w:rPr>
      </w:pPr>
      <w:r w:rsidRPr="008B4E05">
        <w:rPr>
          <w:rFonts w:ascii="Arial" w:eastAsia="Arial" w:hAnsi="Arial" w:cs="Arial"/>
          <w:lang w:val="es-MX"/>
        </w:rPr>
        <w:t>En los casos en que la solicitud de amparo ataca una providencia judicial, la doctrina constitucional ha indicado que el juez de tutela debe, en forma preliminar, realizar un examen de procedibilidad general de la acción; pues, solo una vez verificada la observancia de los requisitos que la determinan, procede el pronunciamiento de fondo sobre la problemática jurídica que el actor plantea en función de los defectos que reprocha a la actuación acusada y conforme a las causales específicas de procedencia de la acción de tutela contra providencias judiciales</w:t>
      </w:r>
      <w:r w:rsidRPr="008B4E05">
        <w:rPr>
          <w:rFonts w:ascii="Arial" w:hAnsi="Arial" w:cs="Arial"/>
          <w:vertAlign w:val="superscript"/>
        </w:rPr>
        <w:footnoteReference w:id="3"/>
      </w:r>
      <w:r w:rsidRPr="008B4E05">
        <w:rPr>
          <w:rFonts w:ascii="Arial" w:eastAsia="Arial" w:hAnsi="Arial" w:cs="Arial"/>
          <w:lang w:val="es-MX"/>
        </w:rPr>
        <w:t>.</w:t>
      </w:r>
    </w:p>
    <w:p w14:paraId="568EF383" w14:textId="77777777" w:rsidR="001D3B1D" w:rsidRPr="008B4E05" w:rsidRDefault="001D3B1D" w:rsidP="001D3B1D">
      <w:pPr>
        <w:contextualSpacing/>
        <w:jc w:val="both"/>
        <w:rPr>
          <w:rFonts w:ascii="Arial" w:eastAsia="Arial" w:hAnsi="Arial" w:cs="Arial"/>
          <w:lang w:val="es-MX"/>
        </w:rPr>
      </w:pPr>
    </w:p>
    <w:p w14:paraId="4520D6E2" w14:textId="77777777" w:rsidR="001D3B1D" w:rsidRDefault="001D3B1D" w:rsidP="001D3B1D">
      <w:pPr>
        <w:ind w:right="51"/>
        <w:jc w:val="both"/>
        <w:rPr>
          <w:rFonts w:ascii="Arial" w:hAnsi="Arial" w:cs="Arial"/>
          <w:bCs/>
        </w:rPr>
      </w:pPr>
      <w:r w:rsidRPr="002C78D6">
        <w:rPr>
          <w:rFonts w:ascii="Arial" w:hAnsi="Arial" w:cs="Arial"/>
          <w:bCs/>
        </w:rPr>
        <w:t>2.</w:t>
      </w:r>
      <w:r>
        <w:rPr>
          <w:rFonts w:ascii="Arial" w:hAnsi="Arial" w:cs="Arial"/>
          <w:bCs/>
        </w:rPr>
        <w:t>3</w:t>
      </w:r>
      <w:r w:rsidRPr="002C78D6">
        <w:rPr>
          <w:rFonts w:ascii="Arial" w:hAnsi="Arial" w:cs="Arial"/>
          <w:bCs/>
        </w:rPr>
        <w:t>.</w:t>
      </w:r>
      <w:r>
        <w:rPr>
          <w:rFonts w:ascii="Arial" w:hAnsi="Arial" w:cs="Arial"/>
          <w:bCs/>
        </w:rPr>
        <w:t>1</w:t>
      </w:r>
      <w:r w:rsidRPr="002C78D6">
        <w:rPr>
          <w:rFonts w:ascii="Arial" w:hAnsi="Arial" w:cs="Arial"/>
          <w:bCs/>
        </w:rPr>
        <w:t>.</w:t>
      </w:r>
      <w:r>
        <w:rPr>
          <w:rFonts w:ascii="Arial" w:hAnsi="Arial" w:cs="Arial"/>
          <w:b/>
        </w:rPr>
        <w:t xml:space="preserve"> Relevancia Constitucional</w:t>
      </w:r>
    </w:p>
    <w:p w14:paraId="17E08454" w14:textId="77777777" w:rsidR="001D3B1D" w:rsidRDefault="001D3B1D" w:rsidP="001D3B1D">
      <w:pPr>
        <w:ind w:right="51"/>
        <w:jc w:val="both"/>
        <w:rPr>
          <w:rFonts w:ascii="Arial" w:hAnsi="Arial" w:cs="Arial"/>
          <w:bCs/>
        </w:rPr>
      </w:pPr>
    </w:p>
    <w:p w14:paraId="1B415765" w14:textId="509FE5B3" w:rsidR="001D3B1D" w:rsidRPr="005909C8" w:rsidRDefault="001D3B1D" w:rsidP="001D3B1D">
      <w:pPr>
        <w:jc w:val="both"/>
        <w:rPr>
          <w:rFonts w:ascii="Arial" w:eastAsia="Verdana" w:hAnsi="Arial" w:cs="Arial"/>
        </w:rPr>
      </w:pPr>
      <w:r w:rsidRPr="005909C8">
        <w:rPr>
          <w:rFonts w:ascii="Arial" w:hAnsi="Arial" w:cs="Arial"/>
          <w:lang w:val="es-ES"/>
        </w:rPr>
        <w:t xml:space="preserve">En las acciones de tutela contra providencias judiciales, </w:t>
      </w:r>
      <w:r w:rsidRPr="005909C8">
        <w:rPr>
          <w:rFonts w:ascii="Arial" w:eastAsia="Verdana" w:hAnsi="Arial" w:cs="Arial"/>
        </w:rPr>
        <w:t xml:space="preserve">“la función del juez de tutela no es la de fungir como una instancia adicional del procedimiento judicial que se cuestiona pues ello desconocería la competencia y finalidad de administración de justicia por </w:t>
      </w:r>
      <w:r w:rsidR="00F51965">
        <w:rPr>
          <w:rFonts w:ascii="Arial" w:eastAsia="Verdana" w:hAnsi="Arial" w:cs="Arial"/>
        </w:rPr>
        <w:t xml:space="preserve">parte </w:t>
      </w:r>
      <w:r w:rsidRPr="005909C8">
        <w:rPr>
          <w:rFonts w:ascii="Arial" w:eastAsia="Verdana" w:hAnsi="Arial" w:cs="Arial"/>
        </w:rPr>
        <w:t>de los jueces naturales, así como su autonomía funcional”</w:t>
      </w:r>
      <w:r w:rsidRPr="005909C8">
        <w:rPr>
          <w:rFonts w:ascii="Arial" w:eastAsia="Verdana" w:hAnsi="Arial" w:cs="Arial"/>
          <w:vertAlign w:val="superscript"/>
        </w:rPr>
        <w:footnoteReference w:id="4"/>
      </w:r>
      <w:r w:rsidRPr="005909C8">
        <w:rPr>
          <w:rFonts w:ascii="Arial" w:eastAsia="Verdana" w:hAnsi="Arial" w:cs="Arial"/>
        </w:rPr>
        <w:t xml:space="preserve">. </w:t>
      </w:r>
    </w:p>
    <w:p w14:paraId="34C27F1B" w14:textId="4CFC9745" w:rsidR="001D3B1D" w:rsidRDefault="001D3B1D" w:rsidP="001D3B1D">
      <w:pPr>
        <w:jc w:val="both"/>
        <w:rPr>
          <w:rFonts w:ascii="Arial" w:eastAsia="Verdana" w:hAnsi="Arial" w:cs="Arial"/>
        </w:rPr>
      </w:pPr>
    </w:p>
    <w:p w14:paraId="13527F29" w14:textId="77777777" w:rsidR="00E250AE" w:rsidRPr="00FF59F3" w:rsidRDefault="00E250AE" w:rsidP="00E250AE">
      <w:pPr>
        <w:tabs>
          <w:tab w:val="left" w:pos="0"/>
        </w:tabs>
        <w:contextualSpacing/>
        <w:jc w:val="both"/>
        <w:rPr>
          <w:rFonts w:ascii="Arial" w:hAnsi="Arial" w:cs="Arial"/>
          <w:lang w:eastAsia="es-CO"/>
        </w:rPr>
      </w:pPr>
      <w:r w:rsidRPr="00FF59F3">
        <w:rPr>
          <w:rFonts w:ascii="Arial" w:hAnsi="Arial" w:cs="Arial"/>
          <w:lang w:val="es-ES_tradnl"/>
        </w:rPr>
        <w:t>E</w:t>
      </w:r>
      <w:r w:rsidRPr="00FF59F3">
        <w:rPr>
          <w:rFonts w:ascii="Arial" w:hAnsi="Arial" w:cs="Arial"/>
          <w:lang w:eastAsia="es-CO"/>
        </w:rPr>
        <w:t>l cargo que se formule contra una decisión judicial tendrá </w:t>
      </w:r>
      <w:r w:rsidRPr="00FF59F3">
        <w:rPr>
          <w:rFonts w:ascii="Arial" w:hAnsi="Arial" w:cs="Arial"/>
          <w:b/>
          <w:bCs/>
          <w:lang w:eastAsia="es-CO"/>
        </w:rPr>
        <w:t>relevancia constitucional</w:t>
      </w:r>
      <w:r w:rsidRPr="00FF59F3">
        <w:rPr>
          <w:rFonts w:ascii="Arial" w:hAnsi="Arial" w:cs="Arial"/>
          <w:lang w:eastAsia="es-CO"/>
        </w:rPr>
        <w:t> si presenta un problema constitucional y no se limita a revivir una controversia estricta y exclusivamente legal</w:t>
      </w:r>
      <w:r w:rsidRPr="00FF59F3">
        <w:rPr>
          <w:rStyle w:val="Refdenotaalpie"/>
          <w:rFonts w:ascii="Arial" w:hAnsi="Arial" w:cs="Arial"/>
          <w:lang w:eastAsia="es-CO"/>
        </w:rPr>
        <w:footnoteReference w:id="5"/>
      </w:r>
      <w:r w:rsidRPr="00FF59F3">
        <w:rPr>
          <w:rFonts w:ascii="Arial" w:hAnsi="Arial" w:cs="Arial"/>
          <w:lang w:eastAsia="es-CO"/>
        </w:rPr>
        <w:t>. De ese modo, en sede constitucional se ponderará entre la finalidad de la acción de tutela como garantía </w:t>
      </w:r>
      <w:proofErr w:type="spellStart"/>
      <w:r w:rsidRPr="00FF59F3">
        <w:rPr>
          <w:rFonts w:ascii="Arial" w:hAnsi="Arial" w:cs="Arial"/>
          <w:i/>
          <w:iCs/>
          <w:lang w:eastAsia="es-CO"/>
        </w:rPr>
        <w:t>iusfundamental</w:t>
      </w:r>
      <w:proofErr w:type="spellEnd"/>
      <w:r w:rsidRPr="00FF59F3">
        <w:rPr>
          <w:rFonts w:ascii="Arial" w:hAnsi="Arial" w:cs="Arial"/>
          <w:lang w:eastAsia="es-CO"/>
        </w:rPr>
        <w:t> y los principios de cosa juzgada y seguridad jurídica que gobiernan las decisiones judiciales</w:t>
      </w:r>
      <w:r w:rsidRPr="00FF59F3">
        <w:rPr>
          <w:rStyle w:val="Refdenotaalpie"/>
          <w:rFonts w:ascii="Arial" w:hAnsi="Arial" w:cs="Arial"/>
          <w:lang w:eastAsia="es-CO"/>
        </w:rPr>
        <w:footnoteReference w:id="6"/>
      </w:r>
      <w:r w:rsidRPr="00FF59F3">
        <w:rPr>
          <w:rFonts w:ascii="Arial" w:hAnsi="Arial" w:cs="Arial"/>
          <w:lang w:eastAsia="es-CO"/>
        </w:rPr>
        <w:t>. Así las cosas, el juez de tutela debe resolver asuntos de dimensión constitucional, con respeto de las competencias legales y del principio de autonomía de los jueces</w:t>
      </w:r>
      <w:r w:rsidRPr="00FF59F3">
        <w:rPr>
          <w:rStyle w:val="Refdenotaalpie"/>
          <w:rFonts w:ascii="Arial" w:hAnsi="Arial" w:cs="Arial"/>
          <w:lang w:eastAsia="es-CO"/>
        </w:rPr>
        <w:footnoteReference w:id="7"/>
      </w:r>
      <w:r w:rsidRPr="00FF59F3">
        <w:rPr>
          <w:rFonts w:ascii="Arial" w:hAnsi="Arial" w:cs="Arial"/>
          <w:lang w:eastAsia="es-CO"/>
        </w:rPr>
        <w:t>. </w:t>
      </w:r>
    </w:p>
    <w:p w14:paraId="5EE4F0CE" w14:textId="77777777" w:rsidR="00E250AE" w:rsidRPr="00FF59F3" w:rsidRDefault="00E250AE" w:rsidP="00E250AE">
      <w:pPr>
        <w:tabs>
          <w:tab w:val="left" w:pos="0"/>
        </w:tabs>
        <w:contextualSpacing/>
        <w:jc w:val="both"/>
        <w:rPr>
          <w:rFonts w:ascii="Arial" w:hAnsi="Arial" w:cs="Arial"/>
          <w:lang w:eastAsia="es-CO"/>
        </w:rPr>
      </w:pPr>
    </w:p>
    <w:p w14:paraId="0FF6EF6C" w14:textId="77777777" w:rsidR="00E250AE" w:rsidRPr="00FF59F3" w:rsidRDefault="00E250AE" w:rsidP="00E250AE">
      <w:pPr>
        <w:spacing w:after="240"/>
        <w:jc w:val="both"/>
        <w:textAlignment w:val="baseline"/>
        <w:rPr>
          <w:rFonts w:ascii="Arial" w:hAnsi="Arial" w:cs="Arial"/>
          <w:lang w:eastAsia="es-CO"/>
        </w:rPr>
      </w:pPr>
      <w:r w:rsidRPr="00FF59F3">
        <w:rPr>
          <w:rFonts w:ascii="Arial" w:hAnsi="Arial" w:cs="Arial"/>
          <w:lang w:eastAsia="es-CO"/>
        </w:rPr>
        <w:t>En suma, el requisito de relevancia constitucional persigue tres fines: (i) preservar la competencia y la independencia de los falladores ordinarios y, así, evitar que la acción de tutela se utilice para discutir asuntos de mera legalidad</w:t>
      </w:r>
      <w:r w:rsidRPr="00FF59F3">
        <w:rPr>
          <w:rStyle w:val="Refdenotaalpie"/>
          <w:rFonts w:ascii="Arial" w:hAnsi="Arial" w:cs="Arial"/>
          <w:lang w:eastAsia="es-CO"/>
        </w:rPr>
        <w:footnoteReference w:id="8"/>
      </w:r>
      <w:r w:rsidRPr="00FF59F3">
        <w:rPr>
          <w:rFonts w:ascii="Arial" w:hAnsi="Arial" w:cs="Arial"/>
          <w:lang w:eastAsia="es-CO"/>
        </w:rPr>
        <w:t>; (</w:t>
      </w:r>
      <w:proofErr w:type="spellStart"/>
      <w:r w:rsidRPr="00FF59F3">
        <w:rPr>
          <w:rFonts w:ascii="Arial" w:hAnsi="Arial" w:cs="Arial"/>
          <w:lang w:eastAsia="es-CO"/>
        </w:rPr>
        <w:t>ii</w:t>
      </w:r>
      <w:proofErr w:type="spellEnd"/>
      <w:r w:rsidRPr="00FF59F3">
        <w:rPr>
          <w:rFonts w:ascii="Arial" w:hAnsi="Arial" w:cs="Arial"/>
          <w:lang w:eastAsia="es-CO"/>
        </w:rPr>
        <w:t>) restringir el ejercicio del amparo a cuestiones que afecten los derechos fundamentales de las personas, e (</w:t>
      </w:r>
      <w:proofErr w:type="spellStart"/>
      <w:r w:rsidRPr="00FF59F3">
        <w:rPr>
          <w:rFonts w:ascii="Arial" w:hAnsi="Arial" w:cs="Arial"/>
          <w:lang w:eastAsia="es-CO"/>
        </w:rPr>
        <w:t>iii</w:t>
      </w:r>
      <w:proofErr w:type="spellEnd"/>
      <w:r w:rsidRPr="00FF59F3">
        <w:rPr>
          <w:rFonts w:ascii="Arial" w:hAnsi="Arial" w:cs="Arial"/>
          <w:lang w:eastAsia="es-CO"/>
        </w:rPr>
        <w:t>) impedir que la tutela se convierta en una instancia o recurso adicional para controvertir las decisiones judiciales</w:t>
      </w:r>
      <w:r w:rsidRPr="00FF59F3">
        <w:rPr>
          <w:rStyle w:val="Refdenotaalpie"/>
          <w:rFonts w:ascii="Arial" w:hAnsi="Arial" w:cs="Arial"/>
          <w:lang w:eastAsia="es-CO"/>
        </w:rPr>
        <w:footnoteReference w:id="9"/>
      </w:r>
      <w:r w:rsidRPr="00FF59F3">
        <w:rPr>
          <w:rFonts w:ascii="Arial" w:hAnsi="Arial" w:cs="Arial"/>
          <w:lang w:eastAsia="es-CO"/>
        </w:rPr>
        <w:t>. </w:t>
      </w:r>
    </w:p>
    <w:p w14:paraId="0F4BBAE2" w14:textId="77777777" w:rsidR="00E250AE" w:rsidRPr="00FF59F3" w:rsidRDefault="00E250AE" w:rsidP="00E250AE">
      <w:pPr>
        <w:spacing w:after="240"/>
        <w:jc w:val="both"/>
        <w:textAlignment w:val="baseline"/>
        <w:rPr>
          <w:rFonts w:ascii="Arial" w:hAnsi="Arial" w:cs="Arial"/>
          <w:lang w:eastAsia="es-CO"/>
        </w:rPr>
      </w:pPr>
      <w:r w:rsidRPr="00FF59F3">
        <w:rPr>
          <w:rFonts w:ascii="Arial" w:hAnsi="Arial" w:cs="Arial"/>
          <w:lang w:eastAsia="es-CO"/>
        </w:rPr>
        <w:t>Definir lo que es o no relevante en el plano constitucional depende de verificar que, a primera vista, el cuestionamiento esté dirigido contra una posible afectación o vulneración de las garantías constitucionales relacionadas con el núcleo de los derechos fundamentales. En especial, debe hacerse énfasis en el derecho al debido proceso constitucional</w:t>
      </w:r>
      <w:r w:rsidRPr="00FF59F3">
        <w:rPr>
          <w:rStyle w:val="Refdenotaalpie"/>
          <w:rFonts w:ascii="Arial" w:hAnsi="Arial" w:cs="Arial"/>
          <w:lang w:eastAsia="es-CO"/>
        </w:rPr>
        <w:footnoteReference w:id="10"/>
      </w:r>
      <w:r w:rsidRPr="00FF59F3">
        <w:rPr>
          <w:rFonts w:ascii="Arial" w:hAnsi="Arial" w:cs="Arial"/>
          <w:lang w:eastAsia="es-CO"/>
        </w:rPr>
        <w:t>. Para ello, la jurisprudencia constitucional</w:t>
      </w:r>
      <w:r w:rsidRPr="00FF59F3">
        <w:rPr>
          <w:rStyle w:val="Refdenotaalpie"/>
          <w:rFonts w:ascii="Arial" w:hAnsi="Arial" w:cs="Arial"/>
          <w:lang w:eastAsia="es-CO"/>
        </w:rPr>
        <w:footnoteReference w:id="11"/>
      </w:r>
      <w:r w:rsidRPr="00FF59F3">
        <w:rPr>
          <w:rFonts w:ascii="Arial" w:hAnsi="Arial" w:cs="Arial"/>
          <w:lang w:eastAsia="es-CO"/>
        </w:rPr>
        <w:t> ha definido cuáles son los requisitos específicos de procedencia que pueden ser invocados como únicas causales que habilitan el control constitucional concreto. </w:t>
      </w:r>
    </w:p>
    <w:p w14:paraId="674D2FDD" w14:textId="77777777" w:rsidR="00E250AE" w:rsidRPr="00896559" w:rsidRDefault="00E250AE" w:rsidP="00E250AE">
      <w:pPr>
        <w:spacing w:after="240"/>
        <w:jc w:val="both"/>
        <w:textAlignment w:val="baseline"/>
        <w:rPr>
          <w:rFonts w:ascii="Arial" w:hAnsi="Arial" w:cs="Arial"/>
          <w:lang w:eastAsia="es-CO"/>
        </w:rPr>
      </w:pPr>
      <w:r w:rsidRPr="00FF59F3">
        <w:rPr>
          <w:rFonts w:ascii="Arial" w:hAnsi="Arial" w:cs="Arial"/>
          <w:lang w:eastAsia="es-CO"/>
        </w:rPr>
        <w:t>El requisito de relevancia constitucional, por tanto, exige que el cuestionamiento en la solicitud de amparo esté dirigido a exponer una valoración en sentido negativo de la actuación jurisdiccional en clave de los defectos, como han sido definidos por la jurisprudencia. Así, son improcedentes los argumentos destinados a proponer fórmulas que habrían podido ser tenidas en cuenta en el proceso ordinario, o reiterar las ya expuestas en este. En efecto, como lo ha establecido la Corte Constitucional, “la función del juez de tutela no es la de fungir como una instancia adicional del procedimiento judicial que se cuestiona</w:t>
      </w:r>
      <w:r w:rsidRPr="00FF59F3">
        <w:rPr>
          <w:rStyle w:val="Refdenotaalpie"/>
          <w:rFonts w:ascii="Arial" w:hAnsi="Arial" w:cs="Arial"/>
          <w:lang w:eastAsia="es-CO"/>
        </w:rPr>
        <w:footnoteReference w:id="12"/>
      </w:r>
      <w:r w:rsidRPr="00FF59F3">
        <w:rPr>
          <w:rFonts w:ascii="Arial" w:hAnsi="Arial" w:cs="Arial"/>
          <w:lang w:eastAsia="es-CO"/>
        </w:rPr>
        <w:t xml:space="preserve">, pues ello desconocería la competencia y finalidad de administración de justicia por parte de los jueces naturales, así como </w:t>
      </w:r>
      <w:r w:rsidRPr="00896559">
        <w:rPr>
          <w:rFonts w:ascii="Arial" w:hAnsi="Arial" w:cs="Arial"/>
          <w:lang w:eastAsia="es-CO"/>
        </w:rPr>
        <w:t>su autonomía funcional”</w:t>
      </w:r>
      <w:r w:rsidRPr="00896559">
        <w:rPr>
          <w:rStyle w:val="Refdenotaalpie"/>
          <w:rFonts w:ascii="Arial" w:hAnsi="Arial" w:cs="Arial"/>
          <w:lang w:eastAsia="es-CO"/>
        </w:rPr>
        <w:footnoteReference w:id="13"/>
      </w:r>
      <w:r w:rsidRPr="00896559">
        <w:rPr>
          <w:rFonts w:ascii="Arial" w:hAnsi="Arial" w:cs="Arial"/>
          <w:lang w:eastAsia="es-CO"/>
        </w:rPr>
        <w:t>. </w:t>
      </w:r>
    </w:p>
    <w:p w14:paraId="2492F83E" w14:textId="77777777" w:rsidR="001D3B1D" w:rsidRPr="005909C8" w:rsidRDefault="001D3B1D" w:rsidP="001D3B1D">
      <w:pPr>
        <w:jc w:val="both"/>
        <w:rPr>
          <w:rFonts w:ascii="Arial" w:hAnsi="Arial" w:cs="Arial"/>
          <w:lang w:eastAsia="es-ES"/>
        </w:rPr>
      </w:pPr>
      <w:r w:rsidRPr="005909C8">
        <w:rPr>
          <w:rFonts w:ascii="Arial" w:eastAsia="Verdana" w:hAnsi="Arial" w:cs="Arial"/>
        </w:rPr>
        <w:t>Quien</w:t>
      </w:r>
      <w:r w:rsidRPr="005909C8">
        <w:rPr>
          <w:rFonts w:ascii="Arial" w:hAnsi="Arial" w:cs="Arial"/>
          <w:lang w:val="es-ES"/>
        </w:rPr>
        <w:t xml:space="preserve"> solicita el amparo </w:t>
      </w:r>
      <w:r w:rsidRPr="005909C8">
        <w:rPr>
          <w:rFonts w:ascii="Arial" w:eastAsia="Verdana" w:hAnsi="Arial" w:cs="Arial"/>
        </w:rPr>
        <w:t xml:space="preserve">debe </w:t>
      </w:r>
      <w:r w:rsidRPr="005909C8">
        <w:rPr>
          <w:rFonts w:ascii="Arial" w:hAnsi="Arial" w:cs="Arial"/>
          <w:lang w:eastAsia="es-ES"/>
        </w:rPr>
        <w:t>cumplir con la carga de exponer las</w:t>
      </w:r>
      <w:r w:rsidRPr="005909C8">
        <w:rPr>
          <w:rFonts w:ascii="Arial" w:hAnsi="Arial" w:cs="Arial"/>
        </w:rPr>
        <w:t xml:space="preserve"> razones por las que el reproche a una providencia que ha hecho tránsito a cosa juzgada, trasciende de la controversia litigiosa propia de la causa ordinaria</w:t>
      </w:r>
      <w:r w:rsidRPr="005909C8">
        <w:rPr>
          <w:rFonts w:ascii="Arial" w:hAnsi="Arial" w:cs="Arial"/>
          <w:iCs/>
          <w:vertAlign w:val="superscript"/>
        </w:rPr>
        <w:footnoteReference w:id="14"/>
      </w:r>
      <w:r w:rsidRPr="005909C8">
        <w:rPr>
          <w:rFonts w:ascii="Arial" w:hAnsi="Arial" w:cs="Arial"/>
        </w:rPr>
        <w:t xml:space="preserve">, a una cuestión con </w:t>
      </w:r>
      <w:r w:rsidRPr="005909C8">
        <w:rPr>
          <w:rFonts w:ascii="Arial" w:hAnsi="Arial" w:cs="Arial"/>
          <w:b/>
        </w:rPr>
        <w:t>relevancia constitucional</w:t>
      </w:r>
      <w:r w:rsidRPr="005909C8">
        <w:rPr>
          <w:rFonts w:ascii="Arial" w:hAnsi="Arial" w:cs="Arial"/>
        </w:rPr>
        <w:t>, en términos de</w:t>
      </w:r>
      <w:r w:rsidRPr="005909C8">
        <w:rPr>
          <w:rFonts w:ascii="Arial" w:hAnsi="Arial" w:cs="Arial"/>
          <w:lang w:eastAsia="es-ES"/>
        </w:rPr>
        <w:t xml:space="preserve"> los defectos definidos por la jurisprudencia como únicas causales que habilitan el control constitucional concreto</w:t>
      </w:r>
      <w:r w:rsidRPr="005909C8">
        <w:rPr>
          <w:rStyle w:val="Refdenotaalpie"/>
          <w:rFonts w:ascii="Arial" w:eastAsia="Verdana" w:hAnsi="Arial" w:cs="Arial"/>
        </w:rPr>
        <w:footnoteReference w:id="15"/>
      </w:r>
      <w:r w:rsidRPr="005909C8">
        <w:rPr>
          <w:rFonts w:ascii="Arial" w:hAnsi="Arial" w:cs="Arial"/>
          <w:lang w:eastAsia="es-ES"/>
        </w:rPr>
        <w:t xml:space="preserve">. </w:t>
      </w:r>
    </w:p>
    <w:p w14:paraId="354A164D" w14:textId="77777777" w:rsidR="001D3B1D" w:rsidRPr="001C041E" w:rsidRDefault="001D3B1D" w:rsidP="001D3B1D">
      <w:pPr>
        <w:ind w:right="51"/>
        <w:jc w:val="both"/>
        <w:rPr>
          <w:rFonts w:ascii="Arial" w:hAnsi="Arial" w:cs="Arial"/>
          <w:bCs/>
        </w:rPr>
      </w:pPr>
    </w:p>
    <w:p w14:paraId="23129266" w14:textId="5DC8B2AC" w:rsidR="00F72EB5" w:rsidRDefault="001D3B1D" w:rsidP="001D3B1D">
      <w:pPr>
        <w:ind w:right="51"/>
        <w:jc w:val="both"/>
        <w:rPr>
          <w:rFonts w:ascii="Arial" w:hAnsi="Arial" w:cs="Arial"/>
          <w:bCs/>
        </w:rPr>
      </w:pPr>
      <w:r>
        <w:rPr>
          <w:rFonts w:ascii="Arial" w:hAnsi="Arial" w:cs="Arial"/>
          <w:bCs/>
        </w:rPr>
        <w:t xml:space="preserve">En el </w:t>
      </w:r>
      <w:r>
        <w:rPr>
          <w:rFonts w:ascii="Arial" w:hAnsi="Arial" w:cs="Arial"/>
          <w:b/>
        </w:rPr>
        <w:t xml:space="preserve">caso </w:t>
      </w:r>
      <w:r w:rsidR="00596830">
        <w:rPr>
          <w:rFonts w:ascii="Arial" w:hAnsi="Arial" w:cs="Arial"/>
          <w:b/>
        </w:rPr>
        <w:t xml:space="preserve">concreto </w:t>
      </w:r>
      <w:r>
        <w:rPr>
          <w:rFonts w:ascii="Arial" w:hAnsi="Arial" w:cs="Arial"/>
          <w:b/>
        </w:rPr>
        <w:t>bajo estudio</w:t>
      </w:r>
      <w:r>
        <w:rPr>
          <w:rFonts w:ascii="Arial" w:hAnsi="Arial" w:cs="Arial"/>
          <w:bCs/>
        </w:rPr>
        <w:t xml:space="preserve">, </w:t>
      </w:r>
      <w:r w:rsidR="00F72EB5">
        <w:rPr>
          <w:rFonts w:ascii="Arial" w:hAnsi="Arial" w:cs="Arial"/>
          <w:bCs/>
        </w:rPr>
        <w:t xml:space="preserve">Blanca Amparo Vélez Castro presentó demanda en el ejercicio del medio de control de nulidad y restablecimiento del derecho en la que solicitó se dejara sin efecto una resolución proferida por el municipio de Manizales </w:t>
      </w:r>
      <w:r w:rsidR="00F51965">
        <w:rPr>
          <w:rFonts w:ascii="Arial" w:hAnsi="Arial" w:cs="Arial"/>
          <w:bCs/>
        </w:rPr>
        <w:t xml:space="preserve">por </w:t>
      </w:r>
      <w:r w:rsidR="00F72EB5">
        <w:rPr>
          <w:rFonts w:ascii="Arial" w:hAnsi="Arial" w:cs="Arial"/>
          <w:bCs/>
        </w:rPr>
        <w:t xml:space="preserve">medio de la cual se le negó el reconocimiento de </w:t>
      </w:r>
      <w:r w:rsidR="00F51965">
        <w:rPr>
          <w:rFonts w:ascii="Arial" w:hAnsi="Arial" w:cs="Arial"/>
          <w:bCs/>
        </w:rPr>
        <w:t xml:space="preserve">la existencia de </w:t>
      </w:r>
      <w:r w:rsidR="00F72EB5">
        <w:rPr>
          <w:rFonts w:ascii="Arial" w:hAnsi="Arial" w:cs="Arial"/>
          <w:bCs/>
        </w:rPr>
        <w:t>una relación laboral.</w:t>
      </w:r>
    </w:p>
    <w:p w14:paraId="78DBE320" w14:textId="77777777" w:rsidR="00F51965" w:rsidRDefault="00F51965" w:rsidP="001D3B1D">
      <w:pPr>
        <w:ind w:right="51"/>
        <w:jc w:val="both"/>
        <w:rPr>
          <w:rFonts w:ascii="Arial" w:hAnsi="Arial" w:cs="Arial"/>
          <w:bCs/>
        </w:rPr>
      </w:pPr>
    </w:p>
    <w:p w14:paraId="60F25582" w14:textId="26A546BA" w:rsidR="00CF7BE8" w:rsidRDefault="00F51965" w:rsidP="001D3B1D">
      <w:pPr>
        <w:ind w:right="51"/>
        <w:jc w:val="both"/>
        <w:rPr>
          <w:rFonts w:ascii="Arial" w:hAnsi="Arial" w:cs="Arial"/>
          <w:bCs/>
        </w:rPr>
      </w:pPr>
      <w:r>
        <w:rPr>
          <w:rFonts w:ascii="Arial" w:hAnsi="Arial" w:cs="Arial"/>
          <w:bCs/>
        </w:rPr>
        <w:t>E</w:t>
      </w:r>
      <w:r w:rsidR="001D3B1D">
        <w:rPr>
          <w:rFonts w:ascii="Arial" w:hAnsi="Arial" w:cs="Arial"/>
          <w:bCs/>
        </w:rPr>
        <w:t xml:space="preserve">l </w:t>
      </w:r>
      <w:r w:rsidR="00CF7BE8">
        <w:rPr>
          <w:rFonts w:ascii="Arial" w:hAnsi="Arial" w:cs="Arial"/>
          <w:bCs/>
        </w:rPr>
        <w:t xml:space="preserve">Tribunal Administrativo de Caldas celebró el </w:t>
      </w:r>
      <w:r w:rsidR="0060181D">
        <w:rPr>
          <w:rFonts w:ascii="Arial" w:hAnsi="Arial" w:cs="Arial"/>
          <w:bCs/>
        </w:rPr>
        <w:t>9</w:t>
      </w:r>
      <w:r w:rsidR="00CF7BE8">
        <w:rPr>
          <w:rFonts w:ascii="Arial" w:hAnsi="Arial" w:cs="Arial"/>
          <w:bCs/>
        </w:rPr>
        <w:t xml:space="preserve"> de </w:t>
      </w:r>
      <w:r w:rsidR="0060181D">
        <w:rPr>
          <w:rFonts w:ascii="Arial" w:hAnsi="Arial" w:cs="Arial"/>
          <w:bCs/>
        </w:rPr>
        <w:t>octubre de 2019</w:t>
      </w:r>
      <w:r w:rsidR="00CF7BE8">
        <w:rPr>
          <w:rFonts w:ascii="Arial" w:hAnsi="Arial" w:cs="Arial"/>
          <w:bCs/>
        </w:rPr>
        <w:t xml:space="preserve"> audiencia inicial </w:t>
      </w:r>
      <w:r w:rsidR="0060181D">
        <w:rPr>
          <w:rFonts w:ascii="Arial" w:hAnsi="Arial" w:cs="Arial"/>
          <w:bCs/>
        </w:rPr>
        <w:t xml:space="preserve">en la que se decretaron como pruebas, entre otras, las declaraciones de </w:t>
      </w:r>
      <w:r w:rsidR="0060181D" w:rsidRPr="0060181D">
        <w:rPr>
          <w:rFonts w:ascii="Arial" w:hAnsi="Arial" w:cs="Arial"/>
          <w:bCs/>
        </w:rPr>
        <w:t>Luz Mery Cifuentes, Mauricio Álvarez Gómez, Gloria Inés López, María Patricia Rivera, Bibiana María Álvarez, Yolanda Henao, María Valentina Henao, María Ensueño Henao, Luz María Gómez y José Guillermo Castaño</w:t>
      </w:r>
      <w:r w:rsidR="0060181D">
        <w:rPr>
          <w:rFonts w:ascii="Arial" w:hAnsi="Arial" w:cs="Arial"/>
          <w:bCs/>
        </w:rPr>
        <w:t>.</w:t>
      </w:r>
    </w:p>
    <w:p w14:paraId="2C4F0BE3" w14:textId="6F87C972" w:rsidR="0060181D" w:rsidRDefault="0060181D" w:rsidP="001D3B1D">
      <w:pPr>
        <w:ind w:right="51"/>
        <w:jc w:val="both"/>
        <w:rPr>
          <w:rFonts w:ascii="Arial" w:hAnsi="Arial" w:cs="Arial"/>
          <w:bCs/>
        </w:rPr>
      </w:pPr>
    </w:p>
    <w:p w14:paraId="428B7301" w14:textId="00CD5B1D" w:rsidR="0060181D" w:rsidRDefault="0060181D" w:rsidP="001D3B1D">
      <w:pPr>
        <w:ind w:right="51"/>
        <w:jc w:val="both"/>
        <w:rPr>
          <w:rFonts w:ascii="Arial" w:hAnsi="Arial" w:cs="Arial"/>
          <w:bCs/>
        </w:rPr>
      </w:pPr>
      <w:r w:rsidRPr="0060181D">
        <w:rPr>
          <w:rFonts w:ascii="Arial" w:hAnsi="Arial" w:cs="Arial"/>
        </w:rPr>
        <w:t xml:space="preserve">Posteriormente, a través de auto de 22 de julio de 2021, (i) convocó a audiencia de pruebas para el 2 de agosto siguiente, a las 3:15 p. m., que sería adelantada </w:t>
      </w:r>
      <w:r w:rsidR="00C718D9">
        <w:rPr>
          <w:rFonts w:ascii="Arial" w:hAnsi="Arial" w:cs="Arial"/>
        </w:rPr>
        <w:t>“</w:t>
      </w:r>
      <w:r w:rsidRPr="0060181D">
        <w:rPr>
          <w:rFonts w:ascii="Arial" w:hAnsi="Arial" w:cs="Arial"/>
        </w:rPr>
        <w:t xml:space="preserve">[…] de manera presencial pero remota a través de la plataforma Microsoft </w:t>
      </w:r>
      <w:proofErr w:type="spellStart"/>
      <w:r w:rsidRPr="0060181D">
        <w:rPr>
          <w:rFonts w:ascii="Arial" w:hAnsi="Arial" w:cs="Arial"/>
        </w:rPr>
        <w:t>Teams</w:t>
      </w:r>
      <w:proofErr w:type="spellEnd"/>
      <w:r w:rsidRPr="0060181D">
        <w:rPr>
          <w:rFonts w:ascii="Arial" w:hAnsi="Arial" w:cs="Arial"/>
        </w:rPr>
        <w:t>, para lo cual se enviará invitación a los correos electrónicos que informen las partes y el Ministerio Público, quienes deberán conectarse desde un equipo con micrófono y cámara de video</w:t>
      </w:r>
      <w:r w:rsidR="00C718D9">
        <w:rPr>
          <w:rFonts w:ascii="Arial" w:hAnsi="Arial" w:cs="Arial"/>
        </w:rPr>
        <w:t>”</w:t>
      </w:r>
      <w:r w:rsidRPr="0060181D">
        <w:rPr>
          <w:rFonts w:ascii="Arial" w:hAnsi="Arial" w:cs="Arial"/>
        </w:rPr>
        <w:t>; (</w:t>
      </w:r>
      <w:proofErr w:type="spellStart"/>
      <w:r w:rsidRPr="0060181D">
        <w:rPr>
          <w:rFonts w:ascii="Arial" w:hAnsi="Arial" w:cs="Arial"/>
        </w:rPr>
        <w:t>ii</w:t>
      </w:r>
      <w:proofErr w:type="spellEnd"/>
      <w:r w:rsidRPr="0060181D">
        <w:rPr>
          <w:rFonts w:ascii="Arial" w:hAnsi="Arial" w:cs="Arial"/>
        </w:rPr>
        <w:t xml:space="preserve">) requirió a la demandante para que dentro de los tres días siguientes a la notificación de esa actuación </w:t>
      </w:r>
      <w:r w:rsidR="00C718D9">
        <w:rPr>
          <w:rFonts w:ascii="Arial" w:hAnsi="Arial" w:cs="Arial"/>
        </w:rPr>
        <w:t>“</w:t>
      </w:r>
      <w:r w:rsidRPr="0060181D">
        <w:rPr>
          <w:rFonts w:ascii="Arial" w:hAnsi="Arial" w:cs="Arial"/>
        </w:rPr>
        <w:t>[…] informe y allegue [c]</w:t>
      </w:r>
      <w:proofErr w:type="spellStart"/>
      <w:r w:rsidRPr="0060181D">
        <w:rPr>
          <w:rFonts w:ascii="Arial" w:hAnsi="Arial" w:cs="Arial"/>
        </w:rPr>
        <w:t>opia</w:t>
      </w:r>
      <w:proofErr w:type="spellEnd"/>
      <w:r w:rsidRPr="0060181D">
        <w:rPr>
          <w:rFonts w:ascii="Arial" w:hAnsi="Arial" w:cs="Arial"/>
        </w:rPr>
        <w:t xml:space="preserve"> escaneada de la cédula de ciudadanía, número telefónico y correo electrónico de los testigos</w:t>
      </w:r>
      <w:r w:rsidR="00C718D9">
        <w:rPr>
          <w:rFonts w:ascii="Arial" w:hAnsi="Arial" w:cs="Arial"/>
        </w:rPr>
        <w:t>”</w:t>
      </w:r>
      <w:r w:rsidRPr="0060181D">
        <w:rPr>
          <w:rFonts w:ascii="Arial" w:hAnsi="Arial" w:cs="Arial"/>
        </w:rPr>
        <w:t>; (</w:t>
      </w:r>
      <w:proofErr w:type="spellStart"/>
      <w:r w:rsidRPr="0060181D">
        <w:rPr>
          <w:rFonts w:ascii="Arial" w:hAnsi="Arial" w:cs="Arial"/>
        </w:rPr>
        <w:t>iii</w:t>
      </w:r>
      <w:proofErr w:type="spellEnd"/>
      <w:r w:rsidRPr="0060181D">
        <w:rPr>
          <w:rFonts w:ascii="Arial" w:hAnsi="Arial" w:cs="Arial"/>
        </w:rPr>
        <w:t xml:space="preserve">) recordó </w:t>
      </w:r>
      <w:r w:rsidR="00C718D9">
        <w:rPr>
          <w:rFonts w:ascii="Arial" w:hAnsi="Arial" w:cs="Arial"/>
        </w:rPr>
        <w:t>“</w:t>
      </w:r>
      <w:r w:rsidRPr="0060181D">
        <w:rPr>
          <w:rFonts w:ascii="Arial" w:hAnsi="Arial" w:cs="Arial"/>
        </w:rPr>
        <w:t>[…] a la parte accionante que le corresponde velar por que sus testigos comparezcan a la diligencia y en este caso rindan declaración en forma virtual, para lo cual éstos deberán conectarse a la audiencia de pruebas desde las direcciones de correo electrónico que se informen al Despacho […]</w:t>
      </w:r>
      <w:r w:rsidR="00C718D9">
        <w:rPr>
          <w:rFonts w:ascii="Arial" w:hAnsi="Arial" w:cs="Arial"/>
        </w:rPr>
        <w:t>”</w:t>
      </w:r>
      <w:r w:rsidRPr="0060181D">
        <w:rPr>
          <w:rFonts w:ascii="Arial" w:hAnsi="Arial" w:cs="Arial"/>
        </w:rPr>
        <w:t xml:space="preserve">, y (iv) expresó que </w:t>
      </w:r>
      <w:r w:rsidR="00C718D9">
        <w:rPr>
          <w:rFonts w:ascii="Arial" w:hAnsi="Arial" w:cs="Arial"/>
        </w:rPr>
        <w:t>“</w:t>
      </w:r>
      <w:r w:rsidRPr="0060181D">
        <w:rPr>
          <w:rFonts w:ascii="Arial" w:hAnsi="Arial" w:cs="Arial"/>
        </w:rPr>
        <w:t>[…] los declarantes deberán estar aislados de aquél que en un determinado momento esté rindiendo su testimonio, conforme lo exige el artículo 220 del citado estatuto procedimental civil</w:t>
      </w:r>
      <w:r w:rsidR="00C718D9">
        <w:rPr>
          <w:rFonts w:ascii="Arial" w:hAnsi="Arial" w:cs="Arial"/>
        </w:rPr>
        <w:t>”</w:t>
      </w:r>
      <w:r w:rsidRPr="0060181D">
        <w:rPr>
          <w:rFonts w:ascii="Arial" w:hAnsi="Arial" w:cs="Arial"/>
        </w:rPr>
        <w:t>.</w:t>
      </w:r>
    </w:p>
    <w:p w14:paraId="63171702" w14:textId="07DA828B" w:rsidR="0060181D" w:rsidRDefault="0060181D" w:rsidP="001D3B1D">
      <w:pPr>
        <w:ind w:right="51"/>
        <w:jc w:val="both"/>
        <w:rPr>
          <w:rFonts w:ascii="Arial" w:hAnsi="Arial" w:cs="Arial"/>
          <w:bCs/>
        </w:rPr>
      </w:pPr>
    </w:p>
    <w:p w14:paraId="20F2163D" w14:textId="546FB547" w:rsidR="007C44F5" w:rsidRDefault="00B57B99" w:rsidP="001D3B1D">
      <w:pPr>
        <w:ind w:right="51"/>
        <w:jc w:val="both"/>
        <w:rPr>
          <w:rFonts w:ascii="Arial" w:hAnsi="Arial" w:cs="Arial"/>
          <w:bCs/>
        </w:rPr>
      </w:pPr>
      <w:r>
        <w:rPr>
          <w:rFonts w:ascii="Arial" w:hAnsi="Arial" w:cs="Arial"/>
          <w:bCs/>
        </w:rPr>
        <w:t xml:space="preserve">Llegado el día de la celebración de la audiencia de pruebas (2 de agosto de 2021), durante el </w:t>
      </w:r>
      <w:r w:rsidR="0060181D">
        <w:rPr>
          <w:rFonts w:ascii="Arial" w:hAnsi="Arial" w:cs="Arial"/>
          <w:bCs/>
        </w:rPr>
        <w:t xml:space="preserve">transcurso de la </w:t>
      </w:r>
      <w:r>
        <w:rPr>
          <w:rFonts w:ascii="Arial" w:hAnsi="Arial" w:cs="Arial"/>
          <w:bCs/>
        </w:rPr>
        <w:t>misma, el magistrado del Tribunal Administrativo de Caldas decidió prescindir de los testimonio</w:t>
      </w:r>
      <w:r w:rsidR="00ED0168">
        <w:rPr>
          <w:rFonts w:ascii="Arial" w:hAnsi="Arial" w:cs="Arial"/>
          <w:bCs/>
        </w:rPr>
        <w:t>s</w:t>
      </w:r>
      <w:r>
        <w:rPr>
          <w:rFonts w:ascii="Arial" w:hAnsi="Arial" w:cs="Arial"/>
          <w:bCs/>
        </w:rPr>
        <w:t xml:space="preserve"> decretados ante la </w:t>
      </w:r>
      <w:r w:rsidR="00F51965">
        <w:rPr>
          <w:rFonts w:ascii="Arial" w:hAnsi="Arial" w:cs="Arial"/>
          <w:bCs/>
        </w:rPr>
        <w:t xml:space="preserve">no </w:t>
      </w:r>
      <w:r>
        <w:rPr>
          <w:rFonts w:ascii="Arial" w:hAnsi="Arial" w:cs="Arial"/>
          <w:bCs/>
        </w:rPr>
        <w:t xml:space="preserve">comparecencia de los </w:t>
      </w:r>
      <w:r w:rsidR="007C44F5">
        <w:rPr>
          <w:rFonts w:ascii="Arial" w:hAnsi="Arial" w:cs="Arial"/>
          <w:bCs/>
        </w:rPr>
        <w:t>testigos</w:t>
      </w:r>
      <w:r w:rsidR="0091209C">
        <w:rPr>
          <w:rFonts w:ascii="Arial" w:hAnsi="Arial" w:cs="Arial"/>
          <w:bCs/>
        </w:rPr>
        <w:t xml:space="preserve"> en debida forma</w:t>
      </w:r>
      <w:r w:rsidR="00F51965">
        <w:rPr>
          <w:rFonts w:ascii="Arial" w:hAnsi="Arial" w:cs="Arial"/>
          <w:bCs/>
        </w:rPr>
        <w:t xml:space="preserve"> y el incumplimiento, por parte de la apoderada de la parte actora, de los requisitos exigidos en la providencia que fijó la fecha </w:t>
      </w:r>
      <w:r w:rsidR="00F5426E">
        <w:rPr>
          <w:rFonts w:ascii="Arial" w:hAnsi="Arial" w:cs="Arial"/>
          <w:bCs/>
        </w:rPr>
        <w:t xml:space="preserve">para la práctica </w:t>
      </w:r>
      <w:r w:rsidR="00F51965">
        <w:rPr>
          <w:rFonts w:ascii="Arial" w:hAnsi="Arial" w:cs="Arial"/>
          <w:bCs/>
        </w:rPr>
        <w:t xml:space="preserve">de la </w:t>
      </w:r>
      <w:r w:rsidR="00F5426E">
        <w:rPr>
          <w:rFonts w:ascii="Arial" w:hAnsi="Arial" w:cs="Arial"/>
          <w:bCs/>
        </w:rPr>
        <w:t xml:space="preserve">referida </w:t>
      </w:r>
      <w:r w:rsidR="00F51965">
        <w:rPr>
          <w:rFonts w:ascii="Arial" w:hAnsi="Arial" w:cs="Arial"/>
          <w:bCs/>
        </w:rPr>
        <w:t xml:space="preserve">diligencia. </w:t>
      </w:r>
    </w:p>
    <w:p w14:paraId="3768A52C" w14:textId="77777777" w:rsidR="007C44F5" w:rsidRDefault="007C44F5" w:rsidP="001D3B1D">
      <w:pPr>
        <w:ind w:right="51"/>
        <w:jc w:val="both"/>
        <w:rPr>
          <w:rFonts w:ascii="Arial" w:hAnsi="Arial" w:cs="Arial"/>
          <w:bCs/>
        </w:rPr>
      </w:pPr>
    </w:p>
    <w:p w14:paraId="7E275470" w14:textId="4C7EB278" w:rsidR="00292F21" w:rsidRDefault="007C44F5" w:rsidP="001D3B1D">
      <w:pPr>
        <w:ind w:right="51"/>
        <w:jc w:val="both"/>
        <w:rPr>
          <w:rFonts w:ascii="Arial" w:hAnsi="Arial" w:cs="Arial"/>
          <w:bCs/>
        </w:rPr>
      </w:pPr>
      <w:r>
        <w:rPr>
          <w:rFonts w:ascii="Arial" w:hAnsi="Arial" w:cs="Arial"/>
          <w:bCs/>
        </w:rPr>
        <w:t>Al respecto</w:t>
      </w:r>
      <w:r w:rsidR="00292F21">
        <w:rPr>
          <w:rFonts w:ascii="Arial" w:hAnsi="Arial" w:cs="Arial"/>
          <w:bCs/>
        </w:rPr>
        <w:t>,</w:t>
      </w:r>
      <w:r>
        <w:rPr>
          <w:rFonts w:ascii="Arial" w:hAnsi="Arial" w:cs="Arial"/>
          <w:bCs/>
        </w:rPr>
        <w:t xml:space="preserve"> adujo el tribunal que la accionante presentó tres testigos vía </w:t>
      </w:r>
      <w:proofErr w:type="spellStart"/>
      <w:r>
        <w:rPr>
          <w:rFonts w:ascii="Arial" w:hAnsi="Arial" w:cs="Arial"/>
          <w:bCs/>
        </w:rPr>
        <w:t>whatsapp</w:t>
      </w:r>
      <w:proofErr w:type="spellEnd"/>
      <w:r>
        <w:rPr>
          <w:rFonts w:ascii="Arial" w:hAnsi="Arial" w:cs="Arial"/>
          <w:bCs/>
        </w:rPr>
        <w:t>, pero que “la ubicación de los declarantes no significa que estos estén disponibles a la hora y en las condiciones fijadas” pues bajo esas condiciones la información no llega</w:t>
      </w:r>
      <w:r w:rsidR="00ED0168">
        <w:rPr>
          <w:rFonts w:ascii="Arial" w:hAnsi="Arial" w:cs="Arial"/>
          <w:bCs/>
        </w:rPr>
        <w:t>ba</w:t>
      </w:r>
      <w:r>
        <w:rPr>
          <w:rFonts w:ascii="Arial" w:hAnsi="Arial" w:cs="Arial"/>
          <w:bCs/>
        </w:rPr>
        <w:t xml:space="preserve"> directamente al conocimiento del despacho</w:t>
      </w:r>
      <w:r w:rsidR="0032640A">
        <w:rPr>
          <w:rFonts w:ascii="Arial" w:hAnsi="Arial" w:cs="Arial"/>
          <w:bCs/>
        </w:rPr>
        <w:t>. Sostuvo que los testigos no se encontraban ubicados en un lugar apropiado para</w:t>
      </w:r>
      <w:r w:rsidR="00292F21">
        <w:rPr>
          <w:rFonts w:ascii="Arial" w:hAnsi="Arial" w:cs="Arial"/>
          <w:bCs/>
        </w:rPr>
        <w:t xml:space="preserve"> re</w:t>
      </w:r>
      <w:r w:rsidR="006B5FA5">
        <w:rPr>
          <w:rFonts w:ascii="Arial" w:hAnsi="Arial" w:cs="Arial"/>
          <w:bCs/>
        </w:rPr>
        <w:t xml:space="preserve">cibir </w:t>
      </w:r>
      <w:r w:rsidR="00292F21">
        <w:rPr>
          <w:rFonts w:ascii="Arial" w:hAnsi="Arial" w:cs="Arial"/>
          <w:bCs/>
        </w:rPr>
        <w:t xml:space="preserve">la declaración, </w:t>
      </w:r>
      <w:r w:rsidR="006B5FA5">
        <w:rPr>
          <w:rFonts w:ascii="Arial" w:hAnsi="Arial" w:cs="Arial"/>
          <w:bCs/>
        </w:rPr>
        <w:t xml:space="preserve">que </w:t>
      </w:r>
      <w:r w:rsidR="00292F21" w:rsidRPr="00292F21">
        <w:rPr>
          <w:rFonts w:ascii="Arial" w:hAnsi="Arial" w:cs="Arial"/>
          <w:bCs/>
        </w:rPr>
        <w:t xml:space="preserve">pudieron ser trasladados a otra locación y </w:t>
      </w:r>
      <w:r w:rsidR="006B5FA5">
        <w:rPr>
          <w:rFonts w:ascii="Arial" w:hAnsi="Arial" w:cs="Arial"/>
          <w:bCs/>
        </w:rPr>
        <w:t xml:space="preserve">que </w:t>
      </w:r>
      <w:r w:rsidR="00292F21" w:rsidRPr="00292F21">
        <w:rPr>
          <w:rFonts w:ascii="Arial" w:hAnsi="Arial" w:cs="Arial"/>
          <w:bCs/>
        </w:rPr>
        <w:t>no se exig</w:t>
      </w:r>
      <w:r w:rsidR="00ED0168">
        <w:rPr>
          <w:rFonts w:ascii="Arial" w:hAnsi="Arial" w:cs="Arial"/>
          <w:bCs/>
        </w:rPr>
        <w:t>ió</w:t>
      </w:r>
      <w:r w:rsidR="00292F21" w:rsidRPr="00292F21">
        <w:rPr>
          <w:rFonts w:ascii="Arial" w:hAnsi="Arial" w:cs="Arial"/>
          <w:bCs/>
        </w:rPr>
        <w:t xml:space="preserve"> que t</w:t>
      </w:r>
      <w:r w:rsidR="006B5FA5">
        <w:rPr>
          <w:rFonts w:ascii="Arial" w:hAnsi="Arial" w:cs="Arial"/>
          <w:bCs/>
        </w:rPr>
        <w:t xml:space="preserve">uvieran </w:t>
      </w:r>
      <w:r w:rsidR="00292F21" w:rsidRPr="00292F21">
        <w:rPr>
          <w:rFonts w:ascii="Arial" w:hAnsi="Arial" w:cs="Arial"/>
          <w:bCs/>
        </w:rPr>
        <w:t xml:space="preserve">correo electrónico, dado que el </w:t>
      </w:r>
      <w:r w:rsidR="006B5FA5">
        <w:rPr>
          <w:rFonts w:ascii="Arial" w:hAnsi="Arial" w:cs="Arial"/>
          <w:bCs/>
        </w:rPr>
        <w:t>t</w:t>
      </w:r>
      <w:r w:rsidR="00292F21" w:rsidRPr="00292F21">
        <w:rPr>
          <w:rFonts w:ascii="Arial" w:hAnsi="Arial" w:cs="Arial"/>
          <w:bCs/>
        </w:rPr>
        <w:t xml:space="preserve">ribunal ha recibido testimonios desde dispositivos móviles, </w:t>
      </w:r>
      <w:r w:rsidR="006B5FA5">
        <w:rPr>
          <w:rFonts w:ascii="Arial" w:hAnsi="Arial" w:cs="Arial"/>
          <w:bCs/>
        </w:rPr>
        <w:t xml:space="preserve">pero </w:t>
      </w:r>
      <w:r w:rsidR="00292F21" w:rsidRPr="00292F21">
        <w:rPr>
          <w:rFonts w:ascii="Arial" w:hAnsi="Arial" w:cs="Arial"/>
          <w:bCs/>
        </w:rPr>
        <w:t>siempre y cuando el deponente se conecte mediante el respectivo enlace e ingrese a la sala de audiencia virtual</w:t>
      </w:r>
      <w:r w:rsidR="006B5FA5">
        <w:rPr>
          <w:rFonts w:ascii="Arial" w:hAnsi="Arial" w:cs="Arial"/>
          <w:bCs/>
        </w:rPr>
        <w:t>, lo</w:t>
      </w:r>
      <w:r w:rsidR="0091209C">
        <w:rPr>
          <w:rFonts w:ascii="Arial" w:hAnsi="Arial" w:cs="Arial"/>
          <w:bCs/>
        </w:rPr>
        <w:t xml:space="preserve"> cual no</w:t>
      </w:r>
      <w:r w:rsidR="006B5FA5">
        <w:rPr>
          <w:rFonts w:ascii="Arial" w:hAnsi="Arial" w:cs="Arial"/>
          <w:bCs/>
        </w:rPr>
        <w:t xml:space="preserve"> ocurrió</w:t>
      </w:r>
      <w:r w:rsidR="00292F21">
        <w:rPr>
          <w:rFonts w:ascii="Arial" w:hAnsi="Arial" w:cs="Arial"/>
          <w:bCs/>
        </w:rPr>
        <w:t>. No obstante, afirmó que</w:t>
      </w:r>
      <w:r w:rsidR="00292F21" w:rsidRPr="00292F21">
        <w:rPr>
          <w:rFonts w:ascii="Arial" w:hAnsi="Arial" w:cs="Arial"/>
          <w:bCs/>
        </w:rPr>
        <w:t>, recibir el testimonio por «WhatsApp» con la intermediación de dos teléfonos celulares no garantiza la fidelidad e interacción con los declarantes y hace difícil obtener una comunicación directa y adecuada.</w:t>
      </w:r>
    </w:p>
    <w:p w14:paraId="64CEC7AA" w14:textId="7F40E09B" w:rsidR="0060181D" w:rsidRDefault="0060181D" w:rsidP="001D3B1D">
      <w:pPr>
        <w:ind w:right="51"/>
        <w:jc w:val="both"/>
        <w:rPr>
          <w:rFonts w:ascii="Arial" w:hAnsi="Arial" w:cs="Arial"/>
          <w:bCs/>
        </w:rPr>
      </w:pPr>
      <w:r>
        <w:rPr>
          <w:rFonts w:ascii="Arial" w:hAnsi="Arial" w:cs="Arial"/>
          <w:bCs/>
        </w:rPr>
        <w:t xml:space="preserve"> </w:t>
      </w:r>
    </w:p>
    <w:p w14:paraId="5F990BE3" w14:textId="79227382" w:rsidR="0060181D" w:rsidRDefault="007865AC" w:rsidP="001D3B1D">
      <w:pPr>
        <w:ind w:right="51"/>
        <w:jc w:val="both"/>
        <w:rPr>
          <w:rFonts w:ascii="Arial" w:hAnsi="Arial" w:cs="Arial"/>
          <w:bCs/>
        </w:rPr>
      </w:pPr>
      <w:r>
        <w:rPr>
          <w:rFonts w:ascii="Arial" w:hAnsi="Arial" w:cs="Arial"/>
          <w:bCs/>
        </w:rPr>
        <w:t>Contra la anterior decisión, la parte actora presento recurso de reposición y en subsidio apelación. El primer recurso fue despachado de manera desfavorable y en cuanto al segundo se concedió con el fin de que el Consejo de Estado resolviera la impugnación.</w:t>
      </w:r>
    </w:p>
    <w:p w14:paraId="5946E301" w14:textId="39B64B59" w:rsidR="007865AC" w:rsidRDefault="007865AC" w:rsidP="001D3B1D">
      <w:pPr>
        <w:ind w:right="51"/>
        <w:jc w:val="both"/>
        <w:rPr>
          <w:rFonts w:ascii="Arial" w:hAnsi="Arial" w:cs="Arial"/>
          <w:bCs/>
        </w:rPr>
      </w:pPr>
    </w:p>
    <w:p w14:paraId="21755865" w14:textId="56B41A97" w:rsidR="007865AC" w:rsidRDefault="007865AC" w:rsidP="001D3B1D">
      <w:pPr>
        <w:ind w:right="51"/>
        <w:jc w:val="both"/>
        <w:rPr>
          <w:rFonts w:ascii="Arial" w:hAnsi="Arial" w:cs="Arial"/>
          <w:bCs/>
        </w:rPr>
      </w:pPr>
      <w:r>
        <w:rPr>
          <w:rFonts w:ascii="Arial" w:hAnsi="Arial" w:cs="Arial"/>
          <w:bCs/>
        </w:rPr>
        <w:t xml:space="preserve">La Subsección </w:t>
      </w:r>
      <w:r w:rsidR="00625BB7">
        <w:rPr>
          <w:rFonts w:ascii="Arial" w:hAnsi="Arial" w:cs="Arial"/>
          <w:bCs/>
        </w:rPr>
        <w:t>B de la Sección Segunda del Consejo de Estado</w:t>
      </w:r>
      <w:r w:rsidR="00D97AF3">
        <w:rPr>
          <w:rFonts w:ascii="Arial" w:hAnsi="Arial" w:cs="Arial"/>
          <w:bCs/>
        </w:rPr>
        <w:t>, mediante auto del 8 de noviembre de 2022,</w:t>
      </w:r>
      <w:r w:rsidR="00625BB7">
        <w:rPr>
          <w:rFonts w:ascii="Arial" w:hAnsi="Arial" w:cs="Arial"/>
          <w:bCs/>
        </w:rPr>
        <w:t xml:space="preserve"> confirmó la decisión apelada que prescindió de los testimonios de los declarantes que no se hicieron presentes en la audiencia</w:t>
      </w:r>
      <w:r w:rsidR="001247AB">
        <w:rPr>
          <w:rFonts w:ascii="Arial" w:hAnsi="Arial" w:cs="Arial"/>
          <w:bCs/>
        </w:rPr>
        <w:t xml:space="preserve">, dado que </w:t>
      </w:r>
      <w:r w:rsidR="001247AB" w:rsidRPr="001247AB">
        <w:rPr>
          <w:rFonts w:ascii="Arial" w:hAnsi="Arial" w:cs="Arial"/>
          <w:bCs/>
        </w:rPr>
        <w:t>la modalidad sugerida por la demandante no garantizaba algún mínimo de idoneidad técnica para practicar los aludidos medios de convicción, tampoco permitía la relación directa del juzgador con los testigos, ni otorgaba seguridad en cuanto a la autenticidad de las declaraciones o la certeza de que aquellos no pudieran escucharse entre sí, aspectos que constituyen premisas básicas e imprescindibles de la praxis probatoria.</w:t>
      </w:r>
    </w:p>
    <w:p w14:paraId="2AAA996E" w14:textId="77777777" w:rsidR="007865AC" w:rsidRDefault="007865AC" w:rsidP="001D3B1D">
      <w:pPr>
        <w:ind w:right="51"/>
        <w:jc w:val="both"/>
        <w:rPr>
          <w:rFonts w:ascii="Arial" w:hAnsi="Arial" w:cs="Arial"/>
          <w:bCs/>
        </w:rPr>
      </w:pPr>
    </w:p>
    <w:p w14:paraId="3983847D" w14:textId="18FF3778" w:rsidR="00D97AF3" w:rsidRDefault="00467709" w:rsidP="00006090">
      <w:pPr>
        <w:ind w:right="51"/>
        <w:contextualSpacing/>
        <w:jc w:val="both"/>
        <w:rPr>
          <w:rFonts w:ascii="Arial" w:eastAsia="Arial" w:hAnsi="Arial" w:cs="Arial"/>
        </w:rPr>
      </w:pPr>
      <w:r>
        <w:rPr>
          <w:rFonts w:ascii="Arial" w:hAnsi="Arial" w:cs="Arial"/>
        </w:rPr>
        <w:t>Pues bien, l</w:t>
      </w:r>
      <w:r w:rsidR="00EE02A0">
        <w:rPr>
          <w:rFonts w:ascii="Arial" w:hAnsi="Arial" w:cs="Arial"/>
        </w:rPr>
        <w:t>a tutelante,</w:t>
      </w:r>
      <w:r w:rsidR="00006090">
        <w:rPr>
          <w:rFonts w:ascii="Arial" w:hAnsi="Arial" w:cs="Arial"/>
        </w:rPr>
        <w:t xml:space="preserve"> en su solicitud de amparo</w:t>
      </w:r>
      <w:r w:rsidR="00EE02A0">
        <w:rPr>
          <w:rFonts w:ascii="Arial" w:hAnsi="Arial" w:cs="Arial"/>
        </w:rPr>
        <w:t>,</w:t>
      </w:r>
      <w:r w:rsidR="00006090">
        <w:rPr>
          <w:rFonts w:ascii="Arial" w:hAnsi="Arial" w:cs="Arial"/>
        </w:rPr>
        <w:t xml:space="preserve"> arguyó que la </w:t>
      </w:r>
      <w:r w:rsidR="00D97AF3">
        <w:rPr>
          <w:rFonts w:ascii="Arial" w:hAnsi="Arial" w:cs="Arial"/>
        </w:rPr>
        <w:t xml:space="preserve">providencia cuestionada incurrió en </w:t>
      </w:r>
      <w:r w:rsidR="00D97AF3" w:rsidRPr="009764DB">
        <w:rPr>
          <w:rFonts w:ascii="Arial" w:eastAsia="Arial" w:hAnsi="Arial" w:cs="Arial"/>
        </w:rPr>
        <w:t xml:space="preserve">defecto </w:t>
      </w:r>
      <w:r w:rsidR="00D97AF3">
        <w:rPr>
          <w:rFonts w:ascii="Arial" w:eastAsia="Arial" w:hAnsi="Arial" w:cs="Arial"/>
        </w:rPr>
        <w:t>procedimental absoluto, defecto fáctico, defecto sustantivo, decisión sin motivación, desconocimiento del precedente constitucional y violación directa de la Constitución</w:t>
      </w:r>
      <w:r w:rsidR="002E18FD">
        <w:rPr>
          <w:rFonts w:ascii="Arial" w:eastAsia="Arial" w:hAnsi="Arial" w:cs="Arial"/>
        </w:rPr>
        <w:t>.</w:t>
      </w:r>
      <w:r w:rsidR="00653419">
        <w:rPr>
          <w:rFonts w:ascii="Arial" w:eastAsia="Arial" w:hAnsi="Arial" w:cs="Arial"/>
        </w:rPr>
        <w:t xml:space="preserve"> Sin embargo, </w:t>
      </w:r>
      <w:r w:rsidR="0091209C">
        <w:rPr>
          <w:rFonts w:ascii="Arial" w:eastAsia="Arial" w:hAnsi="Arial" w:cs="Arial"/>
        </w:rPr>
        <w:t>como</w:t>
      </w:r>
      <w:r w:rsidR="00653419">
        <w:rPr>
          <w:rFonts w:ascii="Arial" w:eastAsia="Arial" w:hAnsi="Arial" w:cs="Arial"/>
        </w:rPr>
        <w:t xml:space="preserve"> los argumentos esbozados por la señora Vélez Castro </w:t>
      </w:r>
      <w:r w:rsidR="00955874">
        <w:rPr>
          <w:rFonts w:ascii="Arial" w:eastAsia="Arial" w:hAnsi="Arial" w:cs="Arial"/>
        </w:rPr>
        <w:t xml:space="preserve">respecto de algunos defectos son coincidentes, se </w:t>
      </w:r>
      <w:r w:rsidR="0091209C">
        <w:rPr>
          <w:rFonts w:ascii="Arial" w:eastAsia="Arial" w:hAnsi="Arial" w:cs="Arial"/>
        </w:rPr>
        <w:t>estudiarán</w:t>
      </w:r>
      <w:r w:rsidR="00955874">
        <w:rPr>
          <w:rFonts w:ascii="Arial" w:eastAsia="Arial" w:hAnsi="Arial" w:cs="Arial"/>
        </w:rPr>
        <w:t xml:space="preserve"> de </w:t>
      </w:r>
      <w:r w:rsidR="0091209C">
        <w:rPr>
          <w:rFonts w:ascii="Arial" w:eastAsia="Arial" w:hAnsi="Arial" w:cs="Arial"/>
        </w:rPr>
        <w:t xml:space="preserve">manera conjunta. </w:t>
      </w:r>
    </w:p>
    <w:p w14:paraId="505FBAB3" w14:textId="038A3E92" w:rsidR="00955874" w:rsidRDefault="00955874" w:rsidP="00006090">
      <w:pPr>
        <w:ind w:right="51"/>
        <w:contextualSpacing/>
        <w:jc w:val="both"/>
        <w:rPr>
          <w:rFonts w:ascii="Arial" w:eastAsia="Arial" w:hAnsi="Arial" w:cs="Arial"/>
        </w:rPr>
      </w:pPr>
    </w:p>
    <w:p w14:paraId="698F1CD6" w14:textId="50D31EA0" w:rsidR="00955874" w:rsidRDefault="00955874" w:rsidP="00006090">
      <w:pPr>
        <w:ind w:right="51"/>
        <w:contextualSpacing/>
        <w:jc w:val="both"/>
        <w:rPr>
          <w:rFonts w:ascii="Arial" w:eastAsia="Arial" w:hAnsi="Arial" w:cs="Arial"/>
        </w:rPr>
      </w:pPr>
      <w:r>
        <w:rPr>
          <w:rFonts w:ascii="Arial" w:eastAsia="Arial" w:hAnsi="Arial" w:cs="Arial"/>
        </w:rPr>
        <w:t>(i)</w:t>
      </w:r>
      <w:r w:rsidR="00FF3D54">
        <w:rPr>
          <w:rFonts w:ascii="Arial" w:eastAsia="Arial" w:hAnsi="Arial" w:cs="Arial"/>
        </w:rPr>
        <w:t xml:space="preserve"> </w:t>
      </w:r>
      <w:r w:rsidR="0091209C">
        <w:rPr>
          <w:rFonts w:ascii="Arial" w:eastAsia="Arial" w:hAnsi="Arial" w:cs="Arial"/>
        </w:rPr>
        <w:t xml:space="preserve">Según la actora Blanca Amparo Vélez Castro, </w:t>
      </w:r>
      <w:r w:rsidR="00FF3D54">
        <w:rPr>
          <w:rFonts w:ascii="Arial" w:eastAsia="Arial" w:hAnsi="Arial" w:cs="Arial"/>
        </w:rPr>
        <w:t xml:space="preserve">la decisión enjuiciada </w:t>
      </w:r>
      <w:r w:rsidR="003F2710">
        <w:rPr>
          <w:rFonts w:ascii="Arial" w:eastAsia="Arial" w:hAnsi="Arial" w:cs="Arial"/>
        </w:rPr>
        <w:t>incurrió en</w:t>
      </w:r>
      <w:r w:rsidR="002A0EA3">
        <w:rPr>
          <w:rFonts w:ascii="Arial" w:eastAsia="Arial" w:hAnsi="Arial" w:cs="Arial"/>
        </w:rPr>
        <w:t xml:space="preserve"> </w:t>
      </w:r>
      <w:r w:rsidR="002A0EA3">
        <w:rPr>
          <w:rFonts w:ascii="Arial" w:eastAsia="Arial" w:hAnsi="Arial" w:cs="Arial"/>
          <w:b/>
          <w:bCs/>
        </w:rPr>
        <w:t>defecto procedimental absoluto, fáctico</w:t>
      </w:r>
      <w:r w:rsidR="00425ED2">
        <w:rPr>
          <w:rFonts w:ascii="Arial" w:eastAsia="Arial" w:hAnsi="Arial" w:cs="Arial"/>
          <w:b/>
          <w:bCs/>
        </w:rPr>
        <w:t>,</w:t>
      </w:r>
      <w:r w:rsidR="002A0EA3">
        <w:rPr>
          <w:rFonts w:ascii="Arial" w:eastAsia="Arial" w:hAnsi="Arial" w:cs="Arial"/>
          <w:b/>
          <w:bCs/>
        </w:rPr>
        <w:t xml:space="preserve"> sustantivo</w:t>
      </w:r>
      <w:r w:rsidR="00425ED2">
        <w:rPr>
          <w:rFonts w:ascii="Arial" w:eastAsia="Arial" w:hAnsi="Arial" w:cs="Arial"/>
          <w:b/>
          <w:bCs/>
        </w:rPr>
        <w:t xml:space="preserve"> y decisión sin motivación</w:t>
      </w:r>
      <w:r w:rsidR="002A0EA3">
        <w:rPr>
          <w:rFonts w:ascii="Arial" w:eastAsia="Arial" w:hAnsi="Arial" w:cs="Arial"/>
        </w:rPr>
        <w:t xml:space="preserve"> </w:t>
      </w:r>
      <w:r w:rsidR="007D1884">
        <w:rPr>
          <w:rFonts w:ascii="Arial" w:eastAsia="Arial" w:hAnsi="Arial" w:cs="Arial"/>
        </w:rPr>
        <w:t xml:space="preserve">porque </w:t>
      </w:r>
      <w:r w:rsidR="003F2710">
        <w:rPr>
          <w:rFonts w:ascii="Arial" w:eastAsia="Arial" w:hAnsi="Arial" w:cs="Arial"/>
        </w:rPr>
        <w:t>la no recepción de la prueba por no tener copia de las cédulas de los deponentes ni la dirección electrónica, no encuentra sustento en ninguna norma procesal</w:t>
      </w:r>
      <w:r w:rsidR="003F2000">
        <w:rPr>
          <w:rFonts w:ascii="Arial" w:eastAsia="Arial" w:hAnsi="Arial" w:cs="Arial"/>
        </w:rPr>
        <w:t xml:space="preserve">. </w:t>
      </w:r>
      <w:r w:rsidR="00352D23">
        <w:rPr>
          <w:rFonts w:ascii="Arial" w:eastAsia="Arial" w:hAnsi="Arial" w:cs="Arial"/>
        </w:rPr>
        <w:t>Afirmó</w:t>
      </w:r>
      <w:r w:rsidR="003F2000">
        <w:rPr>
          <w:rFonts w:ascii="Arial" w:eastAsia="Arial" w:hAnsi="Arial" w:cs="Arial"/>
        </w:rPr>
        <w:t xml:space="preserve"> que </w:t>
      </w:r>
      <w:r w:rsidR="003F2710">
        <w:rPr>
          <w:rFonts w:ascii="Arial" w:eastAsia="Arial" w:hAnsi="Arial" w:cs="Arial"/>
        </w:rPr>
        <w:t xml:space="preserve">además de lo anterior, la autoridad judicial, </w:t>
      </w:r>
      <w:r w:rsidR="003F2000" w:rsidRPr="00352D23">
        <w:rPr>
          <w:rFonts w:ascii="Arial" w:eastAsia="Arial" w:hAnsi="Arial" w:cs="Arial"/>
        </w:rPr>
        <w:t>no tuvo en cuenta</w:t>
      </w:r>
      <w:r w:rsidR="003F2000">
        <w:rPr>
          <w:rFonts w:ascii="Arial" w:eastAsia="Arial" w:hAnsi="Arial" w:cs="Arial"/>
        </w:rPr>
        <w:t xml:space="preserve"> </w:t>
      </w:r>
      <w:r w:rsidR="003F2710">
        <w:rPr>
          <w:rFonts w:ascii="Arial" w:eastAsia="Arial" w:hAnsi="Arial" w:cs="Arial"/>
        </w:rPr>
        <w:t xml:space="preserve">la situación especial que existía en ese momento derivada de </w:t>
      </w:r>
      <w:r w:rsidR="003F2000">
        <w:rPr>
          <w:rFonts w:ascii="Arial" w:eastAsia="Arial" w:hAnsi="Arial" w:cs="Arial"/>
        </w:rPr>
        <w:t>la emergencia sanitaria y que la audiencia se realizaba de forma virtual.</w:t>
      </w:r>
      <w:r w:rsidR="00616A9F">
        <w:rPr>
          <w:rFonts w:ascii="Arial" w:eastAsia="Arial" w:hAnsi="Arial" w:cs="Arial"/>
        </w:rPr>
        <w:t xml:space="preserve"> Adicionalmente, advirtió que </w:t>
      </w:r>
      <w:r w:rsidR="00352D23">
        <w:rPr>
          <w:rFonts w:ascii="Arial" w:eastAsia="Arial" w:hAnsi="Arial" w:cs="Arial"/>
        </w:rPr>
        <w:t xml:space="preserve">no se consideró </w:t>
      </w:r>
      <w:r w:rsidR="00616A9F">
        <w:rPr>
          <w:rFonts w:ascii="Arial" w:eastAsia="Arial" w:hAnsi="Arial" w:cs="Arial"/>
        </w:rPr>
        <w:t>el lugar de residencia de los testigos, así como la realidad de que por ser un sitio que no está cerca del casco urbano no cuenta con adecuada señal o medios tecnológicos.</w:t>
      </w:r>
      <w:r w:rsidR="00425ED2">
        <w:rPr>
          <w:rFonts w:ascii="Arial" w:eastAsia="Arial" w:hAnsi="Arial" w:cs="Arial"/>
        </w:rPr>
        <w:t xml:space="preserve"> Por último, in</w:t>
      </w:r>
      <w:r w:rsidR="003F2710">
        <w:rPr>
          <w:rFonts w:ascii="Arial" w:eastAsia="Arial" w:hAnsi="Arial" w:cs="Arial"/>
        </w:rPr>
        <w:t xml:space="preserve">sistió </w:t>
      </w:r>
      <w:r w:rsidR="00425ED2">
        <w:rPr>
          <w:rFonts w:ascii="Arial" w:eastAsia="Arial" w:hAnsi="Arial" w:cs="Arial"/>
        </w:rPr>
        <w:t>que la decisión no se fundamentó en ninguna norma del CGP.</w:t>
      </w:r>
    </w:p>
    <w:p w14:paraId="2778EDF7" w14:textId="77777777" w:rsidR="00425ED2" w:rsidRPr="002A0EA3" w:rsidRDefault="00425ED2" w:rsidP="00006090">
      <w:pPr>
        <w:ind w:right="51"/>
        <w:contextualSpacing/>
        <w:jc w:val="both"/>
        <w:rPr>
          <w:rFonts w:ascii="Arial" w:eastAsia="Arial" w:hAnsi="Arial" w:cs="Arial"/>
        </w:rPr>
      </w:pPr>
    </w:p>
    <w:p w14:paraId="0B5CD2A5" w14:textId="07340973" w:rsidR="00137585" w:rsidRDefault="003F2710" w:rsidP="00006090">
      <w:pPr>
        <w:ind w:right="51"/>
        <w:contextualSpacing/>
        <w:jc w:val="both"/>
        <w:rPr>
          <w:rFonts w:ascii="Arial" w:hAnsi="Arial" w:cs="Arial"/>
        </w:rPr>
      </w:pPr>
      <w:r>
        <w:rPr>
          <w:rFonts w:ascii="Arial" w:hAnsi="Arial" w:cs="Arial"/>
        </w:rPr>
        <w:t xml:space="preserve">Revisado el contenido de la providencia censurada </w:t>
      </w:r>
      <w:r w:rsidR="00425ED2">
        <w:rPr>
          <w:rFonts w:ascii="Arial" w:hAnsi="Arial" w:cs="Arial"/>
        </w:rPr>
        <w:t>y vistos los argumentos esbozados por el accionante, la Sala denota que estos parten de unas premisas falsas, pues</w:t>
      </w:r>
      <w:r w:rsidR="006D786D">
        <w:rPr>
          <w:rFonts w:ascii="Arial" w:hAnsi="Arial" w:cs="Arial"/>
        </w:rPr>
        <w:t xml:space="preserve"> la señora Vélez Castro</w:t>
      </w:r>
      <w:r w:rsidR="00425ED2">
        <w:rPr>
          <w:rFonts w:ascii="Arial" w:hAnsi="Arial" w:cs="Arial"/>
        </w:rPr>
        <w:t xml:space="preserve"> considera que </w:t>
      </w:r>
      <w:r w:rsidR="00E02B3E">
        <w:rPr>
          <w:rFonts w:ascii="Arial" w:hAnsi="Arial" w:cs="Arial"/>
        </w:rPr>
        <w:t>la decisión de prescindir de los testimonios se basó en la falta de los documentos y en la carencia de aportar los correos electrónicos</w:t>
      </w:r>
      <w:r w:rsidR="00F15151">
        <w:rPr>
          <w:rFonts w:ascii="Arial" w:hAnsi="Arial" w:cs="Arial"/>
        </w:rPr>
        <w:t>, sumado a la falta de aplicación normativa del CGP</w:t>
      </w:r>
      <w:r w:rsidR="00E02B3E">
        <w:rPr>
          <w:rFonts w:ascii="Arial" w:hAnsi="Arial" w:cs="Arial"/>
        </w:rPr>
        <w:t>.</w:t>
      </w:r>
    </w:p>
    <w:p w14:paraId="15342FF9" w14:textId="0E210DF2" w:rsidR="00E02B3E" w:rsidRDefault="00E02B3E" w:rsidP="00006090">
      <w:pPr>
        <w:ind w:right="51"/>
        <w:contextualSpacing/>
        <w:jc w:val="both"/>
        <w:rPr>
          <w:rFonts w:ascii="Arial" w:hAnsi="Arial" w:cs="Arial"/>
        </w:rPr>
      </w:pPr>
    </w:p>
    <w:p w14:paraId="2520B004" w14:textId="06CF771A" w:rsidR="00E02B3E" w:rsidRDefault="00E02B3E" w:rsidP="00006090">
      <w:pPr>
        <w:ind w:right="51"/>
        <w:contextualSpacing/>
        <w:jc w:val="both"/>
        <w:rPr>
          <w:rFonts w:ascii="Arial" w:hAnsi="Arial" w:cs="Arial"/>
        </w:rPr>
      </w:pPr>
      <w:r>
        <w:rPr>
          <w:rFonts w:ascii="Arial" w:hAnsi="Arial" w:cs="Arial"/>
        </w:rPr>
        <w:t xml:space="preserve">En este punto, </w:t>
      </w:r>
      <w:r w:rsidR="006D786D">
        <w:rPr>
          <w:rFonts w:ascii="Arial" w:hAnsi="Arial" w:cs="Arial"/>
        </w:rPr>
        <w:t>se hace necesario traer a colación los argumentos expuestos por la autoridad acciona</w:t>
      </w:r>
      <w:r w:rsidR="00F15151">
        <w:rPr>
          <w:rFonts w:ascii="Arial" w:hAnsi="Arial" w:cs="Arial"/>
        </w:rPr>
        <w:t>da, pues en la providencia del 8 de noviembre de 2022 se sostuvo que:</w:t>
      </w:r>
    </w:p>
    <w:p w14:paraId="6018DF89" w14:textId="3544795B" w:rsidR="00F15151" w:rsidRDefault="00F15151" w:rsidP="00006090">
      <w:pPr>
        <w:ind w:right="51"/>
        <w:contextualSpacing/>
        <w:jc w:val="both"/>
        <w:rPr>
          <w:rFonts w:ascii="Arial" w:hAnsi="Arial" w:cs="Arial"/>
        </w:rPr>
      </w:pPr>
    </w:p>
    <w:p w14:paraId="65F86B74" w14:textId="7706307B" w:rsidR="00F15151" w:rsidRPr="00F15151" w:rsidRDefault="00F15151" w:rsidP="00C718D9">
      <w:pPr>
        <w:ind w:left="567"/>
        <w:contextualSpacing/>
        <w:jc w:val="both"/>
        <w:rPr>
          <w:rFonts w:ascii="Arial" w:hAnsi="Arial" w:cs="Arial"/>
          <w:sz w:val="22"/>
          <w:szCs w:val="22"/>
        </w:rPr>
      </w:pPr>
      <w:r>
        <w:rPr>
          <w:rFonts w:ascii="Arial" w:hAnsi="Arial" w:cs="Arial"/>
          <w:sz w:val="22"/>
          <w:szCs w:val="22"/>
        </w:rPr>
        <w:t>“</w:t>
      </w:r>
      <w:r w:rsidRPr="00F15151">
        <w:rPr>
          <w:rFonts w:ascii="Arial" w:hAnsi="Arial" w:cs="Arial"/>
          <w:sz w:val="22"/>
          <w:szCs w:val="22"/>
        </w:rPr>
        <w:t xml:space="preserve">Conforme al artículo 211 del CPACA, la práctica probatoria en la jurisdicción contencioso-administrativa se rige en lo no regulado en esa obra por las normas del Código General del Proceso (CGP). </w:t>
      </w:r>
    </w:p>
    <w:p w14:paraId="183A06F2" w14:textId="77777777" w:rsidR="00F15151" w:rsidRPr="00F15151" w:rsidRDefault="00F15151" w:rsidP="00F15151">
      <w:pPr>
        <w:ind w:left="567" w:right="51"/>
        <w:contextualSpacing/>
        <w:jc w:val="both"/>
        <w:rPr>
          <w:rFonts w:ascii="Arial" w:hAnsi="Arial" w:cs="Arial"/>
          <w:sz w:val="22"/>
          <w:szCs w:val="22"/>
        </w:rPr>
      </w:pPr>
    </w:p>
    <w:p w14:paraId="00454CBB" w14:textId="2AA415D2" w:rsidR="005D6EE7" w:rsidRDefault="00F15151" w:rsidP="00C718D9">
      <w:pPr>
        <w:ind w:left="567"/>
        <w:contextualSpacing/>
        <w:jc w:val="both"/>
        <w:rPr>
          <w:rFonts w:ascii="Arial" w:hAnsi="Arial" w:cs="Arial"/>
          <w:sz w:val="22"/>
          <w:szCs w:val="22"/>
        </w:rPr>
      </w:pPr>
      <w:r w:rsidRPr="00F15151">
        <w:rPr>
          <w:rFonts w:ascii="Arial" w:hAnsi="Arial" w:cs="Arial"/>
          <w:sz w:val="22"/>
          <w:szCs w:val="22"/>
        </w:rPr>
        <w:t>En lo concerniente a la declaración de terceros, los artículos 217 y 218 del CGP preceptúan que «[l]a parte que haya solicitado el testimonio deberá procurar la comparecencia del testigo […]» y, sin perjuicio de las facultades oficiosas de los jueces en materia de pruebas, «se prescindirá del testimonio de quien no comparezca». Este último artículo también prevé que «[s]i el interesado lo solicita y el testigo se encuentra en el municipio, el juez podrá ordenar a la policía la conducción del testigo a la audiencia si fuere factible […]»</w:t>
      </w:r>
    </w:p>
    <w:p w14:paraId="73E5D2C2" w14:textId="77777777" w:rsidR="00F5058F" w:rsidRDefault="00F5058F" w:rsidP="00F15151">
      <w:pPr>
        <w:ind w:left="567" w:right="51"/>
        <w:contextualSpacing/>
        <w:jc w:val="both"/>
        <w:rPr>
          <w:rFonts w:ascii="Arial" w:hAnsi="Arial" w:cs="Arial"/>
          <w:sz w:val="22"/>
          <w:szCs w:val="22"/>
        </w:rPr>
      </w:pPr>
    </w:p>
    <w:p w14:paraId="17FC4DA8" w14:textId="22669093" w:rsidR="005D6EE7" w:rsidRDefault="005D6EE7" w:rsidP="00F15151">
      <w:pPr>
        <w:ind w:left="567" w:right="51"/>
        <w:contextualSpacing/>
        <w:jc w:val="both"/>
        <w:rPr>
          <w:rFonts w:ascii="Arial" w:hAnsi="Arial" w:cs="Arial"/>
          <w:sz w:val="22"/>
          <w:szCs w:val="22"/>
        </w:rPr>
      </w:pPr>
      <w:r>
        <w:rPr>
          <w:rFonts w:ascii="Arial" w:hAnsi="Arial" w:cs="Arial"/>
          <w:sz w:val="22"/>
          <w:szCs w:val="22"/>
        </w:rPr>
        <w:t>(…)</w:t>
      </w:r>
    </w:p>
    <w:p w14:paraId="53C509E7" w14:textId="77777777" w:rsidR="00F5058F" w:rsidRDefault="00F5058F" w:rsidP="00F15151">
      <w:pPr>
        <w:ind w:left="567" w:right="51"/>
        <w:contextualSpacing/>
        <w:jc w:val="both"/>
        <w:rPr>
          <w:rFonts w:ascii="Arial" w:hAnsi="Arial" w:cs="Arial"/>
          <w:sz w:val="22"/>
          <w:szCs w:val="22"/>
        </w:rPr>
      </w:pPr>
    </w:p>
    <w:p w14:paraId="59D09723" w14:textId="77777777" w:rsidR="00F5058F" w:rsidRDefault="005D6EE7" w:rsidP="00C718D9">
      <w:pPr>
        <w:ind w:left="567"/>
        <w:contextualSpacing/>
        <w:jc w:val="both"/>
        <w:rPr>
          <w:rFonts w:ascii="Arial" w:hAnsi="Arial" w:cs="Arial"/>
          <w:sz w:val="22"/>
          <w:szCs w:val="22"/>
        </w:rPr>
      </w:pPr>
      <w:r w:rsidRPr="005D6EE7">
        <w:rPr>
          <w:rFonts w:ascii="Arial" w:hAnsi="Arial" w:cs="Arial"/>
          <w:sz w:val="22"/>
          <w:szCs w:val="22"/>
        </w:rPr>
        <w:t>Al respecto, el despacho considera que la recepción de testimonios debe ser adelantada bajo los términos constitucionales, legales y reglamentarios expuestos con antelación, cuya observancia garantizan la efectividad de los derechos de acceso a la administración de justicia y debido proceso de los contendientes, y hacen materialmente posible el imperio armónico y concordante de los principios de oralidad, igualdad, concentración e inmediación propios de la esencia de nuestro sistema procesal.</w:t>
      </w:r>
    </w:p>
    <w:p w14:paraId="72F754FE" w14:textId="55C74C8D" w:rsidR="005D6EE7" w:rsidRPr="005D6EE7" w:rsidRDefault="005D6EE7" w:rsidP="00C718D9">
      <w:pPr>
        <w:ind w:left="567"/>
        <w:contextualSpacing/>
        <w:jc w:val="both"/>
        <w:rPr>
          <w:rFonts w:ascii="Arial" w:hAnsi="Arial" w:cs="Arial"/>
          <w:sz w:val="22"/>
          <w:szCs w:val="22"/>
        </w:rPr>
      </w:pPr>
      <w:r w:rsidRPr="005D6EE7">
        <w:rPr>
          <w:rFonts w:ascii="Arial" w:hAnsi="Arial" w:cs="Arial"/>
          <w:sz w:val="22"/>
          <w:szCs w:val="22"/>
        </w:rPr>
        <w:t xml:space="preserve"> </w:t>
      </w:r>
    </w:p>
    <w:p w14:paraId="30BFB7B9" w14:textId="79A7FBA6" w:rsidR="005D6EE7" w:rsidRPr="005D6EE7" w:rsidRDefault="005D6EE7" w:rsidP="00C718D9">
      <w:pPr>
        <w:ind w:left="567"/>
        <w:contextualSpacing/>
        <w:jc w:val="both"/>
        <w:rPr>
          <w:rFonts w:ascii="Arial" w:hAnsi="Arial" w:cs="Arial"/>
          <w:sz w:val="22"/>
          <w:szCs w:val="22"/>
        </w:rPr>
      </w:pPr>
      <w:r w:rsidRPr="005D6EE7">
        <w:rPr>
          <w:rFonts w:ascii="Arial" w:hAnsi="Arial" w:cs="Arial"/>
          <w:sz w:val="22"/>
          <w:szCs w:val="22"/>
        </w:rPr>
        <w:t xml:space="preserve">En la presente controversia el Tribunal informó, con suficiente antelación, la herramienta tecnológica, modalidad, fecha y hora en las cuales se adelantaría la audiencia de pruebas, decisión que, de acuerdo con los artículos 186 del CPACA y 217 del CGP, le otorgaba a la demandante el deber de procurar la asistencia de sus testigos a la diligencia, aunque no de cualquier manera, sino a través de la plataforma «Microsoft </w:t>
      </w:r>
      <w:proofErr w:type="spellStart"/>
      <w:r w:rsidRPr="005D6EE7">
        <w:rPr>
          <w:rFonts w:ascii="Arial" w:hAnsi="Arial" w:cs="Arial"/>
          <w:sz w:val="22"/>
          <w:szCs w:val="22"/>
        </w:rPr>
        <w:t>Teams</w:t>
      </w:r>
      <w:proofErr w:type="spellEnd"/>
      <w:r w:rsidRPr="005D6EE7">
        <w:rPr>
          <w:rFonts w:ascii="Arial" w:hAnsi="Arial" w:cs="Arial"/>
          <w:sz w:val="22"/>
          <w:szCs w:val="22"/>
        </w:rPr>
        <w:t>», vía institucional prevista por el Consejo Superior de la Judicatura y disponible para ese fin. Por tanto, ante la ausencia de los testigos en la sala virtual conformada, el a quo aplicó con acierto la consecuencia establecida por el artículo 218 (numeral 1) del CGP, norma que lo autoriza, de acuerdo con su reconocida autonomía, a prescindir de aquellas declaraciones”</w:t>
      </w:r>
      <w:r w:rsidR="001140CC">
        <w:rPr>
          <w:rStyle w:val="Refdenotaalpie"/>
          <w:rFonts w:ascii="Arial" w:hAnsi="Arial" w:cs="Arial"/>
          <w:sz w:val="22"/>
          <w:szCs w:val="22"/>
        </w:rPr>
        <w:footnoteReference w:id="16"/>
      </w:r>
      <w:r w:rsidRPr="005D6EE7">
        <w:rPr>
          <w:rFonts w:ascii="Arial" w:hAnsi="Arial" w:cs="Arial"/>
          <w:sz w:val="22"/>
          <w:szCs w:val="22"/>
        </w:rPr>
        <w:t>.</w:t>
      </w:r>
    </w:p>
    <w:p w14:paraId="237FE915" w14:textId="7D1D8645" w:rsidR="00F15151" w:rsidRPr="005D6EE7" w:rsidRDefault="00F15151" w:rsidP="00006090">
      <w:pPr>
        <w:ind w:right="51"/>
        <w:contextualSpacing/>
        <w:jc w:val="both"/>
        <w:rPr>
          <w:rFonts w:ascii="Arial" w:hAnsi="Arial" w:cs="Arial"/>
          <w:sz w:val="22"/>
          <w:szCs w:val="22"/>
        </w:rPr>
      </w:pPr>
    </w:p>
    <w:p w14:paraId="70B4F562" w14:textId="18B1F45F" w:rsidR="00F15151" w:rsidRDefault="00F15151" w:rsidP="00006090">
      <w:pPr>
        <w:ind w:right="51"/>
        <w:contextualSpacing/>
        <w:jc w:val="both"/>
        <w:rPr>
          <w:rFonts w:ascii="Arial" w:hAnsi="Arial" w:cs="Arial"/>
        </w:rPr>
      </w:pPr>
      <w:r>
        <w:rPr>
          <w:rFonts w:ascii="Arial" w:hAnsi="Arial" w:cs="Arial"/>
        </w:rPr>
        <w:t>Pues</w:t>
      </w:r>
      <w:r w:rsidR="005D6EE7">
        <w:rPr>
          <w:rFonts w:ascii="Arial" w:hAnsi="Arial" w:cs="Arial"/>
        </w:rPr>
        <w:t xml:space="preserve"> bien, de lo citado se observa que </w:t>
      </w:r>
      <w:r w:rsidR="00BB76C5">
        <w:rPr>
          <w:rFonts w:ascii="Arial" w:hAnsi="Arial" w:cs="Arial"/>
        </w:rPr>
        <w:t xml:space="preserve">el argumento central </w:t>
      </w:r>
      <w:r w:rsidR="00C718D9">
        <w:rPr>
          <w:rFonts w:ascii="Arial" w:hAnsi="Arial" w:cs="Arial"/>
        </w:rPr>
        <w:t xml:space="preserve">de </w:t>
      </w:r>
      <w:r w:rsidR="00BB76C5">
        <w:rPr>
          <w:rFonts w:ascii="Arial" w:hAnsi="Arial" w:cs="Arial"/>
        </w:rPr>
        <w:t>la decisión</w:t>
      </w:r>
      <w:r w:rsidR="00C718D9">
        <w:rPr>
          <w:rFonts w:ascii="Arial" w:hAnsi="Arial" w:cs="Arial"/>
        </w:rPr>
        <w:t xml:space="preserve"> de prescindir de l</w:t>
      </w:r>
      <w:r w:rsidR="00C85132">
        <w:rPr>
          <w:rFonts w:ascii="Arial" w:hAnsi="Arial" w:cs="Arial"/>
        </w:rPr>
        <w:t>a prueba</w:t>
      </w:r>
      <w:r w:rsidR="00BB76C5">
        <w:rPr>
          <w:rFonts w:ascii="Arial" w:hAnsi="Arial" w:cs="Arial"/>
        </w:rPr>
        <w:t xml:space="preserve">, fue la no comparecencia de los testigos en los términos solicitados por el juez natural, por lo tanto, </w:t>
      </w:r>
      <w:r w:rsidR="005D6EE7">
        <w:rPr>
          <w:rFonts w:ascii="Arial" w:hAnsi="Arial" w:cs="Arial"/>
        </w:rPr>
        <w:t xml:space="preserve">lo esbozado por la parte accionante al argumentar los </w:t>
      </w:r>
      <w:r w:rsidR="00BB76C5">
        <w:rPr>
          <w:rFonts w:ascii="Arial" w:hAnsi="Arial" w:cs="Arial"/>
        </w:rPr>
        <w:t xml:space="preserve">defectos, no guarda relación alguna con la </w:t>
      </w:r>
      <w:r w:rsidR="00BB76C5" w:rsidRPr="00BB76C5">
        <w:rPr>
          <w:rFonts w:ascii="Arial" w:hAnsi="Arial" w:cs="Arial"/>
          <w:i/>
          <w:iCs/>
        </w:rPr>
        <w:t xml:space="preserve">ratio </w:t>
      </w:r>
      <w:proofErr w:type="spellStart"/>
      <w:r w:rsidR="00BB76C5" w:rsidRPr="00BB76C5">
        <w:rPr>
          <w:rFonts w:ascii="Arial" w:hAnsi="Arial" w:cs="Arial"/>
          <w:i/>
          <w:iCs/>
        </w:rPr>
        <w:t>decidendi</w:t>
      </w:r>
      <w:proofErr w:type="spellEnd"/>
      <w:r w:rsidR="00BB76C5">
        <w:rPr>
          <w:rFonts w:ascii="Arial" w:hAnsi="Arial" w:cs="Arial"/>
        </w:rPr>
        <w:t xml:space="preserve">, por lo que </w:t>
      </w:r>
      <w:r w:rsidR="003E08BB">
        <w:rPr>
          <w:rFonts w:ascii="Arial" w:hAnsi="Arial" w:cs="Arial"/>
        </w:rPr>
        <w:t xml:space="preserve">se hace imposible estudiar los cargos presentados, </w:t>
      </w:r>
      <w:r w:rsidR="00C85132">
        <w:rPr>
          <w:rFonts w:ascii="Arial" w:hAnsi="Arial" w:cs="Arial"/>
        </w:rPr>
        <w:t>dado que</w:t>
      </w:r>
      <w:r w:rsidR="003E08BB">
        <w:rPr>
          <w:rFonts w:ascii="Arial" w:hAnsi="Arial" w:cs="Arial"/>
        </w:rPr>
        <w:t xml:space="preserve"> lo que se vislumbra es una mera inconformidad de la accionante con la decisión, tanto así que</w:t>
      </w:r>
      <w:r w:rsidR="00C85132">
        <w:rPr>
          <w:rFonts w:ascii="Arial" w:hAnsi="Arial" w:cs="Arial"/>
        </w:rPr>
        <w:t xml:space="preserve"> se denota que</w:t>
      </w:r>
      <w:r w:rsidR="003E08BB">
        <w:rPr>
          <w:rFonts w:ascii="Arial" w:hAnsi="Arial" w:cs="Arial"/>
        </w:rPr>
        <w:t xml:space="preserve"> echa de menos las consideraciones de la providencia.</w:t>
      </w:r>
    </w:p>
    <w:p w14:paraId="6E07D02C" w14:textId="3CCA1CB9" w:rsidR="00F15151" w:rsidRDefault="00F15151" w:rsidP="00006090">
      <w:pPr>
        <w:ind w:right="51"/>
        <w:contextualSpacing/>
        <w:jc w:val="both"/>
        <w:rPr>
          <w:rFonts w:ascii="Arial" w:hAnsi="Arial" w:cs="Arial"/>
        </w:rPr>
      </w:pPr>
    </w:p>
    <w:p w14:paraId="5531C57E" w14:textId="750BE4F3" w:rsidR="00006090" w:rsidRPr="007A7B36" w:rsidRDefault="00006090" w:rsidP="00006090">
      <w:pPr>
        <w:jc w:val="both"/>
        <w:rPr>
          <w:rFonts w:ascii="Arial" w:hAnsi="Arial" w:cs="Arial"/>
        </w:rPr>
      </w:pPr>
      <w:r w:rsidRPr="007A7B36">
        <w:rPr>
          <w:rFonts w:ascii="Arial" w:hAnsi="Arial" w:cs="Arial"/>
          <w:bCs/>
        </w:rPr>
        <w:t xml:space="preserve">Ahora, para efectos de analizar el defecto fáctico alegado por </w:t>
      </w:r>
      <w:r w:rsidR="003E08BB">
        <w:rPr>
          <w:rFonts w:ascii="Arial" w:hAnsi="Arial" w:cs="Arial"/>
          <w:bCs/>
        </w:rPr>
        <w:t>la a</w:t>
      </w:r>
      <w:r w:rsidR="00F5058F">
        <w:rPr>
          <w:rFonts w:ascii="Arial" w:hAnsi="Arial" w:cs="Arial"/>
          <w:bCs/>
        </w:rPr>
        <w:t>c</w:t>
      </w:r>
      <w:r w:rsidR="003E08BB">
        <w:rPr>
          <w:rFonts w:ascii="Arial" w:hAnsi="Arial" w:cs="Arial"/>
          <w:bCs/>
        </w:rPr>
        <w:t>cionante</w:t>
      </w:r>
      <w:r w:rsidRPr="007A7B36">
        <w:rPr>
          <w:rFonts w:ascii="Arial" w:hAnsi="Arial" w:cs="Arial"/>
          <w:bCs/>
        </w:rPr>
        <w:t xml:space="preserve">, es preciso tener en cuenta que la Corte Constitucional ha </w:t>
      </w:r>
      <w:r w:rsidR="003F2710">
        <w:rPr>
          <w:rFonts w:ascii="Arial" w:hAnsi="Arial" w:cs="Arial"/>
          <w:bCs/>
        </w:rPr>
        <w:t xml:space="preserve">concluido </w:t>
      </w:r>
      <w:r w:rsidRPr="007A7B36">
        <w:rPr>
          <w:rFonts w:ascii="Arial" w:hAnsi="Arial" w:cs="Arial"/>
          <w:bCs/>
        </w:rPr>
        <w:t xml:space="preserve">que </w:t>
      </w:r>
      <w:r w:rsidR="00C85132">
        <w:rPr>
          <w:rFonts w:ascii="Arial" w:hAnsi="Arial" w:cs="Arial"/>
          <w:bCs/>
        </w:rPr>
        <w:t>este</w:t>
      </w:r>
      <w:r w:rsidRPr="007A7B36">
        <w:rPr>
          <w:rFonts w:ascii="Arial" w:hAnsi="Arial" w:cs="Arial"/>
          <w:bCs/>
        </w:rPr>
        <w:t xml:space="preserve"> se presenta cuando “resulta evidente que el apoyo probatorio en que se basó el juez para aplicar una determinada norma es absolutamente inadecuado (...)”</w:t>
      </w:r>
      <w:r w:rsidRPr="007A7B36">
        <w:rPr>
          <w:rFonts w:ascii="Arial" w:hAnsi="Arial" w:cs="Arial"/>
          <w:bCs/>
          <w:vertAlign w:val="superscript"/>
        </w:rPr>
        <w:footnoteReference w:id="17"/>
      </w:r>
      <w:r w:rsidRPr="007A7B36">
        <w:rPr>
          <w:rFonts w:ascii="Arial" w:hAnsi="Arial" w:cs="Arial"/>
          <w:bCs/>
        </w:rPr>
        <w:t> o cuando “se hace manifiestamente irrazonable la valoración probatoria hecha por el juez en su providencia”</w:t>
      </w:r>
      <w:r w:rsidRPr="007A7B36">
        <w:rPr>
          <w:rFonts w:ascii="Arial" w:hAnsi="Arial" w:cs="Arial"/>
          <w:bCs/>
          <w:vertAlign w:val="superscript"/>
        </w:rPr>
        <w:footnoteReference w:id="18"/>
      </w:r>
      <w:r w:rsidRPr="007A7B36">
        <w:rPr>
          <w:rFonts w:ascii="Arial" w:hAnsi="Arial" w:cs="Arial"/>
          <w:bCs/>
        </w:rPr>
        <w:t>. Por lo tanto, en la indebida valoración que hace el operador judicial de las pruebas, sea desde su dimensión positiva o negativa</w:t>
      </w:r>
      <w:r w:rsidRPr="007A7B36">
        <w:rPr>
          <w:rFonts w:ascii="Arial" w:hAnsi="Arial" w:cs="Arial"/>
          <w:bCs/>
          <w:vertAlign w:val="superscript"/>
        </w:rPr>
        <w:footnoteReference w:id="19"/>
      </w:r>
      <w:r w:rsidRPr="007A7B36">
        <w:rPr>
          <w:rFonts w:ascii="Arial" w:hAnsi="Arial" w:cs="Arial"/>
          <w:bCs/>
        </w:rPr>
        <w:t>, debe examinarse si tal yerro es ostensible, flagrante y manifiesto, que a su vez incida en el sentido de la decisión adoptada, de modo que, al estar estructurado ese análisis, podría el juez de tutela entrar a amparar los derechos fundamentales conculcados con la providencia objeto de censura</w:t>
      </w:r>
      <w:r w:rsidRPr="007A7B36">
        <w:rPr>
          <w:rFonts w:ascii="Arial" w:hAnsi="Arial" w:cs="Arial"/>
          <w:bCs/>
          <w:vertAlign w:val="superscript"/>
        </w:rPr>
        <w:footnoteReference w:id="20"/>
      </w:r>
      <w:r w:rsidRPr="007A7B36">
        <w:rPr>
          <w:rFonts w:ascii="Arial" w:hAnsi="Arial" w:cs="Arial"/>
          <w:bCs/>
        </w:rPr>
        <w:t>. En tal sentido, para que se configure un defecto fáctico, el error en la interpretación del acervo probatorio debe ser de tal magnitud que afecte el sentido de la decisión, por lo que es necesario que se identifique la prueba o pruebas que no fueron valoradas o fueron valoradas indebidamente, de tal forma que el error sea ostensible, flagrante y manifiesto.</w:t>
      </w:r>
    </w:p>
    <w:p w14:paraId="38EBA960" w14:textId="77777777" w:rsidR="00715B40" w:rsidRDefault="00715B40" w:rsidP="00006090">
      <w:pPr>
        <w:jc w:val="both"/>
        <w:rPr>
          <w:rFonts w:ascii="Arial" w:hAnsi="Arial" w:cs="Arial"/>
        </w:rPr>
      </w:pPr>
    </w:p>
    <w:p w14:paraId="4B19DBE0" w14:textId="5C7974BB" w:rsidR="00006090" w:rsidRPr="007A7B36" w:rsidRDefault="003E08BB" w:rsidP="00006090">
      <w:pPr>
        <w:jc w:val="both"/>
        <w:rPr>
          <w:rFonts w:ascii="Arial" w:hAnsi="Arial" w:cs="Arial"/>
        </w:rPr>
      </w:pPr>
      <w:r>
        <w:rPr>
          <w:rFonts w:ascii="Arial" w:hAnsi="Arial" w:cs="Arial"/>
        </w:rPr>
        <w:t xml:space="preserve">Dicho </w:t>
      </w:r>
      <w:r w:rsidR="006C30AC">
        <w:rPr>
          <w:rFonts w:ascii="Arial" w:hAnsi="Arial" w:cs="Arial"/>
        </w:rPr>
        <w:t>lo anterior</w:t>
      </w:r>
      <w:r w:rsidR="00006090" w:rsidRPr="007A7B36">
        <w:rPr>
          <w:rFonts w:ascii="Arial" w:hAnsi="Arial" w:cs="Arial"/>
        </w:rPr>
        <w:t xml:space="preserve">, </w:t>
      </w:r>
      <w:r w:rsidR="003815C8">
        <w:rPr>
          <w:rFonts w:ascii="Arial" w:hAnsi="Arial" w:cs="Arial"/>
        </w:rPr>
        <w:t xml:space="preserve">es claro que </w:t>
      </w:r>
      <w:r w:rsidR="006C30AC">
        <w:rPr>
          <w:rFonts w:ascii="Arial" w:hAnsi="Arial" w:cs="Arial"/>
        </w:rPr>
        <w:t>la parte actora</w:t>
      </w:r>
      <w:r w:rsidR="00370B31">
        <w:rPr>
          <w:rFonts w:ascii="Arial" w:hAnsi="Arial" w:cs="Arial"/>
        </w:rPr>
        <w:t xml:space="preserve"> al sustentar el defecto aludido,</w:t>
      </w:r>
      <w:r w:rsidR="00006090" w:rsidRPr="007A7B36">
        <w:rPr>
          <w:rFonts w:ascii="Arial" w:hAnsi="Arial" w:cs="Arial"/>
        </w:rPr>
        <w:t xml:space="preserve"> no se refirió en los términos antes anotados, pues se limitó a indicar qu</w:t>
      </w:r>
      <w:r w:rsidR="00867041">
        <w:rPr>
          <w:rFonts w:ascii="Arial" w:hAnsi="Arial" w:cs="Arial"/>
        </w:rPr>
        <w:t>e no se aplicaron las normas del CGP y que se solicitaron las cédulas y los correos de los testigos sin existir fundamento legal.</w:t>
      </w:r>
      <w:r w:rsidR="00006090" w:rsidRPr="007A7B36">
        <w:rPr>
          <w:rFonts w:ascii="Arial" w:hAnsi="Arial" w:cs="Arial"/>
        </w:rPr>
        <w:t xml:space="preserve"> Sus argumentos </w:t>
      </w:r>
      <w:r w:rsidR="006C30AC">
        <w:rPr>
          <w:rFonts w:ascii="Arial" w:hAnsi="Arial" w:cs="Arial"/>
        </w:rPr>
        <w:t xml:space="preserve">mas allá de estructurar un defecto fáctico, difieren con la decisión </w:t>
      </w:r>
      <w:r w:rsidR="00CF7A90">
        <w:rPr>
          <w:rFonts w:ascii="Arial" w:hAnsi="Arial" w:cs="Arial"/>
        </w:rPr>
        <w:t xml:space="preserve">que tomó el juez </w:t>
      </w:r>
      <w:r w:rsidR="00867041">
        <w:rPr>
          <w:rFonts w:ascii="Arial" w:hAnsi="Arial" w:cs="Arial"/>
        </w:rPr>
        <w:t>al prescindir de</w:t>
      </w:r>
      <w:r w:rsidR="006F0442">
        <w:rPr>
          <w:rFonts w:ascii="Arial" w:hAnsi="Arial" w:cs="Arial"/>
        </w:rPr>
        <w:t xml:space="preserve"> </w:t>
      </w:r>
      <w:r w:rsidR="00867041">
        <w:rPr>
          <w:rFonts w:ascii="Arial" w:hAnsi="Arial" w:cs="Arial"/>
        </w:rPr>
        <w:t>l</w:t>
      </w:r>
      <w:r w:rsidR="006F0442">
        <w:rPr>
          <w:rFonts w:ascii="Arial" w:hAnsi="Arial" w:cs="Arial"/>
        </w:rPr>
        <w:t>a prueba testimonial</w:t>
      </w:r>
      <w:r w:rsidR="00867041">
        <w:rPr>
          <w:rFonts w:ascii="Arial" w:hAnsi="Arial" w:cs="Arial"/>
        </w:rPr>
        <w:t xml:space="preserve">, por </w:t>
      </w:r>
      <w:r w:rsidR="00CF7A90">
        <w:rPr>
          <w:rFonts w:ascii="Arial" w:hAnsi="Arial" w:cs="Arial"/>
        </w:rPr>
        <w:t xml:space="preserve">todo esto, la Sala </w:t>
      </w:r>
      <w:r w:rsidR="00867041">
        <w:rPr>
          <w:rFonts w:ascii="Arial" w:hAnsi="Arial" w:cs="Arial"/>
        </w:rPr>
        <w:t>considera</w:t>
      </w:r>
      <w:r w:rsidR="00CF7A90">
        <w:rPr>
          <w:rFonts w:ascii="Arial" w:hAnsi="Arial" w:cs="Arial"/>
        </w:rPr>
        <w:t xml:space="preserve"> que </w:t>
      </w:r>
      <w:r w:rsidR="00867041">
        <w:rPr>
          <w:rFonts w:ascii="Arial" w:hAnsi="Arial" w:cs="Arial"/>
        </w:rPr>
        <w:t>la</w:t>
      </w:r>
      <w:r w:rsidR="00CF7A90">
        <w:rPr>
          <w:rFonts w:ascii="Arial" w:hAnsi="Arial" w:cs="Arial"/>
        </w:rPr>
        <w:t xml:space="preserve"> accionante lo que pretende es brindar su propia teoría del caso</w:t>
      </w:r>
      <w:r w:rsidR="006C30AC">
        <w:rPr>
          <w:rFonts w:ascii="Arial" w:hAnsi="Arial" w:cs="Arial"/>
        </w:rPr>
        <w:t>,</w:t>
      </w:r>
      <w:r w:rsidR="00CF7A90">
        <w:rPr>
          <w:rFonts w:ascii="Arial" w:hAnsi="Arial" w:cs="Arial"/>
        </w:rPr>
        <w:t xml:space="preserve"> en la que sus argumentos</w:t>
      </w:r>
      <w:r w:rsidR="00006090" w:rsidRPr="007A7B36">
        <w:rPr>
          <w:rFonts w:ascii="Arial" w:hAnsi="Arial" w:cs="Arial"/>
        </w:rPr>
        <w:t xml:space="preserve"> van encaminados a manifestar su inconformidad con la conclusión a la que llegó el juez de la causa.</w:t>
      </w:r>
    </w:p>
    <w:p w14:paraId="3A15084D" w14:textId="268C149A" w:rsidR="00006090" w:rsidRDefault="00006090" w:rsidP="00006090">
      <w:pPr>
        <w:jc w:val="both"/>
        <w:rPr>
          <w:rFonts w:ascii="Arial" w:hAnsi="Arial" w:cs="Arial"/>
        </w:rPr>
      </w:pPr>
    </w:p>
    <w:p w14:paraId="2F173062" w14:textId="13FECA8B" w:rsidR="00F40F35" w:rsidRPr="003C3C40" w:rsidRDefault="00F40F35" w:rsidP="00006090">
      <w:pPr>
        <w:jc w:val="both"/>
        <w:rPr>
          <w:rFonts w:ascii="Arial" w:hAnsi="Arial" w:cs="Arial"/>
        </w:rPr>
      </w:pPr>
      <w:r>
        <w:rPr>
          <w:rFonts w:ascii="Arial" w:hAnsi="Arial" w:cs="Arial"/>
        </w:rPr>
        <w:t xml:space="preserve">En ese orden, los argumentos relacionados con la configuración de un defecto fáctico </w:t>
      </w:r>
      <w:r>
        <w:rPr>
          <w:rStyle w:val="normaltextrun"/>
          <w:rFonts w:ascii="Arial" w:hAnsi="Arial" w:cs="Arial"/>
          <w:color w:val="000000"/>
          <w:shd w:val="clear" w:color="auto" w:fill="FFFFFF"/>
        </w:rPr>
        <w:t>no exponen una irracionabilidad en la interpretación probatoria que realizó</w:t>
      </w:r>
      <w:r w:rsidR="00EA6BAC">
        <w:rPr>
          <w:rStyle w:val="normaltextrun"/>
          <w:rFonts w:ascii="Arial" w:hAnsi="Arial" w:cs="Arial"/>
          <w:color w:val="000000"/>
          <w:shd w:val="clear" w:color="auto" w:fill="FFFFFF"/>
        </w:rPr>
        <w:t xml:space="preserve"> la autoridad judicial</w:t>
      </w:r>
      <w:r>
        <w:rPr>
          <w:rStyle w:val="normaltextrun"/>
          <w:rFonts w:ascii="Arial" w:hAnsi="Arial" w:cs="Arial"/>
          <w:color w:val="000000"/>
          <w:shd w:val="clear" w:color="auto" w:fill="FFFFFF"/>
        </w:rPr>
        <w:t>, sino que pretenden, nuevamente, insistir en mostrar una solución distinta al caso concreto de manera favorable a los intereses de la tutelante, asunto que carece de relevancia constitucional. </w:t>
      </w:r>
      <w:r>
        <w:rPr>
          <w:rStyle w:val="eop"/>
          <w:rFonts w:ascii="Arial" w:hAnsi="Arial" w:cs="Arial"/>
          <w:color w:val="000000"/>
          <w:shd w:val="clear" w:color="auto" w:fill="FFFFFF"/>
        </w:rPr>
        <w:t> </w:t>
      </w:r>
    </w:p>
    <w:p w14:paraId="6D67DAB4" w14:textId="77777777" w:rsidR="00006090" w:rsidRDefault="00006090" w:rsidP="001D3B1D">
      <w:pPr>
        <w:ind w:right="51"/>
        <w:jc w:val="both"/>
        <w:rPr>
          <w:rFonts w:ascii="Arial" w:hAnsi="Arial" w:cs="Arial"/>
          <w:bCs/>
        </w:rPr>
      </w:pPr>
    </w:p>
    <w:p w14:paraId="5D42275A" w14:textId="135852ED" w:rsidR="00D94691" w:rsidRDefault="00000299" w:rsidP="00D94691">
      <w:pPr>
        <w:ind w:right="51"/>
        <w:contextualSpacing/>
        <w:jc w:val="both"/>
        <w:rPr>
          <w:rFonts w:ascii="Arial" w:hAnsi="Arial" w:cs="Arial"/>
        </w:rPr>
      </w:pPr>
      <w:r>
        <w:rPr>
          <w:rFonts w:ascii="Arial" w:hAnsi="Arial" w:cs="Arial"/>
          <w:bCs/>
        </w:rPr>
        <w:t>(</w:t>
      </w:r>
      <w:proofErr w:type="spellStart"/>
      <w:r w:rsidR="00006090">
        <w:rPr>
          <w:rFonts w:ascii="Arial" w:hAnsi="Arial" w:cs="Arial"/>
          <w:bCs/>
        </w:rPr>
        <w:t>i</w:t>
      </w:r>
      <w:r>
        <w:rPr>
          <w:rFonts w:ascii="Arial" w:hAnsi="Arial" w:cs="Arial"/>
          <w:bCs/>
        </w:rPr>
        <w:t>i</w:t>
      </w:r>
      <w:proofErr w:type="spellEnd"/>
      <w:r>
        <w:rPr>
          <w:rFonts w:ascii="Arial" w:hAnsi="Arial" w:cs="Arial"/>
          <w:bCs/>
        </w:rPr>
        <w:t xml:space="preserve">) </w:t>
      </w:r>
      <w:r w:rsidR="00006090">
        <w:rPr>
          <w:rFonts w:ascii="Arial" w:hAnsi="Arial" w:cs="Arial"/>
          <w:bCs/>
        </w:rPr>
        <w:t>Por otra parte, la</w:t>
      </w:r>
      <w:r w:rsidR="00206065">
        <w:rPr>
          <w:rFonts w:ascii="Arial" w:hAnsi="Arial" w:cs="Arial"/>
          <w:bCs/>
        </w:rPr>
        <w:t xml:space="preserve"> accionante</w:t>
      </w:r>
      <w:r w:rsidR="001D3B1D">
        <w:rPr>
          <w:rFonts w:ascii="Arial" w:hAnsi="Arial" w:cs="Arial"/>
          <w:bCs/>
        </w:rPr>
        <w:t>, en su escrito de tutela, indic</w:t>
      </w:r>
      <w:r w:rsidR="00206065">
        <w:rPr>
          <w:rFonts w:ascii="Arial" w:hAnsi="Arial" w:cs="Arial"/>
          <w:bCs/>
        </w:rPr>
        <w:t>ó</w:t>
      </w:r>
      <w:r w:rsidR="001D3B1D">
        <w:rPr>
          <w:rFonts w:ascii="Arial" w:hAnsi="Arial" w:cs="Arial"/>
          <w:bCs/>
        </w:rPr>
        <w:t xml:space="preserve"> que la autoridad judicial demandada incurrió en </w:t>
      </w:r>
      <w:r w:rsidR="001D3B1D" w:rsidRPr="00006090">
        <w:rPr>
          <w:rFonts w:ascii="Arial" w:hAnsi="Arial" w:cs="Arial"/>
          <w:b/>
        </w:rPr>
        <w:t>de</w:t>
      </w:r>
      <w:r w:rsidR="00270742">
        <w:rPr>
          <w:rFonts w:ascii="Arial" w:hAnsi="Arial" w:cs="Arial"/>
          <w:b/>
        </w:rPr>
        <w:t>sconocimiento del precedente y violación directa a la constitución</w:t>
      </w:r>
      <w:r w:rsidR="00270742">
        <w:rPr>
          <w:rFonts w:ascii="Arial" w:hAnsi="Arial" w:cs="Arial"/>
          <w:bCs/>
        </w:rPr>
        <w:t>, pues consideró que la jurisprudencia constitucional ha definido el debido proceso como el conjunto de garantías previstas en el ordenamiento jurídico</w:t>
      </w:r>
      <w:r w:rsidR="00D94691">
        <w:rPr>
          <w:rFonts w:ascii="Arial" w:hAnsi="Arial" w:cs="Arial"/>
          <w:bCs/>
        </w:rPr>
        <w:t>, a través de las cuales se busca la protección en el trámite de una actuación judicial o administrativa</w:t>
      </w:r>
      <w:r w:rsidR="00270742">
        <w:rPr>
          <w:rFonts w:ascii="Arial" w:hAnsi="Arial" w:cs="Arial"/>
          <w:bCs/>
        </w:rPr>
        <w:t>,</w:t>
      </w:r>
      <w:r w:rsidR="00D94691">
        <w:rPr>
          <w:rFonts w:ascii="Arial" w:hAnsi="Arial" w:cs="Arial"/>
          <w:bCs/>
        </w:rPr>
        <w:t xml:space="preserve"> de conformidad con la sentencia C-341 de 2014. Esto sumado a que considera</w:t>
      </w:r>
      <w:r w:rsidR="00530A7A">
        <w:rPr>
          <w:rFonts w:ascii="Arial" w:hAnsi="Arial" w:cs="Arial"/>
          <w:bCs/>
        </w:rPr>
        <w:t xml:space="preserve"> que</w:t>
      </w:r>
      <w:r w:rsidR="00D94691">
        <w:rPr>
          <w:rFonts w:ascii="Arial" w:hAnsi="Arial" w:cs="Arial"/>
          <w:bCs/>
        </w:rPr>
        <w:t xml:space="preserve"> se vulneró su derecho al debido proceso, a</w:t>
      </w:r>
      <w:r w:rsidR="00D94691" w:rsidRPr="00D94691">
        <w:rPr>
          <w:rFonts w:ascii="Arial" w:hAnsi="Arial" w:cs="Arial"/>
          <w:bCs/>
        </w:rPr>
        <w:t>l acceso a la justicia y a la igualdad de las partes conexo</w:t>
      </w:r>
      <w:r w:rsidR="00D41564">
        <w:rPr>
          <w:rFonts w:ascii="Arial" w:hAnsi="Arial" w:cs="Arial"/>
          <w:bCs/>
        </w:rPr>
        <w:t xml:space="preserve"> con</w:t>
      </w:r>
      <w:r w:rsidR="00D94691" w:rsidRPr="00D94691">
        <w:rPr>
          <w:rFonts w:ascii="Arial" w:hAnsi="Arial" w:cs="Arial"/>
          <w:bCs/>
        </w:rPr>
        <w:t xml:space="preserve"> el derecho a vida digna y un mínimo vital, ya que la accionada no posee otro ingreso, no realizó cotizaciones para poder acceder a una pensión</w:t>
      </w:r>
      <w:r w:rsidR="00530A7A">
        <w:rPr>
          <w:rFonts w:ascii="Arial" w:hAnsi="Arial" w:cs="Arial"/>
          <w:bCs/>
        </w:rPr>
        <w:t>,</w:t>
      </w:r>
      <w:r w:rsidR="00D94691" w:rsidRPr="00D94691">
        <w:rPr>
          <w:rFonts w:ascii="Arial" w:hAnsi="Arial" w:cs="Arial"/>
          <w:bCs/>
        </w:rPr>
        <w:t xml:space="preserve"> porque confiaba que </w:t>
      </w:r>
      <w:r w:rsidR="00370B31">
        <w:rPr>
          <w:rFonts w:ascii="Arial" w:hAnsi="Arial" w:cs="Arial"/>
          <w:bCs/>
        </w:rPr>
        <w:t xml:space="preserve">esta obligación la cumpliría el </w:t>
      </w:r>
      <w:r w:rsidR="00530A7A">
        <w:rPr>
          <w:rFonts w:ascii="Arial" w:hAnsi="Arial" w:cs="Arial"/>
          <w:bCs/>
        </w:rPr>
        <w:t>m</w:t>
      </w:r>
      <w:r w:rsidR="00D94691" w:rsidRPr="00D94691">
        <w:rPr>
          <w:rFonts w:ascii="Arial" w:hAnsi="Arial" w:cs="Arial"/>
          <w:bCs/>
        </w:rPr>
        <w:t>unicipio de Manizales.</w:t>
      </w:r>
    </w:p>
    <w:p w14:paraId="63268178" w14:textId="0121FCE5" w:rsidR="00270742" w:rsidRPr="00270742" w:rsidRDefault="00D94691" w:rsidP="001D3B1D">
      <w:pPr>
        <w:ind w:right="51"/>
        <w:jc w:val="both"/>
        <w:rPr>
          <w:rFonts w:ascii="Arial" w:hAnsi="Arial" w:cs="Arial"/>
          <w:bCs/>
        </w:rPr>
      </w:pPr>
      <w:r>
        <w:rPr>
          <w:rFonts w:ascii="Arial" w:hAnsi="Arial" w:cs="Arial"/>
          <w:bCs/>
        </w:rPr>
        <w:t xml:space="preserve"> </w:t>
      </w:r>
    </w:p>
    <w:p w14:paraId="540AD1BF" w14:textId="0586D0A8" w:rsidR="002C22BC" w:rsidRDefault="002C22BC" w:rsidP="00281286">
      <w:pPr>
        <w:jc w:val="both"/>
        <w:rPr>
          <w:rStyle w:val="normaltextrun"/>
          <w:rFonts w:ascii="Arial" w:hAnsi="Arial" w:cs="Arial"/>
          <w:color w:val="000000"/>
          <w:shd w:val="clear" w:color="auto" w:fill="FFFFFF"/>
        </w:rPr>
      </w:pPr>
      <w:r>
        <w:rPr>
          <w:rFonts w:ascii="Arial" w:hAnsi="Arial" w:cs="Arial"/>
          <w:bCs/>
        </w:rPr>
        <w:t xml:space="preserve">En cuanto </w:t>
      </w:r>
      <w:r w:rsidR="00530A7A">
        <w:rPr>
          <w:rFonts w:ascii="Arial" w:hAnsi="Arial" w:cs="Arial"/>
          <w:bCs/>
        </w:rPr>
        <w:t>a la forma de abordar este yerro</w:t>
      </w:r>
      <w:r>
        <w:rPr>
          <w:rFonts w:ascii="Arial" w:hAnsi="Arial" w:cs="Arial"/>
          <w:bCs/>
        </w:rPr>
        <w:t xml:space="preserve">, la Sala advierte que la actora </w:t>
      </w:r>
      <w:r>
        <w:rPr>
          <w:rStyle w:val="normaltextrun"/>
          <w:rFonts w:ascii="Arial" w:hAnsi="Arial" w:cs="Arial"/>
          <w:color w:val="000000"/>
          <w:shd w:val="clear" w:color="auto" w:fill="FFFFFF"/>
        </w:rPr>
        <w:t xml:space="preserve">no explicó </w:t>
      </w:r>
      <w:r w:rsidR="00C54079">
        <w:rPr>
          <w:rStyle w:val="normaltextrun"/>
          <w:rFonts w:ascii="Arial" w:hAnsi="Arial" w:cs="Arial"/>
          <w:color w:val="000000"/>
          <w:shd w:val="clear" w:color="auto" w:fill="FFFFFF"/>
        </w:rPr>
        <w:t>cuál</w:t>
      </w:r>
      <w:r w:rsidR="00530A7A">
        <w:rPr>
          <w:rStyle w:val="normaltextrun"/>
          <w:rFonts w:ascii="Arial" w:hAnsi="Arial" w:cs="Arial"/>
          <w:color w:val="000000"/>
          <w:shd w:val="clear" w:color="auto" w:fill="FFFFFF"/>
        </w:rPr>
        <w:t xml:space="preserve"> fue </w:t>
      </w:r>
      <w:r w:rsidR="00D41564">
        <w:rPr>
          <w:rStyle w:val="normaltextrun"/>
          <w:rFonts w:ascii="Arial" w:hAnsi="Arial" w:cs="Arial"/>
          <w:color w:val="000000"/>
          <w:shd w:val="clear" w:color="auto" w:fill="FFFFFF"/>
        </w:rPr>
        <w:t>la regla desconocida y como</w:t>
      </w:r>
      <w:r w:rsidR="00281286">
        <w:rPr>
          <w:rStyle w:val="normaltextrun"/>
          <w:rFonts w:ascii="Arial" w:hAnsi="Arial" w:cs="Arial"/>
          <w:color w:val="000000"/>
          <w:shd w:val="clear" w:color="auto" w:fill="FFFFFF"/>
        </w:rPr>
        <w:t>, por</w:t>
      </w:r>
      <w:r w:rsidR="00D41564">
        <w:rPr>
          <w:rStyle w:val="normaltextrun"/>
          <w:rFonts w:ascii="Arial" w:hAnsi="Arial" w:cs="Arial"/>
          <w:color w:val="000000"/>
          <w:shd w:val="clear" w:color="auto" w:fill="FFFFFF"/>
        </w:rPr>
        <w:t xml:space="preserve"> su falta de aplicación</w:t>
      </w:r>
      <w:r w:rsidR="00281286">
        <w:rPr>
          <w:rStyle w:val="normaltextrun"/>
          <w:rFonts w:ascii="Arial" w:hAnsi="Arial" w:cs="Arial"/>
          <w:color w:val="000000"/>
          <w:shd w:val="clear" w:color="auto" w:fill="FFFFFF"/>
        </w:rPr>
        <w:t>, se vulneró el derecho al debido proceso, pues simplemente se limitó a enunciar la sentencia C-341 de 2014 sin exponer porque se ajustaba a su caso concreto</w:t>
      </w:r>
      <w:r>
        <w:rPr>
          <w:rStyle w:val="normaltextrun"/>
          <w:rFonts w:ascii="Arial" w:hAnsi="Arial" w:cs="Arial"/>
          <w:color w:val="000000"/>
          <w:shd w:val="clear" w:color="auto" w:fill="FFFFFF"/>
        </w:rPr>
        <w:t xml:space="preserve">. Aunado a lo anterior, </w:t>
      </w:r>
      <w:r w:rsidR="00C54079">
        <w:rPr>
          <w:rStyle w:val="normaltextrun"/>
          <w:rFonts w:ascii="Arial" w:hAnsi="Arial" w:cs="Arial"/>
          <w:color w:val="000000"/>
          <w:shd w:val="clear" w:color="auto" w:fill="FFFFFF"/>
        </w:rPr>
        <w:t>la solicitante de amparo</w:t>
      </w:r>
      <w:r>
        <w:rPr>
          <w:rStyle w:val="normaltextrun"/>
          <w:rFonts w:ascii="Arial" w:hAnsi="Arial" w:cs="Arial"/>
          <w:color w:val="000000"/>
          <w:shd w:val="clear" w:color="auto" w:fill="FFFFFF"/>
        </w:rPr>
        <w:t xml:space="preserve"> se refirió de manera general a</w:t>
      </w:r>
      <w:r w:rsidR="00281286">
        <w:rPr>
          <w:rStyle w:val="normaltextrun"/>
          <w:rFonts w:ascii="Arial" w:hAnsi="Arial" w:cs="Arial"/>
          <w:color w:val="000000"/>
          <w:shd w:val="clear" w:color="auto" w:fill="FFFFFF"/>
        </w:rPr>
        <w:t>l derecho al debido proceso</w:t>
      </w:r>
      <w:r w:rsidR="008A791A">
        <w:rPr>
          <w:rStyle w:val="normaltextrun"/>
          <w:rFonts w:ascii="Arial" w:hAnsi="Arial" w:cs="Arial"/>
          <w:color w:val="000000"/>
          <w:shd w:val="clear" w:color="auto" w:fill="FFFFFF"/>
        </w:rPr>
        <w:t>,</w:t>
      </w:r>
      <w:r w:rsidR="00281286">
        <w:rPr>
          <w:rStyle w:val="normaltextrun"/>
          <w:rFonts w:ascii="Arial" w:hAnsi="Arial" w:cs="Arial"/>
          <w:color w:val="000000"/>
          <w:shd w:val="clear" w:color="auto" w:fill="FFFFFF"/>
        </w:rPr>
        <w:t xml:space="preserve"> pero no advirtió por qué, con los argumentos manifestados por la Subsección B de la Sección Segunda del Consejo de Estado, se vulneró </w:t>
      </w:r>
      <w:r w:rsidR="00C54079">
        <w:rPr>
          <w:rStyle w:val="normaltextrun"/>
          <w:rFonts w:ascii="Arial" w:hAnsi="Arial" w:cs="Arial"/>
          <w:color w:val="000000"/>
          <w:shd w:val="clear" w:color="auto" w:fill="FFFFFF"/>
        </w:rPr>
        <w:t>esta garantía constitucional</w:t>
      </w:r>
      <w:r>
        <w:rPr>
          <w:rStyle w:val="normaltextrun"/>
          <w:rFonts w:ascii="Arial" w:hAnsi="Arial" w:cs="Arial"/>
          <w:color w:val="000000"/>
          <w:shd w:val="clear" w:color="auto" w:fill="FFFFFF"/>
        </w:rPr>
        <w:t>.</w:t>
      </w:r>
    </w:p>
    <w:p w14:paraId="6F982B76" w14:textId="3BC8327F" w:rsidR="00180463" w:rsidRDefault="00180463" w:rsidP="00513E94">
      <w:pPr>
        <w:jc w:val="both"/>
        <w:rPr>
          <w:rStyle w:val="normaltextrun"/>
          <w:rFonts w:ascii="Arial" w:hAnsi="Arial" w:cs="Arial"/>
          <w:color w:val="000000"/>
          <w:shd w:val="clear" w:color="auto" w:fill="FFFFFF"/>
        </w:rPr>
      </w:pPr>
    </w:p>
    <w:p w14:paraId="650DD1F2" w14:textId="2E497682" w:rsidR="005A3DF4" w:rsidRDefault="006F6B65" w:rsidP="001D3B1D">
      <w:pPr>
        <w:jc w:val="both"/>
        <w:rPr>
          <w:rFonts w:ascii="Arial" w:hAnsi="Arial" w:cs="Arial"/>
        </w:rPr>
      </w:pPr>
      <w:r>
        <w:rPr>
          <w:rFonts w:ascii="Arial" w:hAnsi="Arial" w:cs="Arial"/>
        </w:rPr>
        <w:t xml:space="preserve">En ese orden, </w:t>
      </w:r>
      <w:r w:rsidR="00281286">
        <w:rPr>
          <w:rFonts w:ascii="Arial" w:hAnsi="Arial" w:cs="Arial"/>
        </w:rPr>
        <w:t>los cargos invocados por la accionante,</w:t>
      </w:r>
      <w:r>
        <w:rPr>
          <w:rFonts w:ascii="Arial" w:hAnsi="Arial" w:cs="Arial"/>
        </w:rPr>
        <w:t xml:space="preserve"> no amerita</w:t>
      </w:r>
      <w:r w:rsidR="00C54079">
        <w:rPr>
          <w:rFonts w:ascii="Arial" w:hAnsi="Arial" w:cs="Arial"/>
        </w:rPr>
        <w:t>n</w:t>
      </w:r>
      <w:r>
        <w:rPr>
          <w:rFonts w:ascii="Arial" w:hAnsi="Arial" w:cs="Arial"/>
        </w:rPr>
        <w:t xml:space="preserve"> un estudio de fondo, pues ni siquiera </w:t>
      </w:r>
      <w:r w:rsidR="0035152C">
        <w:rPr>
          <w:rFonts w:ascii="Arial" w:hAnsi="Arial" w:cs="Arial"/>
        </w:rPr>
        <w:t>concreta</w:t>
      </w:r>
      <w:r>
        <w:rPr>
          <w:rFonts w:ascii="Arial" w:hAnsi="Arial" w:cs="Arial"/>
        </w:rPr>
        <w:t xml:space="preserve"> la situación fáctica a los hechos de</w:t>
      </w:r>
      <w:r w:rsidR="0035152C">
        <w:rPr>
          <w:rFonts w:ascii="Arial" w:hAnsi="Arial" w:cs="Arial"/>
        </w:rPr>
        <w:t>l</w:t>
      </w:r>
      <w:r>
        <w:rPr>
          <w:rFonts w:ascii="Arial" w:hAnsi="Arial" w:cs="Arial"/>
        </w:rPr>
        <w:t xml:space="preserve"> precedente que afirma fue desconocid</w:t>
      </w:r>
      <w:r w:rsidR="0035152C">
        <w:rPr>
          <w:rFonts w:ascii="Arial" w:hAnsi="Arial" w:cs="Arial"/>
        </w:rPr>
        <w:t>o</w:t>
      </w:r>
      <w:r>
        <w:rPr>
          <w:rFonts w:ascii="Arial" w:hAnsi="Arial" w:cs="Arial"/>
        </w:rPr>
        <w:t>,</w:t>
      </w:r>
      <w:r w:rsidR="0035152C">
        <w:rPr>
          <w:rFonts w:ascii="Arial" w:hAnsi="Arial" w:cs="Arial"/>
        </w:rPr>
        <w:t xml:space="preserve"> sino que pretende que el juez constitucional haga un análisis que no le corresponde y le impone una carga que se sale de su órbita, </w:t>
      </w:r>
      <w:r>
        <w:rPr>
          <w:rFonts w:ascii="Arial" w:hAnsi="Arial" w:cs="Arial"/>
        </w:rPr>
        <w:t>por lo que</w:t>
      </w:r>
      <w:r w:rsidR="00C54079">
        <w:rPr>
          <w:rFonts w:ascii="Arial" w:hAnsi="Arial" w:cs="Arial"/>
        </w:rPr>
        <w:t xml:space="preserve"> a todas luces</w:t>
      </w:r>
      <w:r>
        <w:rPr>
          <w:rFonts w:ascii="Arial" w:hAnsi="Arial" w:cs="Arial"/>
        </w:rPr>
        <w:t xml:space="preserve"> carece de relevancia constitucional.</w:t>
      </w:r>
    </w:p>
    <w:p w14:paraId="6737C4DD" w14:textId="77777777" w:rsidR="006F6B65" w:rsidRDefault="006F6B65" w:rsidP="001D3B1D">
      <w:pPr>
        <w:jc w:val="both"/>
        <w:rPr>
          <w:rFonts w:ascii="Arial" w:hAnsi="Arial" w:cs="Arial"/>
        </w:rPr>
      </w:pPr>
    </w:p>
    <w:p w14:paraId="448E9C56" w14:textId="5A02E68F" w:rsidR="001D3B1D" w:rsidRDefault="001D3B1D" w:rsidP="001D3B1D">
      <w:pPr>
        <w:jc w:val="both"/>
        <w:rPr>
          <w:rFonts w:ascii="Arial" w:hAnsi="Arial" w:cs="Arial"/>
          <w:lang w:val="es-ES" w:eastAsia="es-CO"/>
        </w:rPr>
      </w:pPr>
      <w:r w:rsidRPr="006E26D7">
        <w:rPr>
          <w:rFonts w:ascii="Arial" w:hAnsi="Arial" w:cs="Arial"/>
        </w:rPr>
        <w:t>En suma, los rep</w:t>
      </w:r>
      <w:r w:rsidR="0035152C">
        <w:rPr>
          <w:rFonts w:ascii="Arial" w:hAnsi="Arial" w:cs="Arial"/>
        </w:rPr>
        <w:t>aros</w:t>
      </w:r>
      <w:r w:rsidRPr="006E26D7">
        <w:rPr>
          <w:rFonts w:ascii="Arial" w:hAnsi="Arial" w:cs="Arial"/>
        </w:rPr>
        <w:t xml:space="preserve"> planteados por l</w:t>
      </w:r>
      <w:r w:rsidR="00370B31">
        <w:rPr>
          <w:rFonts w:ascii="Arial" w:hAnsi="Arial" w:cs="Arial"/>
        </w:rPr>
        <w:t>a</w:t>
      </w:r>
      <w:r w:rsidRPr="006E26D7">
        <w:rPr>
          <w:rFonts w:ascii="Arial" w:hAnsi="Arial" w:cs="Arial"/>
        </w:rPr>
        <w:t xml:space="preserve"> actor</w:t>
      </w:r>
      <w:r w:rsidR="00370B31">
        <w:rPr>
          <w:rFonts w:ascii="Arial" w:hAnsi="Arial" w:cs="Arial"/>
        </w:rPr>
        <w:t>a</w:t>
      </w:r>
      <w:r w:rsidRPr="006E26D7">
        <w:rPr>
          <w:rFonts w:ascii="Arial" w:hAnsi="Arial" w:cs="Arial"/>
        </w:rPr>
        <w:t xml:space="preserve"> se circunscriben a un intento de reabrir de nuevo un debate legal y probatorio que fue decidido por el juez </w:t>
      </w:r>
      <w:r w:rsidR="0035152C">
        <w:rPr>
          <w:rFonts w:ascii="Arial" w:hAnsi="Arial" w:cs="Arial"/>
        </w:rPr>
        <w:t>ordinario</w:t>
      </w:r>
      <w:r w:rsidRPr="006E26D7">
        <w:rPr>
          <w:rFonts w:ascii="Arial" w:hAnsi="Arial" w:cs="Arial"/>
        </w:rPr>
        <w:t xml:space="preserve">. </w:t>
      </w:r>
      <w:r w:rsidRPr="006E26D7">
        <w:rPr>
          <w:rFonts w:ascii="Arial" w:hAnsi="Arial" w:cs="Arial"/>
          <w:lang w:eastAsia="es-CO"/>
        </w:rPr>
        <w:t xml:space="preserve">En este orden, es claro que la parte actora, más allá de buscar la protección de sus derechos </w:t>
      </w:r>
      <w:r w:rsidRPr="0035152C">
        <w:rPr>
          <w:rFonts w:ascii="Arial" w:hAnsi="Arial" w:cs="Arial"/>
          <w:lang w:eastAsia="es-CO"/>
        </w:rPr>
        <w:t xml:space="preserve">fundamentales, pretende cuestionar la actuación judicial. </w:t>
      </w:r>
      <w:r w:rsidRPr="0035152C">
        <w:rPr>
          <w:rFonts w:ascii="Arial" w:hAnsi="Arial" w:cs="Arial"/>
          <w:lang w:val="es-ES" w:eastAsia="es-CO"/>
        </w:rPr>
        <w:t>Por esta razón, y teniendo en cuenta que la jurisprudencia constitucional ha definido que “la finalidad de la acción de tutela es conjurar aquellas situaciones en que la decisión de la autoridad judicial incurre en graves falencias, de relevancia constitucional, que conlleva a un fallo incompatible con la Constitución”</w:t>
      </w:r>
      <w:r w:rsidRPr="0035152C">
        <w:rPr>
          <w:rStyle w:val="Refdenotaalpie"/>
          <w:rFonts w:ascii="Arial" w:hAnsi="Arial" w:cs="Arial"/>
          <w:lang w:val="es-ES" w:eastAsia="es-CO"/>
        </w:rPr>
        <w:footnoteReference w:id="21"/>
      </w:r>
      <w:r w:rsidRPr="0035152C">
        <w:rPr>
          <w:rFonts w:ascii="Arial" w:hAnsi="Arial" w:cs="Arial"/>
          <w:lang w:val="es-ES" w:eastAsia="es-CO"/>
        </w:rPr>
        <w:t>,</w:t>
      </w:r>
      <w:r w:rsidRPr="006E26D7">
        <w:rPr>
          <w:rFonts w:ascii="Arial" w:hAnsi="Arial" w:cs="Arial"/>
          <w:lang w:val="es-ES" w:eastAsia="es-CO"/>
        </w:rPr>
        <w:t xml:space="preserve"> la Sala </w:t>
      </w:r>
      <w:r w:rsidR="00B0628B">
        <w:rPr>
          <w:rFonts w:ascii="Arial" w:hAnsi="Arial" w:cs="Arial"/>
          <w:lang w:val="es-ES" w:eastAsia="es-CO"/>
        </w:rPr>
        <w:t xml:space="preserve">concluye </w:t>
      </w:r>
      <w:r w:rsidRPr="006E26D7">
        <w:rPr>
          <w:rFonts w:ascii="Arial" w:hAnsi="Arial" w:cs="Arial"/>
          <w:lang w:val="es-ES" w:eastAsia="es-CO"/>
        </w:rPr>
        <w:t xml:space="preserve">que la solicitud de amparo carece de relevancia constitucional. Lo anterior, en razón a que el escrito de tutela no refleja una posible amenaza o vulneración de un derecho fundamental, ni graves falencias en la </w:t>
      </w:r>
      <w:r w:rsidR="0035152C">
        <w:rPr>
          <w:rFonts w:ascii="Arial" w:hAnsi="Arial" w:cs="Arial"/>
          <w:lang w:val="es-ES" w:eastAsia="es-CO"/>
        </w:rPr>
        <w:t>decisión</w:t>
      </w:r>
      <w:r w:rsidRPr="006E26D7">
        <w:rPr>
          <w:rFonts w:ascii="Arial" w:hAnsi="Arial" w:cs="Arial"/>
          <w:lang w:val="es-ES" w:eastAsia="es-CO"/>
        </w:rPr>
        <w:t xml:space="preserve"> cuestionada, que haga que el asunto objeto de la solitud trascienda de la discusión litigiosa del proceso ordinario, y requiriera la intervención del juez constitucional.</w:t>
      </w:r>
      <w:r w:rsidRPr="003D6763">
        <w:rPr>
          <w:rFonts w:ascii="Arial" w:hAnsi="Arial" w:cs="Arial"/>
          <w:lang w:val="es-ES" w:eastAsia="es-CO"/>
        </w:rPr>
        <w:t xml:space="preserve"> </w:t>
      </w:r>
    </w:p>
    <w:p w14:paraId="2FFF1538" w14:textId="7880BCCD" w:rsidR="00FC2F63" w:rsidRDefault="00FC2F63" w:rsidP="001D3B1D">
      <w:pPr>
        <w:jc w:val="both"/>
        <w:rPr>
          <w:rFonts w:ascii="Arial" w:hAnsi="Arial" w:cs="Arial"/>
          <w:lang w:val="es-ES" w:eastAsia="es-CO"/>
        </w:rPr>
      </w:pPr>
    </w:p>
    <w:p w14:paraId="7DD7FCA7" w14:textId="0BE7632B" w:rsidR="00FC2F63" w:rsidRPr="00FC2F63" w:rsidRDefault="00FC2F63" w:rsidP="00FC2F63">
      <w:pPr>
        <w:jc w:val="center"/>
        <w:rPr>
          <w:rFonts w:ascii="Arial" w:hAnsi="Arial" w:cs="Arial"/>
          <w:b/>
          <w:lang w:val="es-ES" w:eastAsia="es-CO"/>
        </w:rPr>
      </w:pPr>
      <w:r w:rsidRPr="00FC2F63">
        <w:rPr>
          <w:rFonts w:ascii="Arial" w:hAnsi="Arial" w:cs="Arial"/>
          <w:b/>
          <w:lang w:val="es-ES" w:eastAsia="es-CO"/>
        </w:rPr>
        <w:t>III. DECISIÓN</w:t>
      </w:r>
    </w:p>
    <w:p w14:paraId="2E10615D" w14:textId="77777777" w:rsidR="001D3B1D" w:rsidRPr="00E04469" w:rsidRDefault="001D3B1D" w:rsidP="001D3B1D">
      <w:pPr>
        <w:ind w:right="51"/>
        <w:jc w:val="both"/>
        <w:rPr>
          <w:rFonts w:ascii="Arial" w:hAnsi="Arial" w:cs="Arial"/>
          <w:b/>
          <w:lang w:val="es-ES"/>
        </w:rPr>
      </w:pPr>
    </w:p>
    <w:p w14:paraId="53326C20" w14:textId="77777777" w:rsidR="001D3B1D" w:rsidRDefault="001D3B1D" w:rsidP="001D3B1D">
      <w:pPr>
        <w:contextualSpacing/>
        <w:jc w:val="both"/>
        <w:rPr>
          <w:rFonts w:ascii="Arial" w:hAnsi="Arial" w:cs="Arial"/>
          <w:color w:val="0D0D0D"/>
          <w:spacing w:val="-3"/>
          <w:lang w:val="es-ES" w:eastAsia="zh-CN"/>
        </w:rPr>
      </w:pPr>
      <w:r w:rsidRPr="00753BFF">
        <w:rPr>
          <w:rFonts w:ascii="Arial" w:hAnsi="Arial" w:cs="Arial"/>
          <w:color w:val="0D0D0D"/>
          <w:spacing w:val="-3"/>
          <w:lang w:val="es-ES" w:eastAsia="zh-CN"/>
        </w:rPr>
        <w:t>En mérito de lo expuesto, el Consejo de Estado, en Sala de lo Contencioso Administrativo, Sección Tercera, Subsección C, administrando justicia en nombre de la República de Colombia y por autoridad de la Ley,</w:t>
      </w:r>
    </w:p>
    <w:p w14:paraId="334676E0" w14:textId="3C53DFAE" w:rsidR="001D3B1D" w:rsidRDefault="001D3B1D" w:rsidP="0039184D">
      <w:pPr>
        <w:ind w:right="51"/>
        <w:contextualSpacing/>
        <w:jc w:val="both"/>
        <w:rPr>
          <w:rFonts w:ascii="Arial" w:hAnsi="Arial" w:cs="Arial"/>
        </w:rPr>
      </w:pPr>
    </w:p>
    <w:p w14:paraId="78B8E6FB" w14:textId="6882240A" w:rsidR="004D7B6A" w:rsidRDefault="004D7B6A" w:rsidP="0039184D">
      <w:pPr>
        <w:ind w:right="51"/>
        <w:contextualSpacing/>
        <w:jc w:val="both"/>
        <w:rPr>
          <w:rFonts w:ascii="Arial" w:hAnsi="Arial" w:cs="Arial"/>
        </w:rPr>
      </w:pPr>
    </w:p>
    <w:p w14:paraId="63AD9362" w14:textId="77777777" w:rsidR="004D7B6A" w:rsidRDefault="004D7B6A" w:rsidP="0039184D">
      <w:pPr>
        <w:ind w:right="51"/>
        <w:contextualSpacing/>
        <w:jc w:val="both"/>
        <w:rPr>
          <w:rFonts w:ascii="Arial" w:hAnsi="Arial" w:cs="Arial"/>
        </w:rPr>
      </w:pPr>
    </w:p>
    <w:p w14:paraId="633D71A8" w14:textId="77777777" w:rsidR="00F719D7" w:rsidRDefault="00F719D7" w:rsidP="00A03293">
      <w:pPr>
        <w:ind w:right="51"/>
        <w:contextualSpacing/>
        <w:jc w:val="center"/>
        <w:rPr>
          <w:rFonts w:ascii="Arial" w:hAnsi="Arial" w:cs="Arial"/>
          <w:b/>
          <w:lang w:val="es-ES"/>
        </w:rPr>
      </w:pPr>
      <w:r w:rsidRPr="00753BFF">
        <w:rPr>
          <w:rFonts w:ascii="Arial" w:hAnsi="Arial" w:cs="Arial"/>
          <w:b/>
          <w:lang w:val="es-ES"/>
        </w:rPr>
        <w:t>FALLA</w:t>
      </w:r>
    </w:p>
    <w:p w14:paraId="473E17EB" w14:textId="77777777" w:rsidR="00FE6083" w:rsidRPr="00A03293" w:rsidRDefault="00FE6083" w:rsidP="00A03293">
      <w:pPr>
        <w:ind w:right="51"/>
        <w:contextualSpacing/>
        <w:jc w:val="center"/>
        <w:rPr>
          <w:rFonts w:ascii="Arial" w:hAnsi="Arial" w:cs="Arial"/>
          <w:b/>
          <w:lang w:val="es-ES"/>
        </w:rPr>
      </w:pPr>
    </w:p>
    <w:p w14:paraId="7D4EAEAE" w14:textId="072350A5" w:rsidR="00537567" w:rsidRPr="00A03293" w:rsidRDefault="00537567" w:rsidP="00A03293">
      <w:pPr>
        <w:jc w:val="both"/>
        <w:rPr>
          <w:rFonts w:ascii="Arial" w:hAnsi="Arial" w:cs="Arial"/>
          <w:color w:val="0D0D0D"/>
          <w:spacing w:val="-3"/>
          <w:lang w:val="es-ES" w:eastAsia="zh-CN"/>
        </w:rPr>
      </w:pPr>
      <w:r w:rsidRPr="00A03293">
        <w:rPr>
          <w:rFonts w:ascii="Arial" w:hAnsi="Arial" w:cs="Arial"/>
          <w:b/>
          <w:bCs/>
          <w:color w:val="0D0D0D"/>
          <w:spacing w:val="-3"/>
          <w:lang w:val="es-ES" w:eastAsia="zh-CN"/>
        </w:rPr>
        <w:t xml:space="preserve">PRIMERO: </w:t>
      </w:r>
      <w:r w:rsidR="00FB5B74" w:rsidRPr="00A03293">
        <w:rPr>
          <w:rFonts w:ascii="Arial" w:hAnsi="Arial" w:cs="Arial"/>
          <w:b/>
          <w:bCs/>
          <w:color w:val="0D0D0D"/>
          <w:spacing w:val="-3"/>
          <w:lang w:val="es-ES" w:eastAsia="zh-CN"/>
        </w:rPr>
        <w:t>DECLARAR IMPROCEDENTE</w:t>
      </w:r>
      <w:r w:rsidRPr="00A03293">
        <w:rPr>
          <w:rFonts w:ascii="Arial" w:hAnsi="Arial" w:cs="Arial"/>
          <w:b/>
          <w:bCs/>
          <w:color w:val="0D0D0D"/>
          <w:spacing w:val="-3"/>
          <w:lang w:val="es-ES" w:eastAsia="zh-CN"/>
        </w:rPr>
        <w:t xml:space="preserve"> </w:t>
      </w:r>
      <w:r w:rsidR="00FB5B74" w:rsidRPr="00A03293">
        <w:rPr>
          <w:rFonts w:ascii="Arial" w:hAnsi="Arial" w:cs="Arial"/>
          <w:lang w:eastAsia="es-ES"/>
        </w:rPr>
        <w:t xml:space="preserve">la solicitud de </w:t>
      </w:r>
      <w:r w:rsidR="008B211A" w:rsidRPr="00A03293">
        <w:rPr>
          <w:rFonts w:ascii="Arial" w:hAnsi="Arial" w:cs="Arial"/>
          <w:lang w:eastAsia="es-ES"/>
        </w:rPr>
        <w:t xml:space="preserve">amparo presentada por </w:t>
      </w:r>
      <w:r w:rsidR="00CF29F0">
        <w:rPr>
          <w:rFonts w:ascii="Arial" w:hAnsi="Arial" w:cs="Arial"/>
        </w:rPr>
        <w:t xml:space="preserve">la </w:t>
      </w:r>
      <w:r w:rsidR="0035152C">
        <w:rPr>
          <w:rFonts w:ascii="Arial" w:hAnsi="Arial" w:cs="Arial"/>
        </w:rPr>
        <w:t xml:space="preserve">Blanca Amparo </w:t>
      </w:r>
      <w:r w:rsidR="00DD6B17">
        <w:rPr>
          <w:rFonts w:ascii="Arial" w:hAnsi="Arial" w:cs="Arial"/>
        </w:rPr>
        <w:t>Vélez Castro</w:t>
      </w:r>
      <w:r w:rsidR="00FB5B74" w:rsidRPr="00A03293">
        <w:rPr>
          <w:rFonts w:ascii="Arial" w:hAnsi="Arial" w:cs="Arial"/>
          <w:lang w:eastAsia="es-ES"/>
        </w:rPr>
        <w:t>, por las razones expuestas en esta providencia</w:t>
      </w:r>
      <w:r w:rsidRPr="00A03293">
        <w:rPr>
          <w:rFonts w:ascii="Arial" w:hAnsi="Arial" w:cs="Arial"/>
          <w:color w:val="0D0D0D"/>
          <w:spacing w:val="-3"/>
          <w:lang w:val="es-ES" w:eastAsia="zh-CN"/>
        </w:rPr>
        <w:t>.</w:t>
      </w:r>
    </w:p>
    <w:p w14:paraId="4E903B67" w14:textId="77777777" w:rsidR="00537567" w:rsidRDefault="00537567" w:rsidP="00A03293">
      <w:pPr>
        <w:jc w:val="both"/>
        <w:rPr>
          <w:rFonts w:ascii="Arial" w:hAnsi="Arial" w:cs="Arial"/>
          <w:b/>
          <w:bCs/>
          <w:color w:val="0D0D0D"/>
          <w:spacing w:val="-3"/>
          <w:lang w:val="es-ES" w:eastAsia="zh-CN"/>
        </w:rPr>
      </w:pPr>
    </w:p>
    <w:p w14:paraId="0E43B15E" w14:textId="2DC0F93A" w:rsidR="00537567" w:rsidRPr="00692E9A" w:rsidRDefault="00537567" w:rsidP="00A03293">
      <w:pPr>
        <w:jc w:val="both"/>
        <w:rPr>
          <w:rFonts w:ascii="Arial" w:hAnsi="Arial" w:cs="Arial"/>
          <w:color w:val="0D0D0D"/>
          <w:spacing w:val="-3"/>
          <w:lang w:val="es-ES" w:eastAsia="zh-CN"/>
        </w:rPr>
      </w:pPr>
      <w:r w:rsidRPr="00692E9A">
        <w:rPr>
          <w:rFonts w:ascii="Arial" w:hAnsi="Arial" w:cs="Arial"/>
          <w:b/>
          <w:bCs/>
          <w:color w:val="0D0D0D"/>
          <w:spacing w:val="-3"/>
          <w:lang w:val="es-ES" w:eastAsia="zh-CN"/>
        </w:rPr>
        <w:t xml:space="preserve">SEGUNDO: </w:t>
      </w:r>
      <w:r w:rsidR="00FB5B74">
        <w:rPr>
          <w:rFonts w:ascii="Arial" w:hAnsi="Arial" w:cs="Arial"/>
          <w:b/>
          <w:bCs/>
          <w:color w:val="0D0D0D"/>
          <w:spacing w:val="-3"/>
          <w:lang w:val="es-ES" w:eastAsia="zh-CN"/>
        </w:rPr>
        <w:t>NOTIFICAR</w:t>
      </w:r>
      <w:r w:rsidRPr="00692E9A">
        <w:rPr>
          <w:rFonts w:ascii="Arial" w:hAnsi="Arial" w:cs="Arial"/>
          <w:color w:val="0D0D0D"/>
          <w:spacing w:val="-3"/>
          <w:lang w:val="es-ES" w:eastAsia="zh-CN"/>
        </w:rPr>
        <w:t xml:space="preserve"> </w:t>
      </w:r>
      <w:r w:rsidR="00FB5B74">
        <w:rPr>
          <w:rFonts w:ascii="Arial" w:hAnsi="Arial" w:cs="Arial"/>
          <w:color w:val="0D0D0D"/>
          <w:spacing w:val="-3"/>
          <w:lang w:val="es-ES" w:eastAsia="zh-CN"/>
        </w:rPr>
        <w:t>la presente decisión a las partes por el medio más expedito</w:t>
      </w:r>
      <w:r w:rsidRPr="00692E9A">
        <w:rPr>
          <w:rFonts w:ascii="Arial" w:hAnsi="Arial" w:cs="Arial"/>
          <w:color w:val="0D0D0D"/>
          <w:spacing w:val="-3"/>
          <w:lang w:val="es-ES" w:eastAsia="zh-CN"/>
        </w:rPr>
        <w:t>.</w:t>
      </w:r>
    </w:p>
    <w:p w14:paraId="55F8198C" w14:textId="77777777" w:rsidR="00537567" w:rsidRPr="00692E9A" w:rsidRDefault="00537567" w:rsidP="00A03293">
      <w:pPr>
        <w:jc w:val="both"/>
        <w:rPr>
          <w:rFonts w:ascii="Arial" w:hAnsi="Arial" w:cs="Arial"/>
          <w:color w:val="0D0D0D"/>
          <w:spacing w:val="-3"/>
          <w:lang w:val="es-ES" w:eastAsia="zh-CN"/>
        </w:rPr>
      </w:pPr>
    </w:p>
    <w:p w14:paraId="29F8E4C1" w14:textId="46D42FF4" w:rsidR="00537567" w:rsidRPr="00692E9A" w:rsidRDefault="00537567" w:rsidP="00A03293">
      <w:pPr>
        <w:jc w:val="both"/>
        <w:rPr>
          <w:rFonts w:ascii="Arial" w:hAnsi="Arial" w:cs="Arial"/>
          <w:color w:val="0D0D0D"/>
          <w:spacing w:val="-3"/>
          <w:lang w:val="es-ES" w:eastAsia="zh-CN"/>
        </w:rPr>
      </w:pPr>
      <w:r w:rsidRPr="00692E9A">
        <w:rPr>
          <w:rFonts w:ascii="Arial" w:hAnsi="Arial" w:cs="Arial"/>
          <w:b/>
          <w:bCs/>
          <w:color w:val="0D0D0D"/>
          <w:spacing w:val="-3"/>
          <w:lang w:val="es-ES" w:eastAsia="zh-CN"/>
        </w:rPr>
        <w:t>TERCERO:</w:t>
      </w:r>
      <w:r w:rsidRPr="00692E9A">
        <w:rPr>
          <w:rFonts w:ascii="Arial" w:hAnsi="Arial" w:cs="Arial"/>
          <w:color w:val="0D0D0D"/>
          <w:spacing w:val="-3"/>
          <w:lang w:val="es-ES" w:eastAsia="zh-CN"/>
        </w:rPr>
        <w:t xml:space="preserve"> </w:t>
      </w:r>
      <w:r w:rsidR="00FB5B74">
        <w:rPr>
          <w:rFonts w:ascii="Arial" w:hAnsi="Arial" w:cs="Arial"/>
          <w:b/>
          <w:bCs/>
          <w:color w:val="0D0D0D"/>
          <w:spacing w:val="-3"/>
          <w:lang w:val="es-ES" w:eastAsia="zh-CN"/>
        </w:rPr>
        <w:t>ENVIAR</w:t>
      </w:r>
      <w:r w:rsidRPr="00692E9A">
        <w:rPr>
          <w:rFonts w:ascii="Arial" w:hAnsi="Arial" w:cs="Arial"/>
          <w:color w:val="0D0D0D"/>
          <w:spacing w:val="-3"/>
          <w:lang w:val="es-ES" w:eastAsia="zh-CN"/>
        </w:rPr>
        <w:t xml:space="preserve"> </w:t>
      </w:r>
      <w:r w:rsidR="00FB5B74">
        <w:rPr>
          <w:rFonts w:ascii="Arial" w:hAnsi="Arial" w:cs="Arial"/>
          <w:color w:val="0D0D0D"/>
          <w:spacing w:val="-3"/>
          <w:lang w:val="es-ES" w:eastAsia="zh-CN"/>
        </w:rPr>
        <w:t>la presente providencia a la Cort</w:t>
      </w:r>
      <w:bookmarkStart w:id="1" w:name="_GoBack"/>
      <w:bookmarkEnd w:id="1"/>
      <w:r w:rsidR="00FB5B74">
        <w:rPr>
          <w:rFonts w:ascii="Arial" w:hAnsi="Arial" w:cs="Arial"/>
          <w:color w:val="0D0D0D"/>
          <w:spacing w:val="-3"/>
          <w:lang w:val="es-ES" w:eastAsia="zh-CN"/>
        </w:rPr>
        <w:t>e Constitucional para su eventual revisión, en caso de que no sea impugnada</w:t>
      </w:r>
      <w:r w:rsidRPr="00692E9A">
        <w:rPr>
          <w:rFonts w:ascii="Arial" w:hAnsi="Arial" w:cs="Arial"/>
          <w:color w:val="0D0D0D"/>
          <w:spacing w:val="-3"/>
          <w:lang w:val="es-ES" w:eastAsia="zh-CN"/>
        </w:rPr>
        <w:t>.</w:t>
      </w:r>
      <w:r w:rsidR="00FC2F63">
        <w:rPr>
          <w:rFonts w:ascii="Arial" w:hAnsi="Arial" w:cs="Arial"/>
          <w:color w:val="0D0D0D"/>
          <w:spacing w:val="-3"/>
          <w:lang w:val="es-ES" w:eastAsia="zh-CN"/>
        </w:rPr>
        <w:t xml:space="preserve"> </w:t>
      </w:r>
    </w:p>
    <w:p w14:paraId="4C6C923C" w14:textId="77777777" w:rsidR="006A6DF5" w:rsidRPr="00753BFF" w:rsidRDefault="006A6DF5" w:rsidP="00A03293">
      <w:pPr>
        <w:pStyle w:val="Textosinformato"/>
        <w:tabs>
          <w:tab w:val="left" w:pos="1650"/>
          <w:tab w:val="center" w:pos="4420"/>
        </w:tabs>
        <w:contextualSpacing/>
        <w:jc w:val="center"/>
        <w:rPr>
          <w:rFonts w:ascii="Arial" w:hAnsi="Arial" w:cs="Arial"/>
          <w:b/>
          <w:sz w:val="24"/>
          <w:szCs w:val="24"/>
          <w:lang w:val="es-ES"/>
        </w:rPr>
      </w:pPr>
    </w:p>
    <w:p w14:paraId="7C32E4A1" w14:textId="5E680744" w:rsidR="00C13383" w:rsidRPr="00753BFF" w:rsidRDefault="0056174E" w:rsidP="00A03293">
      <w:pPr>
        <w:jc w:val="both"/>
        <w:rPr>
          <w:rFonts w:ascii="Arial" w:hAnsi="Arial" w:cs="Arial"/>
          <w:b/>
          <w:lang w:val="es-ES"/>
        </w:rPr>
      </w:pPr>
      <w:r>
        <w:rPr>
          <w:rFonts w:ascii="Arial" w:hAnsi="Arial" w:cs="Arial"/>
          <w:b/>
          <w:lang w:val="es-ES"/>
        </w:rPr>
        <w:t>N</w:t>
      </w:r>
      <w:r w:rsidR="00C13383" w:rsidRPr="00753BFF">
        <w:rPr>
          <w:rFonts w:ascii="Arial" w:hAnsi="Arial" w:cs="Arial"/>
          <w:b/>
          <w:lang w:val="es-ES"/>
        </w:rPr>
        <w:t>otifíquese, cúmplase</w:t>
      </w:r>
    </w:p>
    <w:p w14:paraId="4779F6B7" w14:textId="77777777" w:rsidR="00C13383" w:rsidRDefault="00C13383" w:rsidP="00A03293">
      <w:pPr>
        <w:pStyle w:val="Textosinformato"/>
        <w:tabs>
          <w:tab w:val="left" w:pos="1650"/>
          <w:tab w:val="center" w:pos="4420"/>
        </w:tabs>
        <w:contextualSpacing/>
        <w:jc w:val="both"/>
        <w:rPr>
          <w:rFonts w:ascii="Arial" w:hAnsi="Arial" w:cs="Arial"/>
          <w:b/>
          <w:sz w:val="24"/>
          <w:szCs w:val="24"/>
          <w:lang w:val="es-ES"/>
        </w:rPr>
      </w:pPr>
    </w:p>
    <w:p w14:paraId="32359450" w14:textId="77777777" w:rsidR="00C13383" w:rsidRPr="00753BFF" w:rsidRDefault="00C13383" w:rsidP="00A03293">
      <w:pPr>
        <w:overflowPunct w:val="0"/>
        <w:autoSpaceDE w:val="0"/>
        <w:autoSpaceDN w:val="0"/>
        <w:adjustRightInd w:val="0"/>
        <w:ind w:right="51"/>
        <w:contextualSpacing/>
        <w:textAlignment w:val="baseline"/>
        <w:rPr>
          <w:rFonts w:ascii="Arial" w:hAnsi="Arial" w:cs="Arial"/>
          <w:b/>
          <w:lang w:val="es-ES" w:eastAsia="es-ES"/>
        </w:rPr>
      </w:pPr>
    </w:p>
    <w:p w14:paraId="4C87A192" w14:textId="77777777" w:rsidR="00C13383" w:rsidRPr="00753BFF" w:rsidRDefault="00FE6083" w:rsidP="00A03293">
      <w:pPr>
        <w:overflowPunct w:val="0"/>
        <w:autoSpaceDE w:val="0"/>
        <w:autoSpaceDN w:val="0"/>
        <w:adjustRightInd w:val="0"/>
        <w:ind w:right="51"/>
        <w:contextualSpacing/>
        <w:jc w:val="center"/>
        <w:textAlignment w:val="baseline"/>
        <w:rPr>
          <w:rFonts w:ascii="Arial" w:hAnsi="Arial" w:cs="Arial"/>
          <w:b/>
          <w:lang w:val="es-ES" w:eastAsia="es-ES"/>
        </w:rPr>
      </w:pPr>
      <w:r>
        <w:rPr>
          <w:rFonts w:ascii="Arial" w:hAnsi="Arial" w:cs="Arial"/>
          <w:b/>
          <w:lang w:val="es-ES" w:eastAsia="es-ES"/>
        </w:rPr>
        <w:t>NICOLÁS YEPES CORRALES</w:t>
      </w:r>
    </w:p>
    <w:p w14:paraId="0A4E3615" w14:textId="419A2F1E" w:rsidR="00C13383" w:rsidRPr="00753BFF" w:rsidRDefault="00C13383" w:rsidP="00A03293">
      <w:pPr>
        <w:overflowPunct w:val="0"/>
        <w:autoSpaceDE w:val="0"/>
        <w:autoSpaceDN w:val="0"/>
        <w:adjustRightInd w:val="0"/>
        <w:ind w:right="51"/>
        <w:contextualSpacing/>
        <w:jc w:val="center"/>
        <w:textAlignment w:val="baseline"/>
        <w:rPr>
          <w:rFonts w:ascii="Arial" w:hAnsi="Arial" w:cs="Arial"/>
          <w:b/>
          <w:lang w:val="es-ES" w:eastAsia="es-ES"/>
        </w:rPr>
      </w:pPr>
      <w:r w:rsidRPr="00753BFF">
        <w:rPr>
          <w:rFonts w:ascii="Arial" w:hAnsi="Arial" w:cs="Arial"/>
          <w:b/>
          <w:lang w:val="es-ES" w:eastAsia="es-ES"/>
        </w:rPr>
        <w:t>Presidente</w:t>
      </w:r>
      <w:r w:rsidR="000A1C8D">
        <w:rPr>
          <w:rFonts w:ascii="Arial" w:hAnsi="Arial" w:cs="Arial"/>
          <w:b/>
          <w:lang w:val="es-ES" w:eastAsia="es-ES"/>
        </w:rPr>
        <w:t xml:space="preserve"> de Sala</w:t>
      </w:r>
    </w:p>
    <w:p w14:paraId="757D8783" w14:textId="77777777" w:rsidR="00C13383" w:rsidRDefault="00C13383" w:rsidP="00A03293">
      <w:pPr>
        <w:overflowPunct w:val="0"/>
        <w:autoSpaceDE w:val="0"/>
        <w:autoSpaceDN w:val="0"/>
        <w:adjustRightInd w:val="0"/>
        <w:ind w:right="51"/>
        <w:contextualSpacing/>
        <w:jc w:val="center"/>
        <w:textAlignment w:val="baseline"/>
        <w:rPr>
          <w:rFonts w:ascii="Arial" w:hAnsi="Arial" w:cs="Arial"/>
          <w:b/>
          <w:lang w:val="es-ES" w:eastAsia="es-ES"/>
        </w:rPr>
      </w:pPr>
    </w:p>
    <w:p w14:paraId="683A237A" w14:textId="77777777" w:rsidR="00C13383" w:rsidRPr="00753BFF" w:rsidRDefault="00C13383" w:rsidP="00A03293">
      <w:pPr>
        <w:overflowPunct w:val="0"/>
        <w:autoSpaceDE w:val="0"/>
        <w:autoSpaceDN w:val="0"/>
        <w:adjustRightInd w:val="0"/>
        <w:ind w:right="51"/>
        <w:contextualSpacing/>
        <w:textAlignment w:val="baseline"/>
        <w:rPr>
          <w:rFonts w:ascii="Arial" w:hAnsi="Arial" w:cs="Arial"/>
          <w:b/>
          <w:lang w:val="es-ES" w:eastAsia="es-ES"/>
        </w:rPr>
      </w:pPr>
    </w:p>
    <w:p w14:paraId="196FF064" w14:textId="77777777" w:rsidR="00C13383" w:rsidRPr="00753BFF" w:rsidRDefault="00C13383" w:rsidP="00A03293">
      <w:pPr>
        <w:overflowPunct w:val="0"/>
        <w:autoSpaceDE w:val="0"/>
        <w:autoSpaceDN w:val="0"/>
        <w:adjustRightInd w:val="0"/>
        <w:ind w:right="51"/>
        <w:contextualSpacing/>
        <w:jc w:val="center"/>
        <w:textAlignment w:val="baseline"/>
        <w:rPr>
          <w:rFonts w:ascii="Arial" w:hAnsi="Arial" w:cs="Arial"/>
          <w:b/>
          <w:lang w:val="es-ES" w:eastAsia="es-ES"/>
        </w:rPr>
      </w:pPr>
    </w:p>
    <w:tbl>
      <w:tblPr>
        <w:tblW w:w="9356" w:type="dxa"/>
        <w:tblInd w:w="108" w:type="dxa"/>
        <w:tblLook w:val="04A0" w:firstRow="1" w:lastRow="0" w:firstColumn="1" w:lastColumn="0" w:noHBand="0" w:noVBand="1"/>
      </w:tblPr>
      <w:tblGrid>
        <w:gridCol w:w="4678"/>
        <w:gridCol w:w="4678"/>
      </w:tblGrid>
      <w:tr w:rsidR="00C13383" w:rsidRPr="00753BFF" w14:paraId="14EA8D69" w14:textId="77777777" w:rsidTr="00111374">
        <w:tc>
          <w:tcPr>
            <w:tcW w:w="4678" w:type="dxa"/>
            <w:shd w:val="clear" w:color="auto" w:fill="auto"/>
          </w:tcPr>
          <w:p w14:paraId="7665E379" w14:textId="77777777" w:rsidR="00C13383" w:rsidRPr="00753BFF" w:rsidRDefault="00FE6083" w:rsidP="00A03293">
            <w:pPr>
              <w:overflowPunct w:val="0"/>
              <w:autoSpaceDE w:val="0"/>
              <w:autoSpaceDN w:val="0"/>
              <w:adjustRightInd w:val="0"/>
              <w:ind w:right="51"/>
              <w:contextualSpacing/>
              <w:jc w:val="center"/>
              <w:textAlignment w:val="baseline"/>
              <w:rPr>
                <w:rFonts w:ascii="Arial" w:hAnsi="Arial" w:cs="Arial"/>
                <w:b/>
                <w:bCs/>
                <w:lang w:val="es-ES" w:eastAsia="es-ES"/>
              </w:rPr>
            </w:pPr>
            <w:r>
              <w:rPr>
                <w:rFonts w:ascii="Arial" w:hAnsi="Arial" w:cs="Arial"/>
                <w:b/>
                <w:lang w:val="es-ES" w:eastAsia="es-ES"/>
              </w:rPr>
              <w:t>JAIME ENRIQUE RODRÍGUEZ NAVAS</w:t>
            </w:r>
          </w:p>
          <w:p w14:paraId="3DD48D2C" w14:textId="77777777" w:rsidR="00C13383" w:rsidRPr="00753BFF" w:rsidRDefault="00C13383" w:rsidP="00A03293">
            <w:pPr>
              <w:overflowPunct w:val="0"/>
              <w:autoSpaceDE w:val="0"/>
              <w:autoSpaceDN w:val="0"/>
              <w:adjustRightInd w:val="0"/>
              <w:ind w:right="51"/>
              <w:contextualSpacing/>
              <w:jc w:val="center"/>
              <w:textAlignment w:val="baseline"/>
              <w:rPr>
                <w:rFonts w:ascii="Arial" w:hAnsi="Arial" w:cs="Arial"/>
                <w:b/>
                <w:bCs/>
                <w:lang w:val="es-ES" w:eastAsia="es-ES"/>
              </w:rPr>
            </w:pPr>
            <w:r w:rsidRPr="00753BFF">
              <w:rPr>
                <w:rFonts w:ascii="Arial" w:hAnsi="Arial" w:cs="Arial"/>
                <w:b/>
                <w:bCs/>
                <w:lang w:val="es-ES" w:eastAsia="es-ES"/>
              </w:rPr>
              <w:t>Magistrado</w:t>
            </w:r>
          </w:p>
        </w:tc>
        <w:tc>
          <w:tcPr>
            <w:tcW w:w="4678" w:type="dxa"/>
            <w:shd w:val="clear" w:color="auto" w:fill="auto"/>
          </w:tcPr>
          <w:p w14:paraId="1E38A056" w14:textId="77777777" w:rsidR="00C13383" w:rsidRPr="00753BFF" w:rsidRDefault="00FE6083" w:rsidP="00A03293">
            <w:pPr>
              <w:overflowPunct w:val="0"/>
              <w:autoSpaceDE w:val="0"/>
              <w:autoSpaceDN w:val="0"/>
              <w:adjustRightInd w:val="0"/>
              <w:ind w:right="51"/>
              <w:contextualSpacing/>
              <w:jc w:val="center"/>
              <w:textAlignment w:val="baseline"/>
              <w:rPr>
                <w:rFonts w:ascii="Arial" w:hAnsi="Arial" w:cs="Arial"/>
                <w:b/>
                <w:bCs/>
                <w:lang w:val="es-ES" w:eastAsia="es-ES"/>
              </w:rPr>
            </w:pPr>
            <w:r>
              <w:rPr>
                <w:rFonts w:ascii="Arial" w:hAnsi="Arial" w:cs="Arial"/>
                <w:b/>
                <w:bCs/>
                <w:lang w:val="es-ES" w:eastAsia="es-ES"/>
              </w:rPr>
              <w:t>GUILLERMO SÁNCHEZ LUQUE</w:t>
            </w:r>
          </w:p>
          <w:p w14:paraId="168E3BC4" w14:textId="0A3F9AC6" w:rsidR="00FE6083" w:rsidRDefault="00C13383" w:rsidP="00A03293">
            <w:pPr>
              <w:overflowPunct w:val="0"/>
              <w:autoSpaceDE w:val="0"/>
              <w:autoSpaceDN w:val="0"/>
              <w:adjustRightInd w:val="0"/>
              <w:ind w:right="51"/>
              <w:contextualSpacing/>
              <w:jc w:val="center"/>
              <w:textAlignment w:val="baseline"/>
              <w:rPr>
                <w:rFonts w:ascii="Arial" w:hAnsi="Arial" w:cs="Arial"/>
                <w:b/>
                <w:lang w:val="es-ES" w:eastAsia="es-ES"/>
              </w:rPr>
            </w:pPr>
            <w:r w:rsidRPr="00753BFF">
              <w:rPr>
                <w:rFonts w:ascii="Arial" w:hAnsi="Arial" w:cs="Arial"/>
                <w:b/>
                <w:lang w:val="es-ES" w:eastAsia="es-ES"/>
              </w:rPr>
              <w:t>Magistrado</w:t>
            </w:r>
          </w:p>
          <w:p w14:paraId="45214950" w14:textId="0EC6C70C" w:rsidR="00F82D27" w:rsidRDefault="00F82D27" w:rsidP="00A03293">
            <w:pPr>
              <w:overflowPunct w:val="0"/>
              <w:autoSpaceDE w:val="0"/>
              <w:autoSpaceDN w:val="0"/>
              <w:adjustRightInd w:val="0"/>
              <w:ind w:right="51"/>
              <w:contextualSpacing/>
              <w:jc w:val="center"/>
              <w:textAlignment w:val="baseline"/>
              <w:rPr>
                <w:rFonts w:ascii="Arial" w:hAnsi="Arial" w:cs="Arial"/>
                <w:b/>
                <w:lang w:val="es-ES" w:eastAsia="es-ES"/>
              </w:rPr>
            </w:pPr>
            <w:r w:rsidRPr="00F82D27">
              <w:rPr>
                <w:rFonts w:ascii="Arial" w:hAnsi="Arial" w:cs="Arial"/>
                <w:b/>
                <w:lang w:val="es-ES" w:eastAsia="es-ES"/>
              </w:rPr>
              <w:t>Aclaración de voto Cfr. Rad. 11001-03-15-000-2019-01299-00</w:t>
            </w:r>
          </w:p>
          <w:p w14:paraId="2A5B8ADA" w14:textId="4575AD6C" w:rsidR="0021220A" w:rsidRPr="00753BFF" w:rsidRDefault="0021220A" w:rsidP="00A03293">
            <w:pPr>
              <w:overflowPunct w:val="0"/>
              <w:autoSpaceDE w:val="0"/>
              <w:autoSpaceDN w:val="0"/>
              <w:adjustRightInd w:val="0"/>
              <w:ind w:right="51"/>
              <w:contextualSpacing/>
              <w:jc w:val="center"/>
              <w:textAlignment w:val="baseline"/>
              <w:rPr>
                <w:rFonts w:ascii="Arial" w:hAnsi="Arial" w:cs="Arial"/>
                <w:b/>
                <w:lang w:val="es-ES" w:eastAsia="es-ES"/>
              </w:rPr>
            </w:pPr>
          </w:p>
        </w:tc>
      </w:tr>
    </w:tbl>
    <w:p w14:paraId="053FC22D" w14:textId="0C9A7512" w:rsidR="00C13383" w:rsidRPr="00753BFF" w:rsidRDefault="00442186" w:rsidP="00A03293">
      <w:pPr>
        <w:overflowPunct w:val="0"/>
        <w:autoSpaceDE w:val="0"/>
        <w:autoSpaceDN w:val="0"/>
        <w:adjustRightInd w:val="0"/>
        <w:contextualSpacing/>
        <w:textAlignment w:val="baseline"/>
        <w:rPr>
          <w:rFonts w:ascii="Arial" w:hAnsi="Arial" w:cs="Arial"/>
          <w:bCs/>
          <w:sz w:val="16"/>
          <w:szCs w:val="16"/>
          <w:lang w:val="es-ES" w:eastAsia="es-ES"/>
        </w:rPr>
      </w:pPr>
      <w:r>
        <w:rPr>
          <w:rFonts w:ascii="Arial" w:hAnsi="Arial" w:cs="Arial"/>
          <w:bCs/>
          <w:sz w:val="16"/>
          <w:szCs w:val="16"/>
          <w:lang w:val="es-ES" w:eastAsia="es-ES"/>
        </w:rPr>
        <w:t>SABF</w:t>
      </w:r>
    </w:p>
    <w:p w14:paraId="41B9616E" w14:textId="77777777" w:rsidR="00E5580B" w:rsidRPr="00753BFF" w:rsidRDefault="00E5580B" w:rsidP="00D90EF0">
      <w:pPr>
        <w:overflowPunct w:val="0"/>
        <w:autoSpaceDE w:val="0"/>
        <w:autoSpaceDN w:val="0"/>
        <w:adjustRightInd w:val="0"/>
        <w:spacing w:line="276" w:lineRule="auto"/>
        <w:ind w:right="51"/>
        <w:contextualSpacing/>
        <w:jc w:val="both"/>
        <w:textAlignment w:val="baseline"/>
        <w:rPr>
          <w:rFonts w:ascii="Arial" w:hAnsi="Arial" w:cs="Arial"/>
          <w:bCs/>
          <w:sz w:val="16"/>
          <w:szCs w:val="16"/>
          <w:lang w:val="es-ES" w:eastAsia="es-ES"/>
        </w:rPr>
      </w:pPr>
    </w:p>
    <w:sectPr w:rsidR="00E5580B" w:rsidRPr="00753BFF" w:rsidSect="00FC2F63">
      <w:headerReference w:type="default" r:id="rId11"/>
      <w:footerReference w:type="default" r:id="rId12"/>
      <w:headerReference w:type="first" r:id="rId13"/>
      <w:pgSz w:w="12242" w:h="19442" w:code="26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58C58" w14:textId="77777777" w:rsidR="00A262D9" w:rsidRDefault="00A262D9" w:rsidP="005E7B4A">
      <w:r>
        <w:separator/>
      </w:r>
    </w:p>
  </w:endnote>
  <w:endnote w:type="continuationSeparator" w:id="0">
    <w:p w14:paraId="12138BB4" w14:textId="77777777" w:rsidR="00A262D9" w:rsidRDefault="00A262D9" w:rsidP="005E7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4143118"/>
      <w:docPartObj>
        <w:docPartGallery w:val="Page Numbers (Bottom of Page)"/>
        <w:docPartUnique/>
      </w:docPartObj>
    </w:sdtPr>
    <w:sdtContent>
      <w:p w14:paraId="7784DFF5" w14:textId="2CE2C4D6" w:rsidR="0024230D" w:rsidRDefault="0024230D">
        <w:pPr>
          <w:pStyle w:val="Piedepgina"/>
          <w:jc w:val="right"/>
        </w:pPr>
        <w:r>
          <w:fldChar w:fldCharType="begin"/>
        </w:r>
        <w:r>
          <w:instrText>PAGE   \* MERGEFORMAT</w:instrText>
        </w:r>
        <w:r>
          <w:fldChar w:fldCharType="separate"/>
        </w:r>
        <w:r>
          <w:rPr>
            <w:lang w:val="es-ES"/>
          </w:rPr>
          <w:t>2</w:t>
        </w:r>
        <w:r>
          <w:fldChar w:fldCharType="end"/>
        </w:r>
      </w:p>
    </w:sdtContent>
  </w:sdt>
  <w:p w14:paraId="11D76729" w14:textId="77777777" w:rsidR="0024230D" w:rsidRDefault="0024230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FAEB6" w14:textId="77777777" w:rsidR="00A262D9" w:rsidRDefault="00A262D9" w:rsidP="005E7B4A">
      <w:r>
        <w:separator/>
      </w:r>
    </w:p>
  </w:footnote>
  <w:footnote w:type="continuationSeparator" w:id="0">
    <w:p w14:paraId="333C0A74" w14:textId="77777777" w:rsidR="00A262D9" w:rsidRDefault="00A262D9" w:rsidP="005E7B4A">
      <w:r>
        <w:continuationSeparator/>
      </w:r>
    </w:p>
  </w:footnote>
  <w:footnote w:id="1">
    <w:p w14:paraId="6CA745F9" w14:textId="47EB3F4C" w:rsidR="00E968E3" w:rsidRPr="00E62F91" w:rsidRDefault="00E968E3" w:rsidP="00E968E3">
      <w:pPr>
        <w:jc w:val="both"/>
        <w:rPr>
          <w:rFonts w:ascii="Arial" w:hAnsi="Arial" w:cs="Arial"/>
          <w:lang w:val="es-ES"/>
        </w:rPr>
      </w:pPr>
      <w:r w:rsidRPr="00E62F91">
        <w:rPr>
          <w:rStyle w:val="Refdenotaalpie"/>
          <w:rFonts w:ascii="Arial" w:hAnsi="Arial" w:cs="Arial"/>
        </w:rPr>
        <w:footnoteRef/>
      </w:r>
      <w:r w:rsidRPr="00E62F91">
        <w:rPr>
          <w:rFonts w:ascii="Arial" w:hAnsi="Arial" w:cs="Arial"/>
        </w:rPr>
        <w:t xml:space="preserve"> </w:t>
      </w:r>
      <w:r w:rsidRPr="00E968E3">
        <w:rPr>
          <w:rFonts w:ascii="Arial" w:hAnsi="Arial" w:cs="Arial"/>
          <w:sz w:val="20"/>
          <w:szCs w:val="20"/>
          <w:lang w:val="es-ES"/>
        </w:rPr>
        <w:t xml:space="preserve">Archivo electrónico que contiene la acción de tutela, con ubicación: 9EC53205194451A7 94BF01F81C4C289C F414DBA1E0836F78 B5A9EE5DD75057A4, índice 2 de </w:t>
      </w:r>
      <w:proofErr w:type="spellStart"/>
      <w:r w:rsidRPr="00E968E3">
        <w:rPr>
          <w:rFonts w:ascii="Arial" w:hAnsi="Arial" w:cs="Arial"/>
          <w:sz w:val="20"/>
          <w:szCs w:val="20"/>
          <w:lang w:val="es-ES"/>
        </w:rPr>
        <w:t>Samai</w:t>
      </w:r>
      <w:proofErr w:type="spellEnd"/>
      <w:r w:rsidRPr="00E968E3">
        <w:rPr>
          <w:rFonts w:ascii="Arial" w:hAnsi="Arial" w:cs="Arial"/>
          <w:sz w:val="20"/>
          <w:szCs w:val="20"/>
          <w:lang w:val="es-ES"/>
        </w:rPr>
        <w:t>.</w:t>
      </w:r>
    </w:p>
  </w:footnote>
  <w:footnote w:id="2">
    <w:p w14:paraId="09D91F09" w14:textId="47EFD76E" w:rsidR="00453909" w:rsidRPr="00460AAD" w:rsidRDefault="00453909" w:rsidP="00453909">
      <w:pPr>
        <w:pStyle w:val="Textonotapie"/>
        <w:spacing w:line="240" w:lineRule="auto"/>
        <w:jc w:val="both"/>
        <w:rPr>
          <w:rFonts w:ascii="Arial" w:hAnsi="Arial" w:cs="Arial"/>
          <w:sz w:val="16"/>
          <w:szCs w:val="16"/>
        </w:rPr>
      </w:pPr>
      <w:r w:rsidRPr="00460AAD">
        <w:rPr>
          <w:rStyle w:val="Refdenotaalpie"/>
          <w:rFonts w:ascii="Arial" w:hAnsi="Arial" w:cs="Arial"/>
        </w:rPr>
        <w:footnoteRef/>
      </w:r>
      <w:r w:rsidRPr="00460AAD">
        <w:rPr>
          <w:rFonts w:ascii="Arial" w:hAnsi="Arial" w:cs="Arial"/>
        </w:rPr>
        <w:t xml:space="preserve"> Archivo electrónico que contiene la acción de tutela, con ubicación</w:t>
      </w:r>
      <w:r>
        <w:rPr>
          <w:rFonts w:ascii="Arial" w:hAnsi="Arial" w:cs="Arial"/>
        </w:rPr>
        <w:t xml:space="preserve"> </w:t>
      </w:r>
      <w:r w:rsidR="00CE6C75" w:rsidRPr="00CE6C75">
        <w:rPr>
          <w:rFonts w:ascii="Arial" w:hAnsi="Arial" w:cs="Arial"/>
        </w:rPr>
        <w:t>2449000C128C1754 E9C6391EE9ADAA3D ECE3CE45B2857A86 84F46F0E6C33F89B</w:t>
      </w:r>
      <w:r>
        <w:rPr>
          <w:rFonts w:ascii="Arial" w:hAnsi="Arial" w:cs="Arial"/>
        </w:rPr>
        <w:t xml:space="preserve">, índice </w:t>
      </w:r>
      <w:r w:rsidR="00CE6C75">
        <w:rPr>
          <w:rFonts w:ascii="Arial" w:hAnsi="Arial" w:cs="Arial"/>
        </w:rPr>
        <w:t xml:space="preserve">6 </w:t>
      </w:r>
      <w:r>
        <w:rPr>
          <w:rFonts w:ascii="Arial" w:hAnsi="Arial" w:cs="Arial"/>
        </w:rPr>
        <w:t xml:space="preserve">de </w:t>
      </w:r>
      <w:proofErr w:type="spellStart"/>
      <w:r>
        <w:rPr>
          <w:rFonts w:ascii="Arial" w:hAnsi="Arial" w:cs="Arial"/>
        </w:rPr>
        <w:t>Samai</w:t>
      </w:r>
      <w:proofErr w:type="spellEnd"/>
      <w:r>
        <w:rPr>
          <w:rFonts w:ascii="Arial" w:hAnsi="Arial" w:cs="Arial"/>
        </w:rPr>
        <w:t>.</w:t>
      </w:r>
    </w:p>
  </w:footnote>
  <w:footnote w:id="3">
    <w:p w14:paraId="416F9703" w14:textId="77777777" w:rsidR="00545C6C" w:rsidRPr="00747BD7" w:rsidRDefault="00545C6C" w:rsidP="00545C6C">
      <w:pPr>
        <w:pStyle w:val="Textonotapie"/>
        <w:spacing w:after="0" w:line="240" w:lineRule="auto"/>
        <w:jc w:val="both"/>
        <w:rPr>
          <w:rFonts w:ascii="Arial" w:hAnsi="Arial" w:cs="Arial"/>
        </w:rPr>
      </w:pPr>
      <w:r w:rsidRPr="00065C11">
        <w:rPr>
          <w:rStyle w:val="Refdenotaalpie"/>
          <w:rFonts w:ascii="Arial" w:hAnsi="Arial" w:cs="Arial"/>
        </w:rPr>
        <w:footnoteRef/>
      </w:r>
      <w:r w:rsidRPr="00065C11">
        <w:rPr>
          <w:rFonts w:ascii="Arial" w:hAnsi="Arial" w:cs="Arial"/>
        </w:rPr>
        <w:t xml:space="preserve"> Las causales específicas de procedencia de la acción de tutela contra providencia judicial se concretan en los defectos o errores en que puede incurrir la decisión cuestionada, de modo que, si en una decisión judicial se presenta alguna de las causales específicas, podrá ser razón suficiente para el amparo constitucional. A saber: a) Defecto orgánico, que se presenta cuando el juez carece de competencia; b) defecto procedimental, que ocurre cuando la autoridad judicial actuó al margen del procedimiento establecido; c) defecto fáctico, esto es, cuando el juez no tuvo en cuenta el material de prueba obrante en el expediente para proferir decisión; d) defecto material o sustantivo, el que se origina en el evento en que se decida con fundamento en normas inexistentes o inconstitucionales, en contravía de ellas, o existe una evidente y grosera contradicción entre los fundamentos y la decisión; e) error inducido, cuando la autoridad judicial es víctima de engaño por terceros y el mismo lo condujo a tomar una decisión que afecta derechos fundamentales; f) decisión sin motivación, que implica el incumplimiento de los servidores judiciales de dar cuenta de los fundamentos fácticos y jurídicos de sus decisiones en el entendido que precisamente en esa motivación reposa la legitimidad de su órbita funcional; g) desconocimiento del precedente constitucional, cuando la Corte Constitucional establece el alcance de un derecho fundamental y el juez ordinario aplica una ley limitando sustancialmente dicho alcance y h) violación directa de la Constitución Política, cuando los jueces desconocen la aplicación de la Ley Fundamental, conforme al mandato consagrado en el </w:t>
      </w:r>
      <w:r w:rsidRPr="00747BD7">
        <w:rPr>
          <w:rFonts w:ascii="Arial" w:hAnsi="Arial" w:cs="Arial"/>
        </w:rPr>
        <w:t>artículo 4º de la Carta Política que antepone de manera preferente la aplicación de sus postulados.</w:t>
      </w:r>
    </w:p>
  </w:footnote>
  <w:footnote w:id="4">
    <w:p w14:paraId="65E7B40C" w14:textId="77777777" w:rsidR="001D3B1D" w:rsidRPr="00696DA3" w:rsidRDefault="001D3B1D" w:rsidP="001D3B1D">
      <w:pPr>
        <w:pStyle w:val="NormalWeb"/>
        <w:jc w:val="both"/>
        <w:rPr>
          <w:rFonts w:ascii="Arial" w:hAnsi="Arial" w:cs="Arial"/>
          <w:bCs/>
          <w:iCs/>
          <w:sz w:val="20"/>
          <w:szCs w:val="20"/>
        </w:rPr>
      </w:pPr>
      <w:r w:rsidRPr="00696DA3">
        <w:rPr>
          <w:rFonts w:ascii="Arial" w:hAnsi="Arial" w:cs="Arial"/>
          <w:bCs/>
          <w:iCs/>
          <w:sz w:val="20"/>
          <w:szCs w:val="20"/>
          <w:vertAlign w:val="superscript"/>
        </w:rPr>
        <w:footnoteRef/>
      </w:r>
      <w:r w:rsidRPr="00696DA3">
        <w:rPr>
          <w:rFonts w:ascii="Arial" w:hAnsi="Arial" w:cs="Arial"/>
          <w:bCs/>
          <w:iCs/>
          <w:sz w:val="20"/>
          <w:szCs w:val="20"/>
        </w:rPr>
        <w:t xml:space="preserve"> Sentencia de la Corte Constitucional T-066 de 2019, que, a su vez reitera la T-336 de 2004.</w:t>
      </w:r>
    </w:p>
  </w:footnote>
  <w:footnote w:id="5">
    <w:p w14:paraId="1732213B" w14:textId="77777777" w:rsidR="00E250AE" w:rsidRPr="00FF59F3" w:rsidRDefault="00E250AE" w:rsidP="00E250AE">
      <w:pPr>
        <w:pStyle w:val="Textonotapie"/>
        <w:spacing w:after="0" w:line="240" w:lineRule="auto"/>
        <w:jc w:val="both"/>
        <w:rPr>
          <w:rFonts w:ascii="Arial" w:hAnsi="Arial" w:cs="Arial"/>
        </w:rPr>
      </w:pPr>
      <w:r w:rsidRPr="00FF59F3">
        <w:rPr>
          <w:rStyle w:val="Refdenotaalpie"/>
          <w:rFonts w:ascii="Arial" w:hAnsi="Arial" w:cs="Arial"/>
        </w:rPr>
        <w:footnoteRef/>
      </w:r>
      <w:r w:rsidRPr="00FF59F3">
        <w:rPr>
          <w:rFonts w:ascii="Arial" w:hAnsi="Arial" w:cs="Arial"/>
        </w:rPr>
        <w:t xml:space="preserve"> “[L]os fundamentos de una decisión de tutela contra una sentencia judicial deben aclarar con transparencia la relevancia </w:t>
      </w:r>
      <w:proofErr w:type="spellStart"/>
      <w:r w:rsidRPr="00FF59F3">
        <w:rPr>
          <w:rFonts w:ascii="Arial" w:hAnsi="Arial" w:cs="Arial"/>
          <w:i/>
          <w:iCs/>
        </w:rPr>
        <w:t>iusfundamental</w:t>
      </w:r>
      <w:proofErr w:type="spellEnd"/>
      <w:r w:rsidRPr="00FF59F3">
        <w:rPr>
          <w:rFonts w:ascii="Arial" w:hAnsi="Arial" w:cs="Arial"/>
        </w:rPr>
        <w:t> del punto que se discute y el juez debe contraerse a estudiar esta cuestión y ninguna otra. No se trata entonces de un mecanismo que permita al juez constitucional ordenar la anulación de decisiones que no comparte o suplantar al juez ordinario en su tarea de interpretar el derecho legislado y evaluar las pruebas del caso. De lo que se trata es de un mecanismo excepcional, subsidiario y residual para proteger los derechos fundamentales de quien […] se encuentra en condición de indefensión y que permite la aplicación uniforme y coherente – es decir segura y en condiciones de igualdad – de los derechos fundamentales a los distintos ámbitos del derecho”. Corte Constitucional. Sentencia C-590 de 2005. </w:t>
      </w:r>
    </w:p>
  </w:footnote>
  <w:footnote w:id="6">
    <w:p w14:paraId="79319624" w14:textId="77777777" w:rsidR="00E250AE" w:rsidRPr="00FF59F3" w:rsidRDefault="00E250AE" w:rsidP="00E250AE">
      <w:pPr>
        <w:pStyle w:val="Textonotapie"/>
        <w:spacing w:after="0" w:line="240" w:lineRule="auto"/>
        <w:jc w:val="both"/>
        <w:rPr>
          <w:rFonts w:ascii="Arial" w:hAnsi="Arial" w:cs="Arial"/>
        </w:rPr>
      </w:pPr>
      <w:r w:rsidRPr="00FF59F3">
        <w:rPr>
          <w:rStyle w:val="Refdenotaalpie"/>
          <w:rFonts w:ascii="Arial" w:hAnsi="Arial" w:cs="Arial"/>
        </w:rPr>
        <w:footnoteRef/>
      </w:r>
      <w:r w:rsidRPr="00FF59F3">
        <w:rPr>
          <w:rFonts w:ascii="Arial" w:hAnsi="Arial" w:cs="Arial"/>
        </w:rPr>
        <w:t xml:space="preserve"> “</w:t>
      </w:r>
      <w:r w:rsidRPr="00FF59F3">
        <w:rPr>
          <w:rStyle w:val="normaltextrun"/>
          <w:rFonts w:ascii="Arial" w:hAnsi="Arial" w:cs="Arial"/>
          <w:color w:val="000000"/>
          <w:shd w:val="clear" w:color="auto" w:fill="FFFFFF"/>
        </w:rPr>
        <w:t>No se trata de convertir la tutela en un mecanismo ritualista, sino de exigir una actuación razonable para conciliar la protección eficaz de los derechos fundamentales, con los principios y valores en juego, al controvertir una providencia judicial”. Corte Constitucional. Sentencia T-066 de 2019.</w:t>
      </w:r>
      <w:r w:rsidRPr="00FF59F3">
        <w:rPr>
          <w:rStyle w:val="eop"/>
          <w:rFonts w:ascii="Arial" w:hAnsi="Arial" w:cs="Arial"/>
          <w:color w:val="000000"/>
          <w:shd w:val="clear" w:color="auto" w:fill="FFFFFF"/>
        </w:rPr>
        <w:t> </w:t>
      </w:r>
    </w:p>
  </w:footnote>
  <w:footnote w:id="7">
    <w:p w14:paraId="7E59EEBE" w14:textId="77777777" w:rsidR="00E250AE" w:rsidRPr="00FF59F3" w:rsidRDefault="00E250AE" w:rsidP="00E250AE">
      <w:pPr>
        <w:pStyle w:val="Textonotapie"/>
        <w:spacing w:after="0" w:line="240" w:lineRule="auto"/>
        <w:jc w:val="both"/>
        <w:rPr>
          <w:rFonts w:ascii="Arial" w:hAnsi="Arial" w:cs="Arial"/>
        </w:rPr>
      </w:pPr>
      <w:r w:rsidRPr="00FF59F3">
        <w:rPr>
          <w:rStyle w:val="Refdenotaalpie"/>
          <w:rFonts w:ascii="Arial" w:hAnsi="Arial" w:cs="Arial"/>
        </w:rPr>
        <w:footnoteRef/>
      </w:r>
      <w:r w:rsidRPr="00FF59F3">
        <w:rPr>
          <w:rFonts w:ascii="Arial" w:hAnsi="Arial" w:cs="Arial"/>
        </w:rPr>
        <w:t xml:space="preserve"> C</w:t>
      </w:r>
      <w:r w:rsidRPr="00FF59F3">
        <w:rPr>
          <w:rStyle w:val="normaltextrun"/>
          <w:rFonts w:ascii="Arial" w:hAnsi="Arial" w:cs="Arial"/>
          <w:color w:val="000000"/>
          <w:shd w:val="clear" w:color="auto" w:fill="FFFFFF"/>
        </w:rPr>
        <w:t xml:space="preserve">onsejo de Estado, Sala de lo Contencioso Administrativo, Sección Tercera, Subsección C. Sentencias del 21 de febrero de 2020, expediente </w:t>
      </w:r>
      <w:proofErr w:type="spellStart"/>
      <w:r w:rsidRPr="00FF59F3">
        <w:rPr>
          <w:rStyle w:val="normaltextrun"/>
          <w:rFonts w:ascii="Arial" w:hAnsi="Arial" w:cs="Arial"/>
          <w:color w:val="000000"/>
          <w:shd w:val="clear" w:color="auto" w:fill="FFFFFF"/>
        </w:rPr>
        <w:t>n.°</w:t>
      </w:r>
      <w:proofErr w:type="spellEnd"/>
      <w:r w:rsidRPr="00FF59F3">
        <w:rPr>
          <w:rStyle w:val="normaltextrun"/>
          <w:rFonts w:ascii="Arial" w:hAnsi="Arial" w:cs="Arial"/>
          <w:color w:val="000000"/>
          <w:shd w:val="clear" w:color="auto" w:fill="FFFFFF"/>
        </w:rPr>
        <w:t xml:space="preserve"> 2019-5066-00; 4 de mayo de 2020, expediente </w:t>
      </w:r>
      <w:proofErr w:type="spellStart"/>
      <w:r w:rsidRPr="00FF59F3">
        <w:rPr>
          <w:rStyle w:val="normaltextrun"/>
          <w:rFonts w:ascii="Arial" w:hAnsi="Arial" w:cs="Arial"/>
          <w:color w:val="000000"/>
          <w:shd w:val="clear" w:color="auto" w:fill="FFFFFF"/>
        </w:rPr>
        <w:t>n.°</w:t>
      </w:r>
      <w:proofErr w:type="spellEnd"/>
      <w:r w:rsidRPr="00FF59F3">
        <w:rPr>
          <w:rStyle w:val="normaltextrun"/>
          <w:rFonts w:ascii="Arial" w:hAnsi="Arial" w:cs="Arial"/>
          <w:color w:val="000000"/>
          <w:shd w:val="clear" w:color="auto" w:fill="FFFFFF"/>
        </w:rPr>
        <w:t xml:space="preserve"> 2020-836-00.</w:t>
      </w:r>
      <w:r w:rsidRPr="00FF59F3">
        <w:rPr>
          <w:rStyle w:val="eop"/>
          <w:rFonts w:ascii="Arial" w:hAnsi="Arial" w:cs="Arial"/>
          <w:color w:val="000000"/>
          <w:shd w:val="clear" w:color="auto" w:fill="FFFFFF"/>
        </w:rPr>
        <w:t> </w:t>
      </w:r>
    </w:p>
  </w:footnote>
  <w:footnote w:id="8">
    <w:p w14:paraId="5B28DF0A" w14:textId="77777777" w:rsidR="00E250AE" w:rsidRPr="00FF59F3" w:rsidRDefault="00E250AE" w:rsidP="00E250AE">
      <w:pPr>
        <w:pStyle w:val="Textonotapie"/>
        <w:spacing w:after="0" w:line="240" w:lineRule="auto"/>
        <w:jc w:val="both"/>
        <w:rPr>
          <w:rFonts w:ascii="Arial" w:hAnsi="Arial" w:cs="Arial"/>
        </w:rPr>
      </w:pPr>
      <w:r w:rsidRPr="00FF59F3">
        <w:rPr>
          <w:rStyle w:val="Refdenotaalpie"/>
          <w:rFonts w:ascii="Arial" w:hAnsi="Arial" w:cs="Arial"/>
        </w:rPr>
        <w:footnoteRef/>
      </w:r>
      <w:r w:rsidRPr="00FF59F3">
        <w:rPr>
          <w:rFonts w:ascii="Arial" w:hAnsi="Arial" w:cs="Arial"/>
        </w:rPr>
        <w:t xml:space="preserve"> </w:t>
      </w:r>
      <w:proofErr w:type="spellStart"/>
      <w:r w:rsidRPr="00FF59F3">
        <w:rPr>
          <w:rStyle w:val="normaltextrun"/>
          <w:rFonts w:ascii="Arial" w:hAnsi="Arial" w:cs="Arial"/>
          <w:color w:val="000000"/>
          <w:shd w:val="clear" w:color="auto" w:fill="FFFFFF"/>
          <w:lang w:val="fr-FR"/>
        </w:rPr>
        <w:t>Cfr</w:t>
      </w:r>
      <w:proofErr w:type="spellEnd"/>
      <w:r w:rsidRPr="00FF59F3">
        <w:rPr>
          <w:rStyle w:val="normaltextrun"/>
          <w:rFonts w:ascii="Arial" w:hAnsi="Arial" w:cs="Arial"/>
          <w:color w:val="000000"/>
          <w:shd w:val="clear" w:color="auto" w:fill="FFFFFF"/>
          <w:lang w:val="fr-FR"/>
        </w:rPr>
        <w:t>. Corte </w:t>
      </w:r>
      <w:proofErr w:type="spellStart"/>
      <w:r w:rsidRPr="00FF59F3">
        <w:rPr>
          <w:rStyle w:val="normaltextrun"/>
          <w:rFonts w:ascii="Arial" w:hAnsi="Arial" w:cs="Arial"/>
          <w:color w:val="000000"/>
          <w:shd w:val="clear" w:color="auto" w:fill="FFFFFF"/>
          <w:lang w:val="fr-FR"/>
        </w:rPr>
        <w:t>Constitucional</w:t>
      </w:r>
      <w:proofErr w:type="spellEnd"/>
      <w:r w:rsidRPr="00FF59F3">
        <w:rPr>
          <w:rStyle w:val="normaltextrun"/>
          <w:rFonts w:ascii="Arial" w:hAnsi="Arial" w:cs="Arial"/>
          <w:color w:val="000000"/>
          <w:shd w:val="clear" w:color="auto" w:fill="FFFFFF"/>
          <w:lang w:val="fr-FR"/>
        </w:rPr>
        <w:t>. Sentencias T-335 de 2000, T-1044 de 2007, T-658 de 2008, T-505 de 2009, T-610 de 2009, T-896 de 2010, T-040 de 2011, T-338 de 2012, T-512 de 2012, T-543 de 2012, T-1061 de 2012, T-931 de 2013, T-182 de 2014 y T-406 de 2014, </w:t>
      </w:r>
      <w:proofErr w:type="spellStart"/>
      <w:r w:rsidRPr="00FF59F3">
        <w:rPr>
          <w:rStyle w:val="normaltextrun"/>
          <w:rFonts w:ascii="Arial" w:hAnsi="Arial" w:cs="Arial"/>
          <w:color w:val="000000"/>
          <w:shd w:val="clear" w:color="auto" w:fill="FFFFFF"/>
          <w:lang w:val="fr-FR"/>
        </w:rPr>
        <w:t>citadas</w:t>
      </w:r>
      <w:proofErr w:type="spellEnd"/>
      <w:r w:rsidRPr="00FF59F3">
        <w:rPr>
          <w:rStyle w:val="normaltextrun"/>
          <w:rFonts w:ascii="Arial" w:hAnsi="Arial" w:cs="Arial"/>
          <w:color w:val="000000"/>
          <w:shd w:val="clear" w:color="auto" w:fill="FFFFFF"/>
          <w:lang w:val="fr-FR"/>
        </w:rPr>
        <w:t> en la sentencia T-422 de 2018.</w:t>
      </w:r>
      <w:r w:rsidRPr="00FF59F3">
        <w:rPr>
          <w:rStyle w:val="eop"/>
          <w:rFonts w:ascii="Arial" w:hAnsi="Arial" w:cs="Arial"/>
          <w:color w:val="000000"/>
          <w:shd w:val="clear" w:color="auto" w:fill="FFFFFF"/>
        </w:rPr>
        <w:t> </w:t>
      </w:r>
    </w:p>
  </w:footnote>
  <w:footnote w:id="9">
    <w:p w14:paraId="4A0171C0" w14:textId="77777777" w:rsidR="00E250AE" w:rsidRDefault="00E250AE" w:rsidP="00E250AE">
      <w:pPr>
        <w:pStyle w:val="Textonotapie"/>
        <w:spacing w:after="0" w:line="240" w:lineRule="auto"/>
        <w:jc w:val="both"/>
      </w:pPr>
      <w:r w:rsidRPr="00FF59F3">
        <w:rPr>
          <w:rStyle w:val="Refdenotaalpie"/>
          <w:rFonts w:ascii="Arial" w:hAnsi="Arial" w:cs="Arial"/>
        </w:rPr>
        <w:footnoteRef/>
      </w:r>
      <w:r w:rsidRPr="00FF59F3">
        <w:rPr>
          <w:rFonts w:ascii="Arial" w:hAnsi="Arial" w:cs="Arial"/>
        </w:rPr>
        <w:t xml:space="preserve"> “</w:t>
      </w:r>
      <w:r w:rsidRPr="00FF59F3">
        <w:rPr>
          <w:rStyle w:val="normaltextrun"/>
          <w:rFonts w:ascii="Arial" w:hAnsi="Arial" w:cs="Arial"/>
          <w:color w:val="000000"/>
          <w:shd w:val="clear" w:color="auto" w:fill="FFFFFF"/>
        </w:rPr>
        <w:t>[T]</w:t>
      </w:r>
      <w:proofErr w:type="spellStart"/>
      <w:r w:rsidRPr="00FF59F3">
        <w:rPr>
          <w:rStyle w:val="normaltextrun"/>
          <w:rFonts w:ascii="Arial" w:hAnsi="Arial" w:cs="Arial"/>
          <w:color w:val="000000"/>
          <w:shd w:val="clear" w:color="auto" w:fill="FFFFFF"/>
        </w:rPr>
        <w:t>eniendo</w:t>
      </w:r>
      <w:proofErr w:type="spellEnd"/>
      <w:r w:rsidRPr="00FF59F3">
        <w:rPr>
          <w:rStyle w:val="normaltextrun"/>
          <w:rFonts w:ascii="Arial" w:hAnsi="Arial" w:cs="Arial"/>
          <w:color w:val="000000"/>
          <w:shd w:val="clear" w:color="auto" w:fill="FFFFFF"/>
        </w:rPr>
        <w:t> en cuenta que la tutela contra providencias judiciales no da lugar a una tercera instancia, ni puede reemplazar los recursos ordinarios, es necesario que la causa que origina la presentación de la acción suponga el desconocimiento de un derecho fundamental” Corte Constitucional. Sentencia T-422 de 2018.</w:t>
      </w:r>
      <w:r>
        <w:rPr>
          <w:rStyle w:val="eop"/>
          <w:color w:val="000000"/>
          <w:shd w:val="clear" w:color="auto" w:fill="FFFFFF"/>
        </w:rPr>
        <w:t xml:space="preserve"> </w:t>
      </w:r>
    </w:p>
  </w:footnote>
  <w:footnote w:id="10">
    <w:p w14:paraId="3475BAE7" w14:textId="77777777" w:rsidR="00E250AE" w:rsidRPr="00A5622A" w:rsidRDefault="00E250AE" w:rsidP="00E250AE">
      <w:pPr>
        <w:pStyle w:val="Textonotapie"/>
        <w:spacing w:after="0" w:line="240" w:lineRule="auto"/>
        <w:jc w:val="both"/>
        <w:rPr>
          <w:rFonts w:ascii="Arial" w:hAnsi="Arial" w:cs="Arial"/>
        </w:rPr>
      </w:pPr>
      <w:r w:rsidRPr="00A5622A">
        <w:rPr>
          <w:rStyle w:val="Refdenotaalpie"/>
          <w:rFonts w:ascii="Arial" w:hAnsi="Arial" w:cs="Arial"/>
        </w:rPr>
        <w:footnoteRef/>
      </w:r>
      <w:r w:rsidRPr="00A5622A">
        <w:rPr>
          <w:rFonts w:ascii="Arial" w:hAnsi="Arial" w:cs="Arial"/>
        </w:rPr>
        <w:t xml:space="preserve"> </w:t>
      </w:r>
      <w:r w:rsidRPr="00A5622A">
        <w:rPr>
          <w:rStyle w:val="normaltextrun"/>
          <w:rFonts w:ascii="Arial" w:hAnsi="Arial" w:cs="Arial"/>
          <w:color w:val="000000"/>
          <w:shd w:val="clear" w:color="auto" w:fill="FFFFFF"/>
        </w:rPr>
        <w:t>Corte Constitucional, sentencia T-102 de 16 de febrero de 2006. En igual sentido: T-075-18, T-451-18, T-422-18 y T-248-18.</w:t>
      </w:r>
      <w:r w:rsidRPr="00A5622A">
        <w:rPr>
          <w:rStyle w:val="eop"/>
          <w:rFonts w:ascii="Arial" w:hAnsi="Arial" w:cs="Arial"/>
          <w:color w:val="000000"/>
          <w:shd w:val="clear" w:color="auto" w:fill="FFFFFF"/>
        </w:rPr>
        <w:t> </w:t>
      </w:r>
    </w:p>
  </w:footnote>
  <w:footnote w:id="11">
    <w:p w14:paraId="238FF5D4" w14:textId="77777777" w:rsidR="00E250AE" w:rsidRPr="00A5622A" w:rsidRDefault="00E250AE" w:rsidP="00E250AE">
      <w:pPr>
        <w:pStyle w:val="Textonotapie"/>
        <w:spacing w:after="0" w:line="240" w:lineRule="auto"/>
        <w:jc w:val="both"/>
        <w:rPr>
          <w:rFonts w:ascii="Arial" w:hAnsi="Arial" w:cs="Arial"/>
        </w:rPr>
      </w:pPr>
      <w:r w:rsidRPr="00A5622A">
        <w:rPr>
          <w:rStyle w:val="Refdenotaalpie"/>
          <w:rFonts w:ascii="Arial" w:hAnsi="Arial" w:cs="Arial"/>
        </w:rPr>
        <w:footnoteRef/>
      </w:r>
      <w:r w:rsidRPr="00A5622A">
        <w:rPr>
          <w:rFonts w:ascii="Arial" w:hAnsi="Arial" w:cs="Arial"/>
        </w:rPr>
        <w:t xml:space="preserve"> </w:t>
      </w:r>
      <w:r w:rsidRPr="00A5622A">
        <w:rPr>
          <w:rStyle w:val="normaltextrun"/>
          <w:rFonts w:ascii="Arial" w:hAnsi="Arial" w:cs="Arial"/>
          <w:color w:val="000000"/>
          <w:shd w:val="clear" w:color="auto" w:fill="FFFFFF"/>
        </w:rPr>
        <w:t>Cfr. </w:t>
      </w:r>
      <w:r w:rsidRPr="00A5622A">
        <w:rPr>
          <w:rStyle w:val="normaltextrun"/>
          <w:rFonts w:ascii="Arial" w:hAnsi="Arial" w:cs="Arial"/>
          <w:color w:val="000000"/>
          <w:shd w:val="clear" w:color="auto" w:fill="FFFFFF"/>
          <w:lang w:val="es-ES"/>
        </w:rPr>
        <w:t>sentencia C-590 de 2005.</w:t>
      </w:r>
    </w:p>
  </w:footnote>
  <w:footnote w:id="12">
    <w:p w14:paraId="64D68B8C" w14:textId="77777777" w:rsidR="00E250AE" w:rsidRPr="00A5622A" w:rsidRDefault="00E250AE" w:rsidP="00E250AE">
      <w:pPr>
        <w:pStyle w:val="Textonotapie"/>
        <w:spacing w:after="0" w:line="240" w:lineRule="auto"/>
        <w:jc w:val="both"/>
        <w:rPr>
          <w:rFonts w:ascii="Arial" w:hAnsi="Arial" w:cs="Arial"/>
        </w:rPr>
      </w:pPr>
      <w:r w:rsidRPr="00A5622A">
        <w:rPr>
          <w:rStyle w:val="Refdenotaalpie"/>
          <w:rFonts w:ascii="Arial" w:hAnsi="Arial" w:cs="Arial"/>
        </w:rPr>
        <w:footnoteRef/>
      </w:r>
      <w:r w:rsidRPr="00A5622A">
        <w:rPr>
          <w:rFonts w:ascii="Arial" w:hAnsi="Arial" w:cs="Arial"/>
        </w:rPr>
        <w:t xml:space="preserve"> Cita original: “Ver sentencia T-336/04”.</w:t>
      </w:r>
    </w:p>
  </w:footnote>
  <w:footnote w:id="13">
    <w:p w14:paraId="15B46948" w14:textId="77777777" w:rsidR="00E250AE" w:rsidRPr="00A5622A" w:rsidRDefault="00E250AE" w:rsidP="00E250AE">
      <w:pPr>
        <w:pStyle w:val="Textonotapie"/>
        <w:spacing w:after="0" w:line="240" w:lineRule="auto"/>
        <w:jc w:val="both"/>
        <w:rPr>
          <w:rFonts w:ascii="Arial" w:hAnsi="Arial" w:cs="Arial"/>
        </w:rPr>
      </w:pPr>
      <w:r w:rsidRPr="00A5622A">
        <w:rPr>
          <w:rStyle w:val="Refdenotaalpie"/>
          <w:rFonts w:ascii="Arial" w:hAnsi="Arial" w:cs="Arial"/>
        </w:rPr>
        <w:footnoteRef/>
      </w:r>
      <w:r w:rsidRPr="00A5622A">
        <w:rPr>
          <w:rFonts w:ascii="Arial" w:hAnsi="Arial" w:cs="Arial"/>
        </w:rPr>
        <w:t xml:space="preserve"> Sentencia de la Corte Constitucional </w:t>
      </w:r>
      <w:bookmarkStart w:id="0" w:name="_Hlk83553384"/>
      <w:r w:rsidRPr="00A5622A">
        <w:rPr>
          <w:rFonts w:ascii="Arial" w:hAnsi="Arial" w:cs="Arial"/>
        </w:rPr>
        <w:t>T-066 de 2019</w:t>
      </w:r>
      <w:bookmarkEnd w:id="0"/>
      <w:r w:rsidRPr="00A5622A">
        <w:rPr>
          <w:rFonts w:ascii="Arial" w:hAnsi="Arial" w:cs="Arial"/>
        </w:rPr>
        <w:t>, que, a su vez reitera la T-336 de 2004. </w:t>
      </w:r>
    </w:p>
  </w:footnote>
  <w:footnote w:id="14">
    <w:p w14:paraId="04F31D75" w14:textId="77777777" w:rsidR="001D3B1D" w:rsidRPr="00696DA3" w:rsidRDefault="001D3B1D" w:rsidP="001D3B1D">
      <w:pPr>
        <w:pStyle w:val="NormalWeb"/>
        <w:jc w:val="both"/>
        <w:rPr>
          <w:rFonts w:ascii="Arial" w:hAnsi="Arial" w:cs="Arial"/>
          <w:bCs/>
          <w:iCs/>
          <w:sz w:val="20"/>
          <w:szCs w:val="20"/>
        </w:rPr>
      </w:pPr>
      <w:r w:rsidRPr="00696DA3">
        <w:rPr>
          <w:rFonts w:ascii="Arial" w:hAnsi="Arial" w:cs="Arial"/>
          <w:bCs/>
          <w:iCs/>
          <w:sz w:val="20"/>
          <w:szCs w:val="20"/>
          <w:vertAlign w:val="superscript"/>
        </w:rPr>
        <w:footnoteRef/>
      </w:r>
      <w:r w:rsidRPr="00696DA3">
        <w:rPr>
          <w:rFonts w:ascii="Arial" w:hAnsi="Arial" w:cs="Arial"/>
          <w:bCs/>
          <w:iCs/>
          <w:sz w:val="20"/>
          <w:szCs w:val="20"/>
        </w:rPr>
        <w:t xml:space="preserve"> “No se trata de convertir la tutela en un mecanismo ritualista, sino de exigir una actuación razonable para conciliar la protección eficaz de los derechos fundamentales, con los principios y valores en juego, al controvertir una providencia judicial”. Corte Constitucional, sentencia T-066 de 2019.</w:t>
      </w:r>
    </w:p>
    <w:p w14:paraId="7DBDD6F6" w14:textId="77777777" w:rsidR="001D3B1D" w:rsidRPr="00696DA3" w:rsidRDefault="001D3B1D" w:rsidP="001D3B1D">
      <w:pPr>
        <w:pStyle w:val="NormalWeb"/>
        <w:jc w:val="both"/>
        <w:rPr>
          <w:rFonts w:ascii="Arial" w:hAnsi="Arial" w:cs="Arial"/>
          <w:bCs/>
          <w:iCs/>
          <w:sz w:val="20"/>
          <w:szCs w:val="20"/>
        </w:rPr>
      </w:pPr>
      <w:r w:rsidRPr="00696DA3">
        <w:rPr>
          <w:rFonts w:ascii="Arial" w:hAnsi="Arial" w:cs="Arial"/>
          <w:bCs/>
          <w:iCs/>
          <w:sz w:val="20"/>
          <w:szCs w:val="20"/>
        </w:rPr>
        <w:t>Por supuesto, el fallador de tutela requiere examinar que, de esos asuntos legales, no se desprendan violaciones a los derechos y deberes constitucionales, pues, de ser así, adquieren relevancia constitucional inmediata. Corte Constitucional. Sentencia T-1031 de 2001, citada por la Corte Constitucional en las sentencias T-114 de 2002 y T-136 de 2015.</w:t>
      </w:r>
    </w:p>
  </w:footnote>
  <w:footnote w:id="15">
    <w:p w14:paraId="76EC83D0" w14:textId="77777777" w:rsidR="001D3B1D" w:rsidRPr="00696DA3" w:rsidRDefault="001D3B1D" w:rsidP="001D3B1D">
      <w:pPr>
        <w:pStyle w:val="NormalWeb"/>
        <w:jc w:val="both"/>
        <w:rPr>
          <w:rFonts w:ascii="Arial" w:hAnsi="Arial" w:cs="Arial"/>
          <w:bCs/>
          <w:iCs/>
          <w:sz w:val="20"/>
          <w:szCs w:val="20"/>
        </w:rPr>
      </w:pPr>
      <w:r w:rsidRPr="00696DA3">
        <w:rPr>
          <w:rFonts w:ascii="Arial" w:hAnsi="Arial" w:cs="Arial"/>
          <w:bCs/>
          <w:iCs/>
          <w:sz w:val="20"/>
          <w:szCs w:val="20"/>
          <w:vertAlign w:val="superscript"/>
        </w:rPr>
        <w:footnoteRef/>
      </w:r>
      <w:r w:rsidRPr="00696DA3">
        <w:rPr>
          <w:rFonts w:ascii="Arial" w:hAnsi="Arial" w:cs="Arial"/>
          <w:bCs/>
          <w:iCs/>
          <w:sz w:val="20"/>
          <w:szCs w:val="20"/>
        </w:rPr>
        <w:t xml:space="preserve"> Cfr. sentencia C-590 de 2005.</w:t>
      </w:r>
    </w:p>
  </w:footnote>
  <w:footnote w:id="16">
    <w:p w14:paraId="3C6E1653" w14:textId="3AB44909" w:rsidR="001140CC" w:rsidRPr="001140CC" w:rsidRDefault="001140CC" w:rsidP="001140CC">
      <w:pPr>
        <w:jc w:val="both"/>
        <w:rPr>
          <w:rFonts w:ascii="Arial" w:hAnsi="Arial" w:cs="Arial"/>
          <w:sz w:val="20"/>
          <w:szCs w:val="20"/>
          <w:lang w:val="es-ES"/>
        </w:rPr>
      </w:pPr>
      <w:r w:rsidRPr="001140CC">
        <w:rPr>
          <w:rStyle w:val="Refdenotaalpie"/>
          <w:rFonts w:ascii="Arial" w:hAnsi="Arial" w:cs="Arial"/>
          <w:sz w:val="20"/>
          <w:szCs w:val="20"/>
        </w:rPr>
        <w:footnoteRef/>
      </w:r>
      <w:r w:rsidRPr="001140CC">
        <w:rPr>
          <w:rFonts w:ascii="Arial" w:hAnsi="Arial" w:cs="Arial"/>
          <w:sz w:val="20"/>
          <w:szCs w:val="20"/>
        </w:rPr>
        <w:t xml:space="preserve"> </w:t>
      </w:r>
      <w:r w:rsidRPr="001140CC">
        <w:rPr>
          <w:rFonts w:ascii="Arial" w:hAnsi="Arial" w:cs="Arial"/>
          <w:sz w:val="20"/>
          <w:szCs w:val="20"/>
          <w:lang w:val="es-ES"/>
        </w:rPr>
        <w:t>Archivo electrónico con ubicación: 9EC53205194451A7 94BF01F81C4C289C F414DBA1E0836F78 B5A9EE5DD75057A4,</w:t>
      </w:r>
      <w:r>
        <w:rPr>
          <w:rFonts w:ascii="Arial" w:hAnsi="Arial" w:cs="Arial"/>
          <w:sz w:val="20"/>
          <w:szCs w:val="20"/>
          <w:lang w:val="es-ES"/>
        </w:rPr>
        <w:t xml:space="preserve"> páginas 2015 a 222,</w:t>
      </w:r>
      <w:r w:rsidRPr="001140CC">
        <w:rPr>
          <w:rFonts w:ascii="Arial" w:hAnsi="Arial" w:cs="Arial"/>
          <w:sz w:val="20"/>
          <w:szCs w:val="20"/>
          <w:lang w:val="es-ES"/>
        </w:rPr>
        <w:t xml:space="preserve"> índice 2 de </w:t>
      </w:r>
      <w:proofErr w:type="spellStart"/>
      <w:r w:rsidRPr="001140CC">
        <w:rPr>
          <w:rFonts w:ascii="Arial" w:hAnsi="Arial" w:cs="Arial"/>
          <w:sz w:val="20"/>
          <w:szCs w:val="20"/>
          <w:lang w:val="es-ES"/>
        </w:rPr>
        <w:t>Samai</w:t>
      </w:r>
      <w:proofErr w:type="spellEnd"/>
      <w:r w:rsidRPr="001140CC">
        <w:rPr>
          <w:rFonts w:ascii="Arial" w:hAnsi="Arial" w:cs="Arial"/>
          <w:sz w:val="20"/>
          <w:szCs w:val="20"/>
          <w:lang w:val="es-ES"/>
        </w:rPr>
        <w:t>.</w:t>
      </w:r>
    </w:p>
  </w:footnote>
  <w:footnote w:id="17">
    <w:p w14:paraId="2AC66081" w14:textId="77777777" w:rsidR="00006090" w:rsidRPr="000C57D1" w:rsidRDefault="00006090" w:rsidP="00006090">
      <w:pPr>
        <w:pStyle w:val="Textonotapie"/>
        <w:spacing w:after="0" w:line="240" w:lineRule="auto"/>
        <w:jc w:val="both"/>
        <w:rPr>
          <w:rFonts w:ascii="Arial" w:hAnsi="Arial" w:cs="Arial"/>
        </w:rPr>
      </w:pPr>
      <w:r w:rsidRPr="000C57D1">
        <w:rPr>
          <w:rStyle w:val="Refdenotaalpie"/>
          <w:rFonts w:ascii="Arial" w:hAnsi="Arial" w:cs="Arial"/>
        </w:rPr>
        <w:footnoteRef/>
      </w:r>
      <w:r w:rsidRPr="000C57D1">
        <w:rPr>
          <w:rFonts w:ascii="Arial" w:hAnsi="Arial" w:cs="Arial"/>
        </w:rPr>
        <w:t xml:space="preserve"> Corte Constitucional, sentencia T-393 de 2017, T-567 de 1998, reiterada en sentencias como la T-555 de 1999, T-1100 de 2008, T-781 de 2011, entre otras.</w:t>
      </w:r>
    </w:p>
  </w:footnote>
  <w:footnote w:id="18">
    <w:p w14:paraId="1770FCCC" w14:textId="77777777" w:rsidR="00006090" w:rsidRPr="000C57D1" w:rsidRDefault="00006090" w:rsidP="00006090">
      <w:pPr>
        <w:pStyle w:val="Textonotapie"/>
        <w:spacing w:after="0" w:line="240" w:lineRule="auto"/>
        <w:jc w:val="both"/>
        <w:rPr>
          <w:rFonts w:ascii="Arial" w:hAnsi="Arial" w:cs="Arial"/>
        </w:rPr>
      </w:pPr>
      <w:r w:rsidRPr="000C57D1">
        <w:rPr>
          <w:rStyle w:val="Refdenotaalpie"/>
          <w:rFonts w:ascii="Arial" w:hAnsi="Arial" w:cs="Arial"/>
        </w:rPr>
        <w:footnoteRef/>
      </w:r>
      <w:r w:rsidRPr="000C57D1">
        <w:rPr>
          <w:rFonts w:ascii="Arial" w:hAnsi="Arial" w:cs="Arial"/>
        </w:rPr>
        <w:t xml:space="preserve"> Corte Constitucional, sentencia SU-399 de 2012.</w:t>
      </w:r>
    </w:p>
  </w:footnote>
  <w:footnote w:id="19">
    <w:p w14:paraId="649EDFF8" w14:textId="77777777" w:rsidR="00006090" w:rsidRPr="000C57D1" w:rsidRDefault="00006090" w:rsidP="00006090">
      <w:pPr>
        <w:pStyle w:val="Textonotapie"/>
        <w:spacing w:after="0" w:line="240" w:lineRule="auto"/>
        <w:jc w:val="both"/>
        <w:rPr>
          <w:rFonts w:ascii="Arial" w:hAnsi="Arial" w:cs="Arial"/>
        </w:rPr>
      </w:pPr>
      <w:r w:rsidRPr="000C57D1">
        <w:rPr>
          <w:rStyle w:val="Refdenotaalpie"/>
          <w:rFonts w:ascii="Arial" w:hAnsi="Arial" w:cs="Arial"/>
        </w:rPr>
        <w:footnoteRef/>
      </w:r>
      <w:r w:rsidRPr="000C57D1">
        <w:rPr>
          <w:rFonts w:ascii="Arial" w:hAnsi="Arial" w:cs="Arial"/>
        </w:rPr>
        <w:t xml:space="preserve"> Corte Constitucional, sentencia T-385 de 2018. “L</w:t>
      </w:r>
      <w:r w:rsidRPr="000C57D1">
        <w:rPr>
          <w:rStyle w:val="normaltextrun"/>
          <w:rFonts w:ascii="Arial" w:hAnsi="Arial" w:cs="Arial"/>
          <w:color w:val="000000"/>
          <w:shd w:val="clear" w:color="auto" w:fill="FFFFFF"/>
        </w:rPr>
        <w:t>a Corte Constitucional ha identificado dos dimensiones en las que se puede apreciar el defecto fáctico: </w:t>
      </w:r>
      <w:r w:rsidRPr="000C57D1">
        <w:rPr>
          <w:rStyle w:val="normaltextrun"/>
          <w:rFonts w:ascii="Arial" w:hAnsi="Arial" w:cs="Arial"/>
          <w:b/>
          <w:bCs/>
          <w:color w:val="000000"/>
          <w:shd w:val="clear" w:color="auto" w:fill="FFFFFF"/>
        </w:rPr>
        <w:t>1.)</w:t>
      </w:r>
      <w:r w:rsidRPr="000C57D1">
        <w:rPr>
          <w:rStyle w:val="normaltextrun"/>
          <w:rFonts w:ascii="Arial" w:hAnsi="Arial" w:cs="Arial"/>
          <w:color w:val="000000"/>
          <w:shd w:val="clear" w:color="auto" w:fill="FFFFFF"/>
        </w:rPr>
        <w:t> </w:t>
      </w:r>
      <w:r w:rsidRPr="000C57D1">
        <w:rPr>
          <w:rStyle w:val="normaltextrun"/>
          <w:rFonts w:ascii="Arial" w:hAnsi="Arial" w:cs="Arial"/>
          <w:b/>
          <w:bCs/>
          <w:color w:val="000000"/>
          <w:shd w:val="clear" w:color="auto" w:fill="FFFFFF"/>
        </w:rPr>
        <w:t>La dimensión negativa</w:t>
      </w:r>
      <w:r w:rsidRPr="000C57D1">
        <w:rPr>
          <w:rStyle w:val="normaltextrun"/>
          <w:rFonts w:ascii="Arial" w:hAnsi="Arial" w:cs="Arial"/>
          <w:color w:val="000000"/>
          <w:shd w:val="clear" w:color="auto" w:fill="FFFFFF"/>
        </w:rPr>
        <w:t> del defecto fáctico, según aquella, abarca supuestos como los siguientes: </w:t>
      </w:r>
      <w:r w:rsidRPr="000C57D1">
        <w:rPr>
          <w:rStyle w:val="normaltextrun"/>
          <w:rFonts w:ascii="Arial" w:hAnsi="Arial" w:cs="Arial"/>
          <w:i/>
          <w:iCs/>
          <w:color w:val="000000"/>
          <w:shd w:val="clear" w:color="auto" w:fill="FFFFFF"/>
        </w:rPr>
        <w:t>i) </w:t>
      </w:r>
      <w:r w:rsidRPr="000C57D1">
        <w:rPr>
          <w:rStyle w:val="normaltextrun"/>
          <w:rFonts w:ascii="Arial" w:hAnsi="Arial" w:cs="Arial"/>
          <w:color w:val="000000"/>
          <w:shd w:val="clear" w:color="auto" w:fill="FFFFFF"/>
        </w:rPr>
        <w:t>ignorar o no valorar, injustificadamente, medios de prueba trascendentales frente a la decisión adoptada; </w:t>
      </w:r>
      <w:proofErr w:type="spellStart"/>
      <w:r w:rsidRPr="000C57D1">
        <w:rPr>
          <w:rStyle w:val="normaltextrun"/>
          <w:rFonts w:ascii="Arial" w:hAnsi="Arial" w:cs="Arial"/>
          <w:i/>
          <w:iCs/>
          <w:color w:val="000000"/>
          <w:shd w:val="clear" w:color="auto" w:fill="FFFFFF"/>
        </w:rPr>
        <w:t>ii</w:t>
      </w:r>
      <w:proofErr w:type="spellEnd"/>
      <w:r w:rsidRPr="000C57D1">
        <w:rPr>
          <w:rStyle w:val="normaltextrun"/>
          <w:rFonts w:ascii="Arial" w:hAnsi="Arial" w:cs="Arial"/>
          <w:i/>
          <w:iCs/>
          <w:color w:val="000000"/>
          <w:shd w:val="clear" w:color="auto" w:fill="FFFFFF"/>
        </w:rPr>
        <w:t>) </w:t>
      </w:r>
      <w:r w:rsidRPr="000C57D1">
        <w:rPr>
          <w:rStyle w:val="normaltextrun"/>
          <w:rFonts w:ascii="Arial" w:hAnsi="Arial" w:cs="Arial"/>
          <w:color w:val="000000"/>
          <w:shd w:val="clear" w:color="auto" w:fill="FFFFFF"/>
        </w:rPr>
        <w:t>decidir al margen de las pruebas que le hubieren impedido la aplicación del supuesto legal en el que se sustenta la providencia; </w:t>
      </w:r>
      <w:proofErr w:type="spellStart"/>
      <w:r w:rsidRPr="000C57D1">
        <w:rPr>
          <w:rStyle w:val="normaltextrun"/>
          <w:rFonts w:ascii="Arial" w:hAnsi="Arial" w:cs="Arial"/>
          <w:i/>
          <w:iCs/>
          <w:color w:val="000000"/>
          <w:shd w:val="clear" w:color="auto" w:fill="FFFFFF"/>
        </w:rPr>
        <w:t>iii</w:t>
      </w:r>
      <w:proofErr w:type="spellEnd"/>
      <w:r w:rsidRPr="000C57D1">
        <w:rPr>
          <w:rStyle w:val="normaltextrun"/>
          <w:rFonts w:ascii="Arial" w:hAnsi="Arial" w:cs="Arial"/>
          <w:i/>
          <w:iCs/>
          <w:color w:val="000000"/>
          <w:shd w:val="clear" w:color="auto" w:fill="FFFFFF"/>
        </w:rPr>
        <w:t>) </w:t>
      </w:r>
      <w:r w:rsidRPr="000C57D1">
        <w:rPr>
          <w:rStyle w:val="normaltextrun"/>
          <w:rFonts w:ascii="Arial" w:hAnsi="Arial" w:cs="Arial"/>
          <w:color w:val="000000"/>
          <w:shd w:val="clear" w:color="auto" w:fill="FFFFFF"/>
        </w:rPr>
        <w:t>no decretar pruebas de oficio en los procedimientos en los que el juez se encuentre habilitado legalmente para hacerlo, y siempre que de las circunstancias del caso se derive la obligación de hacerlo para esclarecer hechos oscuros o difusos. </w:t>
      </w:r>
      <w:r w:rsidRPr="000C57D1">
        <w:rPr>
          <w:rStyle w:val="normaltextrun"/>
          <w:rFonts w:ascii="Arial" w:hAnsi="Arial" w:cs="Arial"/>
          <w:b/>
          <w:bCs/>
          <w:color w:val="000000"/>
          <w:shd w:val="clear" w:color="auto" w:fill="FFFFFF"/>
        </w:rPr>
        <w:t>2.)</w:t>
      </w:r>
      <w:r w:rsidRPr="000C57D1">
        <w:rPr>
          <w:rStyle w:val="normaltextrun"/>
          <w:rFonts w:ascii="Arial" w:hAnsi="Arial" w:cs="Arial"/>
          <w:color w:val="000000"/>
          <w:shd w:val="clear" w:color="auto" w:fill="FFFFFF"/>
        </w:rPr>
        <w:t> </w:t>
      </w:r>
      <w:r w:rsidRPr="000C57D1">
        <w:rPr>
          <w:rStyle w:val="normaltextrun"/>
          <w:rFonts w:ascii="Arial" w:hAnsi="Arial" w:cs="Arial"/>
          <w:b/>
          <w:bCs/>
          <w:color w:val="000000"/>
          <w:shd w:val="clear" w:color="auto" w:fill="FFFFFF"/>
        </w:rPr>
        <w:t>La dimensión positiva</w:t>
      </w:r>
      <w:r w:rsidRPr="000C57D1">
        <w:rPr>
          <w:rStyle w:val="normaltextrun"/>
          <w:rFonts w:ascii="Arial" w:hAnsi="Arial" w:cs="Arial"/>
          <w:color w:val="000000"/>
          <w:shd w:val="clear" w:color="auto" w:fill="FFFFFF"/>
        </w:rPr>
        <w:t> del defecto fáctico puede abarcar supuestos tales como: </w:t>
      </w:r>
      <w:r w:rsidRPr="000C57D1">
        <w:rPr>
          <w:rStyle w:val="normaltextrun"/>
          <w:rFonts w:ascii="Arial" w:hAnsi="Arial" w:cs="Arial"/>
          <w:i/>
          <w:iCs/>
          <w:color w:val="000000"/>
          <w:shd w:val="clear" w:color="auto" w:fill="FFFFFF"/>
        </w:rPr>
        <w:t>i</w:t>
      </w:r>
      <w:r w:rsidRPr="000C57D1">
        <w:rPr>
          <w:rStyle w:val="normaltextrun"/>
          <w:rFonts w:ascii="Arial" w:hAnsi="Arial" w:cs="Arial"/>
          <w:color w:val="000000"/>
          <w:shd w:val="clear" w:color="auto" w:fill="FFFFFF"/>
        </w:rPr>
        <w:t>) valorar pruebas ilícitas, siempre que las mismas hubieren sido determinantes del sentido de la decisión; </w:t>
      </w:r>
      <w:proofErr w:type="spellStart"/>
      <w:r w:rsidRPr="000C57D1">
        <w:rPr>
          <w:rStyle w:val="normaltextrun"/>
          <w:rFonts w:ascii="Arial" w:hAnsi="Arial" w:cs="Arial"/>
          <w:i/>
          <w:iCs/>
          <w:color w:val="000000"/>
          <w:shd w:val="clear" w:color="auto" w:fill="FFFFFF"/>
        </w:rPr>
        <w:t>ii</w:t>
      </w:r>
      <w:proofErr w:type="spellEnd"/>
      <w:r w:rsidRPr="000C57D1">
        <w:rPr>
          <w:rStyle w:val="normaltextrun"/>
          <w:rFonts w:ascii="Arial" w:hAnsi="Arial" w:cs="Arial"/>
          <w:i/>
          <w:iCs/>
          <w:color w:val="000000"/>
          <w:shd w:val="clear" w:color="auto" w:fill="FFFFFF"/>
        </w:rPr>
        <w:t>)</w:t>
      </w:r>
      <w:r w:rsidRPr="000C57D1">
        <w:rPr>
          <w:rStyle w:val="normaltextrun"/>
          <w:rFonts w:ascii="Arial" w:hAnsi="Arial" w:cs="Arial"/>
          <w:color w:val="000000"/>
          <w:shd w:val="clear" w:color="auto" w:fill="FFFFFF"/>
        </w:rPr>
        <w:t> decidir con medios de prueba que, por disposición legal, no conduzcan a demostrar los hechos en que se fundamenta la providencia judicial que se cuestiona en tutela”.</w:t>
      </w:r>
      <w:r w:rsidRPr="000C57D1">
        <w:rPr>
          <w:rStyle w:val="eop"/>
          <w:rFonts w:ascii="Arial" w:hAnsi="Arial" w:cs="Arial"/>
          <w:color w:val="000000"/>
          <w:shd w:val="clear" w:color="auto" w:fill="FFFFFF"/>
        </w:rPr>
        <w:t> </w:t>
      </w:r>
    </w:p>
  </w:footnote>
  <w:footnote w:id="20">
    <w:p w14:paraId="3E032055" w14:textId="77777777" w:rsidR="00006090" w:rsidRDefault="00006090" w:rsidP="00006090">
      <w:pPr>
        <w:pStyle w:val="Textonotapie"/>
        <w:spacing w:after="0" w:line="240" w:lineRule="auto"/>
        <w:jc w:val="both"/>
      </w:pPr>
      <w:r w:rsidRPr="000C57D1">
        <w:rPr>
          <w:rStyle w:val="Refdenotaalpie"/>
          <w:rFonts w:ascii="Arial" w:hAnsi="Arial" w:cs="Arial"/>
        </w:rPr>
        <w:footnoteRef/>
      </w:r>
      <w:r w:rsidRPr="000C57D1">
        <w:rPr>
          <w:rFonts w:ascii="Arial" w:hAnsi="Arial" w:cs="Arial"/>
        </w:rPr>
        <w:t xml:space="preserve"> Sentencias T-442 de1994 y T-456 de 2010.“(…) El error en el juicio valorativo de la prueba debe ser de tal entidad que sea ostensible, flagrante y manifiesto, y el mismo debe tener una incidencia directa en la decisión, pues el juez de tutela no puede convertirse en una instancia revisora de la actividad de evaluación probatoria del juez que ordinariamente conoce de un asunto, según las reglas generales de competencia, porque ello sería contrario al principio de que la tutela es un medio alternativo de defensa judicial, aparte de que se invadiría la órbita de la competencia y la autonomía de que son titulares las otras jurisdicciones.(…)”. (Resaltado de la Sala).</w:t>
      </w:r>
    </w:p>
  </w:footnote>
  <w:footnote w:id="21">
    <w:p w14:paraId="6A89CADB" w14:textId="77777777" w:rsidR="001D3B1D" w:rsidRPr="00D87B53" w:rsidRDefault="001D3B1D" w:rsidP="001D3B1D">
      <w:pPr>
        <w:pStyle w:val="Textonotapie"/>
        <w:spacing w:after="0"/>
        <w:jc w:val="both"/>
        <w:rPr>
          <w:rFonts w:ascii="Arial" w:hAnsi="Arial"/>
          <w:b/>
          <w:bCs/>
        </w:rPr>
      </w:pPr>
      <w:r w:rsidRPr="00D87B53">
        <w:rPr>
          <w:rStyle w:val="Refdenotaalpie"/>
          <w:rFonts w:ascii="Arial" w:hAnsi="Arial"/>
        </w:rPr>
        <w:footnoteRef/>
      </w:r>
      <w:r w:rsidRPr="00D87B53">
        <w:rPr>
          <w:rFonts w:ascii="Arial" w:hAnsi="Arial"/>
        </w:rPr>
        <w:t xml:space="preserve"> Corte Constitucional, sentencia SU-573 de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BEC92" w14:textId="697871C9" w:rsidR="008322D1" w:rsidRDefault="00BC0083" w:rsidP="00434999">
    <w:pPr>
      <w:suppressAutoHyphens/>
      <w:rPr>
        <w:rFonts w:ascii="Arial" w:hAnsi="Arial"/>
        <w:b/>
        <w:bCs/>
        <w:color w:val="000000"/>
        <w:lang w:eastAsia="es-ES"/>
      </w:rPr>
    </w:pPr>
    <w:r>
      <w:rPr>
        <w:noProof/>
        <w:lang w:eastAsia="es-CO"/>
      </w:rPr>
      <w:drawing>
        <wp:anchor distT="0" distB="0" distL="114300" distR="114300" simplePos="0" relativeHeight="251657728" behindDoc="1" locked="0" layoutInCell="1" allowOverlap="1" wp14:anchorId="3B3E3B20" wp14:editId="78F538CE">
          <wp:simplePos x="0" y="0"/>
          <wp:positionH relativeFrom="column">
            <wp:posOffset>-651510</wp:posOffset>
          </wp:positionH>
          <wp:positionV relativeFrom="paragraph">
            <wp:posOffset>-182880</wp:posOffset>
          </wp:positionV>
          <wp:extent cx="1009650" cy="939800"/>
          <wp:effectExtent l="0" t="0" r="0" b="0"/>
          <wp:wrapTight wrapText="bothSides">
            <wp:wrapPolygon edited="0">
              <wp:start x="9374" y="0"/>
              <wp:lineTo x="6521" y="1314"/>
              <wp:lineTo x="1223" y="5692"/>
              <wp:lineTo x="1223" y="9195"/>
              <wp:lineTo x="1630" y="14886"/>
              <wp:lineTo x="2038" y="16638"/>
              <wp:lineTo x="7336" y="20141"/>
              <wp:lineTo x="9781" y="21016"/>
              <wp:lineTo x="11411" y="21016"/>
              <wp:lineTo x="13857" y="20141"/>
              <wp:lineTo x="19562" y="16200"/>
              <wp:lineTo x="20377" y="5692"/>
              <wp:lineTo x="14672" y="1314"/>
              <wp:lineTo x="11411" y="0"/>
              <wp:lineTo x="9374" y="0"/>
            </wp:wrapPolygon>
          </wp:wrapTight>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59776" behindDoc="0" locked="0" layoutInCell="1" allowOverlap="1" wp14:anchorId="5D6F08B3" wp14:editId="15D480CE">
              <wp:simplePos x="0" y="0"/>
              <wp:positionH relativeFrom="column">
                <wp:posOffset>1748155</wp:posOffset>
              </wp:positionH>
              <wp:positionV relativeFrom="paragraph">
                <wp:posOffset>124460</wp:posOffset>
              </wp:positionV>
              <wp:extent cx="3848735" cy="0"/>
              <wp:effectExtent l="14605" t="10160" r="13335" b="1841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4873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w:pict>
            <v:shapetype w14:anchorId="4473FB20" id="_x0000_t32" coordsize="21600,21600" o:spt="32" o:oned="t" path="m,l21600,21600e" filled="f">
              <v:path arrowok="t" fillok="f" o:connecttype="none"/>
              <o:lock v:ext="edit" shapetype="t"/>
            </v:shapetype>
            <v:shape id="AutoShape 7" o:spid="_x0000_s1026" type="#_x0000_t32" style="position:absolute;margin-left:137.65pt;margin-top:9.8pt;width:303.05pt;height:0;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" strokeweight="1.5pt"/>
          </w:pict>
        </mc:Fallback>
      </mc:AlternateContent>
    </w:r>
    <w:r>
      <w:rPr>
        <w:noProof/>
        <w:lang w:eastAsia="es-CO"/>
      </w:rPr>
      <mc:AlternateContent>
        <mc:Choice Requires="wps">
          <w:drawing>
            <wp:anchor distT="0" distB="0" distL="114300" distR="114300" simplePos="0" relativeHeight="251655680" behindDoc="0" locked="0" layoutInCell="0" allowOverlap="1" wp14:anchorId="07AD9F36" wp14:editId="4C72EE82">
              <wp:simplePos x="0" y="0"/>
              <wp:positionH relativeFrom="margin">
                <wp:posOffset>2094865</wp:posOffset>
              </wp:positionH>
              <wp:positionV relativeFrom="paragraph">
                <wp:posOffset>175260</wp:posOffset>
              </wp:positionV>
              <wp:extent cx="3576955" cy="433705"/>
              <wp:effectExtent l="0" t="0" r="0" b="0"/>
              <wp:wrapNone/>
              <wp:docPr id="2" name="Rectá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a:xfrm>
                        <a:off x="0" y="0"/>
                        <a:ext cx="3576955" cy="433705"/>
                      </a:xfrm>
                      <a:prstGeom prst="rect">
                        <a:avLst/>
                      </a:prstGeom>
                      <a:noFill/>
                      <a:ln>
                        <a:noFill/>
                      </a:ln>
                    </wps:spPr>
                    <wps:txbx>
                      <w:txbxContent>
                        <w:p w14:paraId="78212443" w14:textId="6C189F9A" w:rsidR="008322D1" w:rsidRPr="000845E9" w:rsidRDefault="008322D1" w:rsidP="005156A8">
                          <w:pPr>
                            <w:pStyle w:val="Sinespaciado"/>
                            <w:jc w:val="right"/>
                            <w:rPr>
                              <w:rFonts w:ascii="Arial" w:hAnsi="Arial" w:cs="Arial"/>
                              <w:b/>
                              <w:i/>
                              <w:sz w:val="20"/>
                              <w:szCs w:val="20"/>
                            </w:rPr>
                          </w:pPr>
                          <w:r w:rsidRPr="000845E9">
                            <w:rPr>
                              <w:rFonts w:ascii="Arial" w:hAnsi="Arial" w:cs="Arial"/>
                              <w:i/>
                              <w:sz w:val="20"/>
                              <w:szCs w:val="20"/>
                            </w:rPr>
                            <w:t xml:space="preserve">Expediente: </w:t>
                          </w:r>
                          <w:r w:rsidR="00317A52">
                            <w:rPr>
                              <w:rFonts w:ascii="Arial" w:hAnsi="Arial" w:cs="Arial"/>
                              <w:i/>
                              <w:sz w:val="20"/>
                              <w:szCs w:val="20"/>
                            </w:rPr>
                            <w:t>11001-03-15-000-202</w:t>
                          </w:r>
                          <w:r w:rsidR="002C4FB9">
                            <w:rPr>
                              <w:rFonts w:ascii="Arial" w:hAnsi="Arial" w:cs="Arial"/>
                              <w:i/>
                              <w:sz w:val="20"/>
                              <w:szCs w:val="20"/>
                            </w:rPr>
                            <w:t>3</w:t>
                          </w:r>
                          <w:r w:rsidR="00317A52">
                            <w:rPr>
                              <w:rFonts w:ascii="Arial" w:hAnsi="Arial" w:cs="Arial"/>
                              <w:i/>
                              <w:sz w:val="20"/>
                              <w:szCs w:val="20"/>
                            </w:rPr>
                            <w:t>-0</w:t>
                          </w:r>
                          <w:r w:rsidR="002C4FB9">
                            <w:rPr>
                              <w:rFonts w:ascii="Arial" w:hAnsi="Arial" w:cs="Arial"/>
                              <w:i/>
                              <w:sz w:val="20"/>
                              <w:szCs w:val="20"/>
                            </w:rPr>
                            <w:t>1390</w:t>
                          </w:r>
                          <w:r w:rsidR="00317A52">
                            <w:rPr>
                              <w:rFonts w:ascii="Arial" w:hAnsi="Arial" w:cs="Arial"/>
                              <w:i/>
                              <w:sz w:val="20"/>
                              <w:szCs w:val="20"/>
                            </w:rPr>
                            <w:t>-00</w:t>
                          </w:r>
                        </w:p>
                        <w:p w14:paraId="2A790A9D" w14:textId="3AC295E1" w:rsidR="008322D1" w:rsidRPr="000845E9" w:rsidRDefault="00CD71C3" w:rsidP="00434999">
                          <w:pPr>
                            <w:pStyle w:val="Sinespaciado"/>
                            <w:spacing w:line="276" w:lineRule="auto"/>
                            <w:jc w:val="right"/>
                            <w:rPr>
                              <w:rFonts w:ascii="Arial" w:hAnsi="Arial" w:cs="Arial"/>
                              <w:i/>
                              <w:sz w:val="20"/>
                              <w:szCs w:val="20"/>
                            </w:rPr>
                          </w:pPr>
                          <w:r>
                            <w:rPr>
                              <w:rFonts w:ascii="Arial" w:hAnsi="Arial" w:cs="Arial"/>
                              <w:i/>
                              <w:sz w:val="20"/>
                              <w:szCs w:val="20"/>
                            </w:rPr>
                            <w:t>Accionan</w:t>
                          </w:r>
                          <w:r w:rsidR="008322D1" w:rsidRPr="000845E9">
                            <w:rPr>
                              <w:rFonts w:ascii="Arial" w:hAnsi="Arial" w:cs="Arial"/>
                              <w:i/>
                              <w:sz w:val="20"/>
                              <w:szCs w:val="20"/>
                            </w:rPr>
                            <w:t xml:space="preserve">te: </w:t>
                          </w:r>
                          <w:r w:rsidR="002C4FB9">
                            <w:rPr>
                              <w:rFonts w:ascii="Arial" w:hAnsi="Arial" w:cs="Arial"/>
                              <w:i/>
                              <w:sz w:val="20"/>
                              <w:szCs w:val="20"/>
                            </w:rPr>
                            <w:t>Blanca Amparo Vélez Castro</w:t>
                          </w:r>
                        </w:p>
                      </w:txbxContent>
                    </wps:txbx>
                    <wps:bodyPr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07AD9F36" id="Rectángulo 2" o:spid="_x0000_s1026" style="position:absolute;margin-left:164.95pt;margin-top:13.8pt;width:281.65pt;height:34.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" o:allowincell="f" filled="f" stroked="f">
              <o:lock v:ext="edit" aspectratio="t" verticies="t" text="t" shapetype="t"/>
              <v:textbox inset="2.53958mm,1.2694mm,2.53958mm,1.2694mm">
                <w:txbxContent>
                  <w:p w14:paraId="78212443" w14:textId="6C189F9A" w:rsidR="008322D1" w:rsidRPr="000845E9" w:rsidRDefault="008322D1" w:rsidP="005156A8">
                    <w:pPr>
                      <w:pStyle w:val="Sinespaciado"/>
                      <w:jc w:val="right"/>
                      <w:rPr>
                        <w:rFonts w:ascii="Arial" w:hAnsi="Arial" w:cs="Arial"/>
                        <w:b/>
                        <w:i/>
                        <w:sz w:val="20"/>
                        <w:szCs w:val="20"/>
                      </w:rPr>
                    </w:pPr>
                    <w:r w:rsidRPr="000845E9">
                      <w:rPr>
                        <w:rFonts w:ascii="Arial" w:hAnsi="Arial" w:cs="Arial"/>
                        <w:i/>
                        <w:sz w:val="20"/>
                        <w:szCs w:val="20"/>
                      </w:rPr>
                      <w:t xml:space="preserve">Expediente: </w:t>
                    </w:r>
                    <w:r w:rsidR="00317A52">
                      <w:rPr>
                        <w:rFonts w:ascii="Arial" w:hAnsi="Arial" w:cs="Arial"/>
                        <w:i/>
                        <w:sz w:val="20"/>
                        <w:szCs w:val="20"/>
                      </w:rPr>
                      <w:t>11001-03-15-000-202</w:t>
                    </w:r>
                    <w:r w:rsidR="002C4FB9">
                      <w:rPr>
                        <w:rFonts w:ascii="Arial" w:hAnsi="Arial" w:cs="Arial"/>
                        <w:i/>
                        <w:sz w:val="20"/>
                        <w:szCs w:val="20"/>
                      </w:rPr>
                      <w:t>3</w:t>
                    </w:r>
                    <w:r w:rsidR="00317A52">
                      <w:rPr>
                        <w:rFonts w:ascii="Arial" w:hAnsi="Arial" w:cs="Arial"/>
                        <w:i/>
                        <w:sz w:val="20"/>
                        <w:szCs w:val="20"/>
                      </w:rPr>
                      <w:t>-0</w:t>
                    </w:r>
                    <w:r w:rsidR="002C4FB9">
                      <w:rPr>
                        <w:rFonts w:ascii="Arial" w:hAnsi="Arial" w:cs="Arial"/>
                        <w:i/>
                        <w:sz w:val="20"/>
                        <w:szCs w:val="20"/>
                      </w:rPr>
                      <w:t>1390</w:t>
                    </w:r>
                    <w:r w:rsidR="00317A52">
                      <w:rPr>
                        <w:rFonts w:ascii="Arial" w:hAnsi="Arial" w:cs="Arial"/>
                        <w:i/>
                        <w:sz w:val="20"/>
                        <w:szCs w:val="20"/>
                      </w:rPr>
                      <w:t>-00</w:t>
                    </w:r>
                  </w:p>
                  <w:p w14:paraId="2A790A9D" w14:textId="3AC295E1" w:rsidR="008322D1" w:rsidRPr="000845E9" w:rsidRDefault="00CD71C3" w:rsidP="00434999">
                    <w:pPr>
                      <w:pStyle w:val="Sinespaciado"/>
                      <w:spacing w:line="276" w:lineRule="auto"/>
                      <w:jc w:val="right"/>
                      <w:rPr>
                        <w:rFonts w:ascii="Arial" w:hAnsi="Arial" w:cs="Arial"/>
                        <w:i/>
                        <w:sz w:val="20"/>
                        <w:szCs w:val="20"/>
                      </w:rPr>
                    </w:pPr>
                    <w:r>
                      <w:rPr>
                        <w:rFonts w:ascii="Arial" w:hAnsi="Arial" w:cs="Arial"/>
                        <w:i/>
                        <w:sz w:val="20"/>
                        <w:szCs w:val="20"/>
                      </w:rPr>
                      <w:t>Accionan</w:t>
                    </w:r>
                    <w:r w:rsidR="008322D1" w:rsidRPr="000845E9">
                      <w:rPr>
                        <w:rFonts w:ascii="Arial" w:hAnsi="Arial" w:cs="Arial"/>
                        <w:i/>
                        <w:sz w:val="20"/>
                        <w:szCs w:val="20"/>
                      </w:rPr>
                      <w:t xml:space="preserve">te: </w:t>
                    </w:r>
                    <w:r w:rsidR="002C4FB9">
                      <w:rPr>
                        <w:rFonts w:ascii="Arial" w:hAnsi="Arial" w:cs="Arial"/>
                        <w:i/>
                        <w:sz w:val="20"/>
                        <w:szCs w:val="20"/>
                      </w:rPr>
                      <w:t>Blanca Amparo Vélez Castro</w:t>
                    </w:r>
                  </w:p>
                </w:txbxContent>
              </v:textbox>
              <w10:wrap anchorx="margin"/>
            </v:rect>
          </w:pict>
        </mc:Fallback>
      </mc:AlternateContent>
    </w:r>
  </w:p>
  <w:p w14:paraId="5CEF9BF7" w14:textId="77777777" w:rsidR="008322D1" w:rsidRDefault="008322D1" w:rsidP="00434999">
    <w:pPr>
      <w:suppressAutoHyphens/>
      <w:rPr>
        <w:rFonts w:ascii="Arial" w:hAnsi="Arial"/>
        <w:b/>
        <w:bCs/>
        <w:color w:val="000000"/>
        <w:lang w:eastAsia="es-ES"/>
      </w:rPr>
    </w:pPr>
  </w:p>
  <w:p w14:paraId="6F3F478B" w14:textId="77777777" w:rsidR="008322D1" w:rsidRDefault="008322D1" w:rsidP="005E7B4A">
    <w:pPr>
      <w:suppressAutoHyphens/>
      <w:rPr>
        <w:rFonts w:ascii="Arial" w:hAnsi="Arial"/>
        <w:b/>
        <w:bCs/>
        <w:color w:val="000000"/>
        <w:lang w:eastAsia="es-ES"/>
      </w:rPr>
    </w:pPr>
  </w:p>
  <w:p w14:paraId="69A88027" w14:textId="77777777" w:rsidR="008322D1" w:rsidRDefault="008322D1" w:rsidP="005E7B4A">
    <w:pPr>
      <w:suppressAutoHyphens/>
      <w:rPr>
        <w:rFonts w:ascii="Arial" w:hAnsi="Arial"/>
        <w:b/>
        <w:bCs/>
        <w:color w:val="000000"/>
        <w:lang w:eastAsia="es-ES"/>
      </w:rPr>
    </w:pPr>
  </w:p>
  <w:p w14:paraId="00493E4D" w14:textId="77777777" w:rsidR="00F220F3" w:rsidRPr="005E7B4A" w:rsidRDefault="00F220F3" w:rsidP="005E7B4A">
    <w:pPr>
      <w:suppressAutoHyphens/>
      <w:rPr>
        <w:rFonts w:ascii="Arial" w:hAnsi="Arial"/>
        <w:b/>
        <w:bCs/>
        <w:color w:val="000000"/>
        <w:lang w:eastAsia="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22084" w14:textId="1020C44D" w:rsidR="00FE6083" w:rsidRDefault="00FC2F63" w:rsidP="00FE6083">
    <w:pPr>
      <w:suppressAutoHyphens/>
      <w:spacing w:line="276" w:lineRule="auto"/>
      <w:jc w:val="right"/>
      <w:rPr>
        <w:rFonts w:ascii="Arial" w:hAnsi="Arial"/>
        <w:bCs/>
        <w:i/>
        <w:color w:val="000000"/>
        <w:sz w:val="20"/>
        <w:szCs w:val="20"/>
        <w:lang w:eastAsia="es-ES"/>
      </w:rPr>
    </w:pPr>
    <w:r w:rsidRPr="00FE6083">
      <w:rPr>
        <w:i/>
        <w:noProof/>
        <w:sz w:val="20"/>
        <w:szCs w:val="20"/>
        <w:lang w:eastAsia="es-CO"/>
      </w:rPr>
      <w:drawing>
        <wp:anchor distT="0" distB="0" distL="114300" distR="114300" simplePos="0" relativeHeight="251656704" behindDoc="1" locked="0" layoutInCell="1" allowOverlap="1" wp14:anchorId="5D9D6A17" wp14:editId="25A24431">
          <wp:simplePos x="0" y="0"/>
          <wp:positionH relativeFrom="column">
            <wp:posOffset>-870585</wp:posOffset>
          </wp:positionH>
          <wp:positionV relativeFrom="paragraph">
            <wp:posOffset>-240030</wp:posOffset>
          </wp:positionV>
          <wp:extent cx="1257300" cy="1170305"/>
          <wp:effectExtent l="0" t="0" r="0" b="0"/>
          <wp:wrapTight wrapText="bothSides">
            <wp:wrapPolygon edited="0">
              <wp:start x="8836" y="352"/>
              <wp:lineTo x="6545" y="1758"/>
              <wp:lineTo x="1964" y="5274"/>
              <wp:lineTo x="1309" y="9845"/>
              <wp:lineTo x="1309" y="13009"/>
              <wp:lineTo x="4255" y="17932"/>
              <wp:lineTo x="4582" y="18283"/>
              <wp:lineTo x="8182" y="20041"/>
              <wp:lineTo x="8836" y="20744"/>
              <wp:lineTo x="12436" y="20744"/>
              <wp:lineTo x="13091" y="20041"/>
              <wp:lineTo x="16691" y="18283"/>
              <wp:lineTo x="17018" y="17932"/>
              <wp:lineTo x="19964" y="13009"/>
              <wp:lineTo x="19636" y="5626"/>
              <wp:lineTo x="14400" y="1406"/>
              <wp:lineTo x="12436" y="352"/>
              <wp:lineTo x="8836" y="352"/>
            </wp:wrapPolygon>
          </wp:wrapTight>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C0083">
      <w:rPr>
        <w:rFonts w:ascii="Arial" w:hAnsi="Arial"/>
        <w:bCs/>
        <w:i/>
        <w:noProof/>
        <w:color w:val="000000"/>
        <w:sz w:val="20"/>
        <w:szCs w:val="20"/>
        <w:lang w:eastAsia="es-CO"/>
      </w:rPr>
      <mc:AlternateContent>
        <mc:Choice Requires="wps">
          <w:drawing>
            <wp:anchor distT="0" distB="0" distL="114300" distR="114300" simplePos="0" relativeHeight="251658752" behindDoc="0" locked="0" layoutInCell="1" allowOverlap="1" wp14:anchorId="2AC1887A" wp14:editId="7857AD33">
              <wp:simplePos x="0" y="0"/>
              <wp:positionH relativeFrom="column">
                <wp:posOffset>1631315</wp:posOffset>
              </wp:positionH>
              <wp:positionV relativeFrom="paragraph">
                <wp:posOffset>116840</wp:posOffset>
              </wp:positionV>
              <wp:extent cx="4018915" cy="0"/>
              <wp:effectExtent l="12065" t="12065" r="17145" b="1651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89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w:pict>
            <v:shapetype w14:anchorId="600890CC" id="_x0000_t32" coordsize="21600,21600" o:spt="32" o:oned="t" path="m,l21600,21600e" filled="f">
              <v:path arrowok="t" fillok="f" o:connecttype="none"/>
              <o:lock v:ext="edit" shapetype="t"/>
            </v:shapetype>
            <v:shape id="AutoShape 6" o:spid="_x0000_s1026" type="#_x0000_t32" style="position:absolute;margin-left:128.45pt;margin-top:9.2pt;width:316.45pt;height:0;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" strokeweight="1.5pt"/>
          </w:pict>
        </mc:Fallback>
      </mc:AlternateContent>
    </w:r>
  </w:p>
  <w:p w14:paraId="73363542" w14:textId="62E541F8" w:rsidR="00F220F3" w:rsidRPr="00FE6083" w:rsidRDefault="00FE6083" w:rsidP="005156A8">
    <w:pPr>
      <w:tabs>
        <w:tab w:val="left" w:pos="486"/>
        <w:tab w:val="right" w:pos="8838"/>
      </w:tabs>
      <w:suppressAutoHyphens/>
      <w:rPr>
        <w:rFonts w:ascii="Arial" w:hAnsi="Arial"/>
        <w:bCs/>
        <w:i/>
        <w:color w:val="000000"/>
        <w:sz w:val="20"/>
        <w:szCs w:val="20"/>
        <w:lang w:eastAsia="es-ES"/>
      </w:rPr>
    </w:pPr>
    <w:r>
      <w:rPr>
        <w:rFonts w:ascii="Arial" w:hAnsi="Arial"/>
        <w:bCs/>
        <w:i/>
        <w:color w:val="000000"/>
        <w:sz w:val="20"/>
        <w:szCs w:val="20"/>
        <w:lang w:eastAsia="es-ES"/>
      </w:rPr>
      <w:tab/>
    </w:r>
    <w:r w:rsidRPr="00FE6083">
      <w:rPr>
        <w:rFonts w:ascii="Arial" w:hAnsi="Arial"/>
        <w:bCs/>
        <w:i/>
        <w:color w:val="000000"/>
        <w:sz w:val="20"/>
        <w:szCs w:val="20"/>
        <w:lang w:eastAsia="es-ES"/>
      </w:rPr>
      <w:t xml:space="preserve">Radicado: </w:t>
    </w:r>
    <w:r w:rsidR="00BC0083">
      <w:rPr>
        <w:rFonts w:ascii="Arial" w:hAnsi="Arial"/>
        <w:bCs/>
        <w:i/>
        <w:color w:val="000000"/>
        <w:sz w:val="20"/>
        <w:szCs w:val="20"/>
        <w:lang w:eastAsia="es-ES"/>
      </w:rPr>
      <w:t>11001-03-15-000-202</w:t>
    </w:r>
    <w:r w:rsidR="00E321AC">
      <w:rPr>
        <w:rFonts w:ascii="Arial" w:hAnsi="Arial"/>
        <w:bCs/>
        <w:i/>
        <w:color w:val="000000"/>
        <w:sz w:val="20"/>
        <w:szCs w:val="20"/>
        <w:lang w:eastAsia="es-ES"/>
      </w:rPr>
      <w:t>3</w:t>
    </w:r>
    <w:r w:rsidR="00BC0083">
      <w:rPr>
        <w:rFonts w:ascii="Arial" w:hAnsi="Arial"/>
        <w:bCs/>
        <w:i/>
        <w:color w:val="000000"/>
        <w:sz w:val="20"/>
        <w:szCs w:val="20"/>
        <w:lang w:eastAsia="es-ES"/>
      </w:rPr>
      <w:t>-0</w:t>
    </w:r>
    <w:r w:rsidR="00E321AC">
      <w:rPr>
        <w:rFonts w:ascii="Arial" w:hAnsi="Arial"/>
        <w:bCs/>
        <w:i/>
        <w:color w:val="000000"/>
        <w:sz w:val="20"/>
        <w:szCs w:val="20"/>
        <w:lang w:eastAsia="es-ES"/>
      </w:rPr>
      <w:t>1390</w:t>
    </w:r>
    <w:r w:rsidR="00BC0083">
      <w:rPr>
        <w:rFonts w:ascii="Arial" w:hAnsi="Arial"/>
        <w:bCs/>
        <w:i/>
        <w:color w:val="000000"/>
        <w:sz w:val="20"/>
        <w:szCs w:val="20"/>
        <w:lang w:eastAsia="es-ES"/>
      </w:rPr>
      <w:t>-00</w:t>
    </w:r>
  </w:p>
  <w:p w14:paraId="01A6180D" w14:textId="38A3D87B" w:rsidR="00FE6083" w:rsidRPr="00FE6083" w:rsidRDefault="00CD71C3" w:rsidP="00FE6083">
    <w:pPr>
      <w:suppressAutoHyphens/>
      <w:spacing w:line="276" w:lineRule="auto"/>
      <w:jc w:val="right"/>
      <w:rPr>
        <w:rFonts w:ascii="Arial" w:hAnsi="Arial"/>
        <w:bCs/>
        <w:i/>
        <w:color w:val="000000"/>
        <w:sz w:val="20"/>
        <w:szCs w:val="20"/>
        <w:lang w:eastAsia="es-ES"/>
      </w:rPr>
    </w:pPr>
    <w:r>
      <w:rPr>
        <w:rFonts w:ascii="Arial" w:hAnsi="Arial"/>
        <w:bCs/>
        <w:i/>
        <w:color w:val="000000"/>
        <w:sz w:val="20"/>
        <w:szCs w:val="20"/>
        <w:lang w:eastAsia="es-ES"/>
      </w:rPr>
      <w:t>Acciona</w:t>
    </w:r>
    <w:r w:rsidR="00FE6083" w:rsidRPr="00FE6083">
      <w:rPr>
        <w:rFonts w:ascii="Arial" w:hAnsi="Arial"/>
        <w:bCs/>
        <w:i/>
        <w:color w:val="000000"/>
        <w:sz w:val="20"/>
        <w:szCs w:val="20"/>
        <w:lang w:eastAsia="es-ES"/>
      </w:rPr>
      <w:t xml:space="preserve">nte: </w:t>
    </w:r>
    <w:r w:rsidR="00E321AC">
      <w:rPr>
        <w:rFonts w:ascii="Arial" w:hAnsi="Arial"/>
        <w:bCs/>
        <w:i/>
        <w:color w:val="000000"/>
        <w:sz w:val="20"/>
        <w:szCs w:val="20"/>
        <w:lang w:eastAsia="es-ES"/>
      </w:rPr>
      <w:t>Blanca Amparo Vélez Castro</w:t>
    </w:r>
  </w:p>
  <w:p w14:paraId="5BF56624" w14:textId="77777777" w:rsidR="00FE6083" w:rsidRDefault="00FE6083" w:rsidP="00537567">
    <w:pPr>
      <w:suppressAutoHyphens/>
      <w:spacing w:line="276" w:lineRule="auto"/>
      <w:jc w:val="center"/>
      <w:rPr>
        <w:rFonts w:ascii="Arial" w:hAnsi="Arial"/>
        <w:b/>
        <w:bCs/>
        <w:color w:val="000000"/>
        <w:lang w:eastAsia="es-ES"/>
      </w:rPr>
    </w:pPr>
  </w:p>
  <w:p w14:paraId="705C4E7D" w14:textId="6811844F" w:rsidR="00F220F3" w:rsidRDefault="00F220F3" w:rsidP="00FC2F63">
    <w:pPr>
      <w:suppressAutoHyphens/>
      <w:spacing w:line="276" w:lineRule="auto"/>
      <w:jc w:val="center"/>
      <w:rPr>
        <w:rFonts w:ascii="Arial" w:hAnsi="Arial"/>
        <w:b/>
        <w:bCs/>
        <w:color w:val="000000"/>
        <w:lang w:eastAsia="es-ES"/>
      </w:rPr>
    </w:pPr>
    <w:bookmarkStart w:id="2" w:name="_Hlk105486021"/>
    <w:bookmarkStart w:id="3" w:name="_Hlk105486022"/>
    <w:bookmarkStart w:id="4" w:name="_Hlk105486037"/>
    <w:bookmarkStart w:id="5" w:name="_Hlk105486038"/>
    <w:r>
      <w:rPr>
        <w:rFonts w:ascii="Arial" w:hAnsi="Arial"/>
        <w:b/>
        <w:bCs/>
        <w:color w:val="000000"/>
        <w:lang w:eastAsia="es-ES"/>
      </w:rPr>
      <w:t>CONSEJO DE ESTADO</w:t>
    </w:r>
  </w:p>
  <w:p w14:paraId="203C0DCB" w14:textId="77777777" w:rsidR="00F220F3" w:rsidRPr="005E4228" w:rsidRDefault="00F220F3" w:rsidP="00FC2F63">
    <w:pPr>
      <w:suppressAutoHyphens/>
      <w:spacing w:line="276" w:lineRule="auto"/>
      <w:jc w:val="center"/>
      <w:rPr>
        <w:rFonts w:ascii="Arial" w:hAnsi="Arial"/>
        <w:b/>
        <w:bCs/>
        <w:color w:val="000000"/>
        <w:lang w:eastAsia="es-ES"/>
      </w:rPr>
    </w:pPr>
    <w:r w:rsidRPr="005E4228">
      <w:rPr>
        <w:rFonts w:ascii="Arial" w:hAnsi="Arial"/>
        <w:b/>
        <w:bCs/>
        <w:color w:val="000000"/>
        <w:lang w:eastAsia="es-ES"/>
      </w:rPr>
      <w:t>SALA DE LO CONTENCIOSO</w:t>
    </w:r>
    <w:r>
      <w:rPr>
        <w:rFonts w:ascii="Arial" w:hAnsi="Arial"/>
        <w:b/>
        <w:bCs/>
        <w:color w:val="000000"/>
        <w:lang w:eastAsia="es-ES"/>
      </w:rPr>
      <w:t xml:space="preserve"> </w:t>
    </w:r>
    <w:r w:rsidRPr="005E4228">
      <w:rPr>
        <w:rFonts w:ascii="Arial" w:hAnsi="Arial"/>
        <w:b/>
        <w:bCs/>
        <w:color w:val="000000"/>
        <w:lang w:eastAsia="es-ES"/>
      </w:rPr>
      <w:t>ADMINISTRATIVO</w:t>
    </w:r>
  </w:p>
  <w:p w14:paraId="3AE9EC4E" w14:textId="77777777" w:rsidR="00F220F3" w:rsidRPr="005E4228" w:rsidRDefault="00F220F3" w:rsidP="00FC2F63">
    <w:pPr>
      <w:suppressAutoHyphens/>
      <w:spacing w:line="276" w:lineRule="auto"/>
      <w:jc w:val="center"/>
      <w:rPr>
        <w:rFonts w:ascii="Arial" w:hAnsi="Arial"/>
        <w:b/>
        <w:bCs/>
        <w:color w:val="000000"/>
        <w:lang w:eastAsia="es-ES"/>
      </w:rPr>
    </w:pPr>
    <w:r w:rsidRPr="005E4228">
      <w:rPr>
        <w:rFonts w:ascii="Arial" w:hAnsi="Arial"/>
        <w:b/>
        <w:bCs/>
        <w:color w:val="000000"/>
        <w:lang w:eastAsia="es-ES"/>
      </w:rPr>
      <w:t>SECCIÓN TERCERA</w:t>
    </w:r>
  </w:p>
  <w:p w14:paraId="3B1B31B8" w14:textId="77777777" w:rsidR="00F220F3" w:rsidRPr="00D90EF0" w:rsidRDefault="00F220F3" w:rsidP="00FC2F63">
    <w:pPr>
      <w:suppressAutoHyphens/>
      <w:spacing w:line="276" w:lineRule="auto"/>
      <w:jc w:val="center"/>
      <w:rPr>
        <w:rFonts w:ascii="Arial" w:hAnsi="Arial"/>
        <w:b/>
        <w:bCs/>
        <w:color w:val="000000"/>
        <w:lang w:eastAsia="es-ES"/>
      </w:rPr>
    </w:pPr>
    <w:r>
      <w:rPr>
        <w:rFonts w:ascii="Arial" w:hAnsi="Arial"/>
        <w:b/>
        <w:bCs/>
        <w:color w:val="000000"/>
        <w:lang w:eastAsia="es-ES"/>
      </w:rPr>
      <w:t>SUBSECCIÓN C</w:t>
    </w:r>
    <w:bookmarkEnd w:id="2"/>
    <w:bookmarkEnd w:id="3"/>
    <w:bookmarkEnd w:id="4"/>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1BE5"/>
    <w:multiLevelType w:val="hybridMultilevel"/>
    <w:tmpl w:val="3CB08B6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610530"/>
    <w:multiLevelType w:val="hybridMultilevel"/>
    <w:tmpl w:val="FB06C3D4"/>
    <w:lvl w:ilvl="0" w:tplc="89526FF8">
      <w:numFmt w:val="bullet"/>
      <w:lvlText w:val="-"/>
      <w:lvlJc w:val="left"/>
      <w:pPr>
        <w:ind w:left="360" w:hanging="360"/>
      </w:pPr>
      <w:rPr>
        <w:rFonts w:ascii="Arial" w:eastAsia="Calibri" w:hAnsi="Arial" w:cs="Arial" w:hint="default"/>
      </w:rPr>
    </w:lvl>
    <w:lvl w:ilvl="1" w:tplc="C1C8C1D6">
      <w:start w:val="1"/>
      <w:numFmt w:val="lowerRoman"/>
      <w:lvlText w:val="%2)"/>
      <w:lvlJc w:val="left"/>
      <w:pPr>
        <w:ind w:left="1080" w:hanging="360"/>
      </w:pPr>
      <w:rPr>
        <w:rFonts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4305AAD"/>
    <w:multiLevelType w:val="hybridMultilevel"/>
    <w:tmpl w:val="92DCABC6"/>
    <w:lvl w:ilvl="0" w:tplc="812E6A1E">
      <w:start w:val="3"/>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C10589"/>
    <w:multiLevelType w:val="hybridMultilevel"/>
    <w:tmpl w:val="5AD2901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69A6AFA"/>
    <w:multiLevelType w:val="hybridMultilevel"/>
    <w:tmpl w:val="C1BA999C"/>
    <w:lvl w:ilvl="0" w:tplc="65A03564">
      <w:start w:val="1"/>
      <w:numFmt w:val="lowerLetter"/>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09E83F4A"/>
    <w:multiLevelType w:val="hybridMultilevel"/>
    <w:tmpl w:val="96B8BF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B7D73B6"/>
    <w:multiLevelType w:val="hybridMultilevel"/>
    <w:tmpl w:val="055CF5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EEB10B4"/>
    <w:multiLevelType w:val="hybridMultilevel"/>
    <w:tmpl w:val="C67AD3DA"/>
    <w:lvl w:ilvl="0" w:tplc="C1C8C1D6">
      <w:start w:val="1"/>
      <w:numFmt w:val="lowerRoman"/>
      <w:lvlText w:val="%1)"/>
      <w:lvlJc w:val="left"/>
      <w:pPr>
        <w:ind w:left="1347" w:hanging="720"/>
      </w:pPr>
      <w:rPr>
        <w:rFonts w:hint="default"/>
      </w:rPr>
    </w:lvl>
    <w:lvl w:ilvl="1" w:tplc="240A0019" w:tentative="1">
      <w:start w:val="1"/>
      <w:numFmt w:val="lowerLetter"/>
      <w:lvlText w:val="%2."/>
      <w:lvlJc w:val="left"/>
      <w:pPr>
        <w:ind w:left="1707" w:hanging="360"/>
      </w:pPr>
    </w:lvl>
    <w:lvl w:ilvl="2" w:tplc="240A001B" w:tentative="1">
      <w:start w:val="1"/>
      <w:numFmt w:val="lowerRoman"/>
      <w:lvlText w:val="%3."/>
      <w:lvlJc w:val="right"/>
      <w:pPr>
        <w:ind w:left="2427" w:hanging="180"/>
      </w:pPr>
    </w:lvl>
    <w:lvl w:ilvl="3" w:tplc="240A000F" w:tentative="1">
      <w:start w:val="1"/>
      <w:numFmt w:val="decimal"/>
      <w:lvlText w:val="%4."/>
      <w:lvlJc w:val="left"/>
      <w:pPr>
        <w:ind w:left="3147" w:hanging="360"/>
      </w:pPr>
    </w:lvl>
    <w:lvl w:ilvl="4" w:tplc="240A0019" w:tentative="1">
      <w:start w:val="1"/>
      <w:numFmt w:val="lowerLetter"/>
      <w:lvlText w:val="%5."/>
      <w:lvlJc w:val="left"/>
      <w:pPr>
        <w:ind w:left="3867" w:hanging="360"/>
      </w:pPr>
    </w:lvl>
    <w:lvl w:ilvl="5" w:tplc="240A001B" w:tentative="1">
      <w:start w:val="1"/>
      <w:numFmt w:val="lowerRoman"/>
      <w:lvlText w:val="%6."/>
      <w:lvlJc w:val="right"/>
      <w:pPr>
        <w:ind w:left="4587" w:hanging="180"/>
      </w:pPr>
    </w:lvl>
    <w:lvl w:ilvl="6" w:tplc="240A000F" w:tentative="1">
      <w:start w:val="1"/>
      <w:numFmt w:val="decimal"/>
      <w:lvlText w:val="%7."/>
      <w:lvlJc w:val="left"/>
      <w:pPr>
        <w:ind w:left="5307" w:hanging="360"/>
      </w:pPr>
    </w:lvl>
    <w:lvl w:ilvl="7" w:tplc="240A0019" w:tentative="1">
      <w:start w:val="1"/>
      <w:numFmt w:val="lowerLetter"/>
      <w:lvlText w:val="%8."/>
      <w:lvlJc w:val="left"/>
      <w:pPr>
        <w:ind w:left="6027" w:hanging="360"/>
      </w:pPr>
    </w:lvl>
    <w:lvl w:ilvl="8" w:tplc="240A001B" w:tentative="1">
      <w:start w:val="1"/>
      <w:numFmt w:val="lowerRoman"/>
      <w:lvlText w:val="%9."/>
      <w:lvlJc w:val="right"/>
      <w:pPr>
        <w:ind w:left="6747" w:hanging="180"/>
      </w:pPr>
    </w:lvl>
  </w:abstractNum>
  <w:abstractNum w:abstractNumId="8" w15:restartNumberingAfterBreak="0">
    <w:nsid w:val="114C3B33"/>
    <w:multiLevelType w:val="hybridMultilevel"/>
    <w:tmpl w:val="C5D4F58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13955C28"/>
    <w:multiLevelType w:val="hybridMultilevel"/>
    <w:tmpl w:val="8E04B3E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4896FD0"/>
    <w:multiLevelType w:val="hybridMultilevel"/>
    <w:tmpl w:val="7EEEE6C2"/>
    <w:lvl w:ilvl="0" w:tplc="33F0EC1C">
      <w:start w:val="4"/>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FD03411"/>
    <w:multiLevelType w:val="hybridMultilevel"/>
    <w:tmpl w:val="AE72EC1C"/>
    <w:lvl w:ilvl="0" w:tplc="C1BE24A8">
      <w:start w:val="3"/>
      <w:numFmt w:val="bullet"/>
      <w:lvlText w:val="-"/>
      <w:lvlJc w:val="left"/>
      <w:pPr>
        <w:ind w:left="360" w:hanging="360"/>
      </w:pPr>
      <w:rPr>
        <w:rFonts w:ascii="Arial" w:eastAsia="Calibr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29C522E1"/>
    <w:multiLevelType w:val="hybridMultilevel"/>
    <w:tmpl w:val="B92A23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0252C9B"/>
    <w:multiLevelType w:val="hybridMultilevel"/>
    <w:tmpl w:val="DEF051C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34067CAD"/>
    <w:multiLevelType w:val="hybridMultilevel"/>
    <w:tmpl w:val="7F78A8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3ADD791A"/>
    <w:multiLevelType w:val="multilevel"/>
    <w:tmpl w:val="C53C111C"/>
    <w:lvl w:ilvl="0">
      <w:start w:val="1"/>
      <w:numFmt w:val="upperRoman"/>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2531F36"/>
    <w:multiLevelType w:val="hybridMultilevel"/>
    <w:tmpl w:val="14988E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4A585770"/>
    <w:multiLevelType w:val="hybridMultilevel"/>
    <w:tmpl w:val="46CA0B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55001C30"/>
    <w:multiLevelType w:val="hybridMultilevel"/>
    <w:tmpl w:val="3CA4DA8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55392C3B"/>
    <w:multiLevelType w:val="hybridMultilevel"/>
    <w:tmpl w:val="259660AC"/>
    <w:lvl w:ilvl="0" w:tplc="3BE0728C">
      <w:numFmt w:val="bullet"/>
      <w:lvlText w:val="-"/>
      <w:lvlJc w:val="left"/>
      <w:pPr>
        <w:ind w:left="720" w:hanging="360"/>
      </w:pPr>
      <w:rPr>
        <w:rFonts w:ascii="Arial" w:eastAsia="Calibri" w:hAnsi="Arial" w:cs="Arial"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9E28F2"/>
    <w:multiLevelType w:val="hybridMultilevel"/>
    <w:tmpl w:val="7430DA8E"/>
    <w:lvl w:ilvl="0" w:tplc="F3CC9974">
      <w:start w:val="4"/>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99D25ED"/>
    <w:multiLevelType w:val="hybridMultilevel"/>
    <w:tmpl w:val="5E845C58"/>
    <w:lvl w:ilvl="0" w:tplc="8F902CDC">
      <w:start w:val="4"/>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A5069BE"/>
    <w:multiLevelType w:val="hybridMultilevel"/>
    <w:tmpl w:val="2D265D9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2CE4284"/>
    <w:multiLevelType w:val="hybridMultilevel"/>
    <w:tmpl w:val="A154C022"/>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63587538"/>
    <w:multiLevelType w:val="hybridMultilevel"/>
    <w:tmpl w:val="4C085F1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650F363D"/>
    <w:multiLevelType w:val="hybridMultilevel"/>
    <w:tmpl w:val="43183F7E"/>
    <w:lvl w:ilvl="0" w:tplc="C2E2D008">
      <w:start w:val="1"/>
      <w:numFmt w:val="lowerRoman"/>
      <w:lvlText w:val="%1)"/>
      <w:lvlJc w:val="left"/>
      <w:pPr>
        <w:ind w:left="1428" w:hanging="720"/>
      </w:pPr>
      <w:rPr>
        <w:rFonts w:hint="default"/>
        <w:b/>
        <w:i/>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6" w15:restartNumberingAfterBreak="0">
    <w:nsid w:val="66B85CED"/>
    <w:multiLevelType w:val="multilevel"/>
    <w:tmpl w:val="0A8C16E0"/>
    <w:lvl w:ilvl="0">
      <w:start w:val="1"/>
      <w:numFmt w:val="upperRoman"/>
      <w:lvlText w:val="%1."/>
      <w:lvlJc w:val="left"/>
      <w:pPr>
        <w:ind w:left="1146" w:hanging="720"/>
      </w:pPr>
      <w:rPr>
        <w:rFonts w:hint="default"/>
        <w:b/>
        <w:bCs/>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68025E35"/>
    <w:multiLevelType w:val="hybridMultilevel"/>
    <w:tmpl w:val="BCF8F4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69DB36D0"/>
    <w:multiLevelType w:val="hybridMultilevel"/>
    <w:tmpl w:val="47BEDC4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0960068"/>
    <w:multiLevelType w:val="hybridMultilevel"/>
    <w:tmpl w:val="9B2A36D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7249247B"/>
    <w:multiLevelType w:val="hybridMultilevel"/>
    <w:tmpl w:val="C5DAC5EE"/>
    <w:lvl w:ilvl="0" w:tplc="D0862D00">
      <w:start w:val="1"/>
      <w:numFmt w:val="lowerRoman"/>
      <w:lvlText w:val="%1)"/>
      <w:lvlJc w:val="left"/>
      <w:pPr>
        <w:ind w:left="720" w:hanging="720"/>
      </w:pPr>
      <w:rPr>
        <w:rFonts w:hint="default"/>
        <w:b/>
        <w:bCs/>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1" w15:restartNumberingAfterBreak="0">
    <w:nsid w:val="72FD2FBB"/>
    <w:multiLevelType w:val="hybridMultilevel"/>
    <w:tmpl w:val="C3EE005E"/>
    <w:lvl w:ilvl="0" w:tplc="067057D4">
      <w:start w:val="1"/>
      <w:numFmt w:val="low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2" w15:restartNumberingAfterBreak="0">
    <w:nsid w:val="793C527B"/>
    <w:multiLevelType w:val="hybridMultilevel"/>
    <w:tmpl w:val="D24AEAF8"/>
    <w:lvl w:ilvl="0" w:tplc="718ED4AE">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A7F3E47"/>
    <w:multiLevelType w:val="hybridMultilevel"/>
    <w:tmpl w:val="B39296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7D601252"/>
    <w:multiLevelType w:val="hybridMultilevel"/>
    <w:tmpl w:val="A84E261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6"/>
  </w:num>
  <w:num w:numId="2">
    <w:abstractNumId w:val="16"/>
  </w:num>
  <w:num w:numId="3">
    <w:abstractNumId w:val="4"/>
  </w:num>
  <w:num w:numId="4">
    <w:abstractNumId w:val="27"/>
  </w:num>
  <w:num w:numId="5">
    <w:abstractNumId w:val="33"/>
  </w:num>
  <w:num w:numId="6">
    <w:abstractNumId w:val="24"/>
  </w:num>
  <w:num w:numId="7">
    <w:abstractNumId w:val="13"/>
  </w:num>
  <w:num w:numId="8">
    <w:abstractNumId w:val="0"/>
  </w:num>
  <w:num w:numId="9">
    <w:abstractNumId w:val="23"/>
  </w:num>
  <w:num w:numId="10">
    <w:abstractNumId w:val="21"/>
  </w:num>
  <w:num w:numId="11">
    <w:abstractNumId w:val="10"/>
  </w:num>
  <w:num w:numId="12">
    <w:abstractNumId w:val="20"/>
  </w:num>
  <w:num w:numId="13">
    <w:abstractNumId w:val="14"/>
  </w:num>
  <w:num w:numId="14">
    <w:abstractNumId w:val="9"/>
  </w:num>
  <w:num w:numId="15">
    <w:abstractNumId w:val="29"/>
  </w:num>
  <w:num w:numId="16">
    <w:abstractNumId w:val="3"/>
  </w:num>
  <w:num w:numId="17">
    <w:abstractNumId w:val="22"/>
  </w:num>
  <w:num w:numId="18">
    <w:abstractNumId w:val="12"/>
  </w:num>
  <w:num w:numId="19">
    <w:abstractNumId w:val="7"/>
  </w:num>
  <w:num w:numId="20">
    <w:abstractNumId w:val="34"/>
  </w:num>
  <w:num w:numId="21">
    <w:abstractNumId w:val="28"/>
  </w:num>
  <w:num w:numId="22">
    <w:abstractNumId w:val="5"/>
  </w:num>
  <w:num w:numId="23">
    <w:abstractNumId w:val="2"/>
  </w:num>
  <w:num w:numId="24">
    <w:abstractNumId w:val="11"/>
  </w:num>
  <w:num w:numId="25">
    <w:abstractNumId w:val="18"/>
  </w:num>
  <w:num w:numId="26">
    <w:abstractNumId w:val="32"/>
  </w:num>
  <w:num w:numId="27">
    <w:abstractNumId w:val="1"/>
  </w:num>
  <w:num w:numId="28">
    <w:abstractNumId w:val="25"/>
  </w:num>
  <w:num w:numId="29">
    <w:abstractNumId w:val="30"/>
  </w:num>
  <w:num w:numId="30">
    <w:abstractNumId w:val="8"/>
  </w:num>
  <w:num w:numId="31">
    <w:abstractNumId w:val="17"/>
  </w:num>
  <w:num w:numId="32">
    <w:abstractNumId w:val="6"/>
  </w:num>
  <w:num w:numId="33">
    <w:abstractNumId w:val="15"/>
  </w:num>
  <w:num w:numId="34">
    <w:abstractNumId w:val="19"/>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B4A"/>
    <w:rsid w:val="00000299"/>
    <w:rsid w:val="0000054D"/>
    <w:rsid w:val="0000114D"/>
    <w:rsid w:val="00004E19"/>
    <w:rsid w:val="00006090"/>
    <w:rsid w:val="00006900"/>
    <w:rsid w:val="00007387"/>
    <w:rsid w:val="00011DE1"/>
    <w:rsid w:val="00012D71"/>
    <w:rsid w:val="00012FBB"/>
    <w:rsid w:val="0001363C"/>
    <w:rsid w:val="00014109"/>
    <w:rsid w:val="00014A91"/>
    <w:rsid w:val="00017325"/>
    <w:rsid w:val="000179EA"/>
    <w:rsid w:val="00017F24"/>
    <w:rsid w:val="000200F9"/>
    <w:rsid w:val="00021146"/>
    <w:rsid w:val="00022947"/>
    <w:rsid w:val="000260F8"/>
    <w:rsid w:val="00026859"/>
    <w:rsid w:val="00026B9B"/>
    <w:rsid w:val="0002702B"/>
    <w:rsid w:val="00027AC9"/>
    <w:rsid w:val="00027DC2"/>
    <w:rsid w:val="0003046A"/>
    <w:rsid w:val="000314EF"/>
    <w:rsid w:val="0003189C"/>
    <w:rsid w:val="00032246"/>
    <w:rsid w:val="000327FC"/>
    <w:rsid w:val="0003302A"/>
    <w:rsid w:val="00033234"/>
    <w:rsid w:val="000334EA"/>
    <w:rsid w:val="00033C84"/>
    <w:rsid w:val="000341C0"/>
    <w:rsid w:val="00034BCD"/>
    <w:rsid w:val="00034C5D"/>
    <w:rsid w:val="000355E9"/>
    <w:rsid w:val="0004048B"/>
    <w:rsid w:val="0004070F"/>
    <w:rsid w:val="000438CC"/>
    <w:rsid w:val="00043AA3"/>
    <w:rsid w:val="000441FD"/>
    <w:rsid w:val="00044628"/>
    <w:rsid w:val="00044B2D"/>
    <w:rsid w:val="00044C4A"/>
    <w:rsid w:val="00044D0B"/>
    <w:rsid w:val="00045222"/>
    <w:rsid w:val="00047274"/>
    <w:rsid w:val="0005376E"/>
    <w:rsid w:val="00053DF4"/>
    <w:rsid w:val="00053E80"/>
    <w:rsid w:val="00053F3D"/>
    <w:rsid w:val="000550A1"/>
    <w:rsid w:val="00055389"/>
    <w:rsid w:val="0005596B"/>
    <w:rsid w:val="00055B5F"/>
    <w:rsid w:val="00056A85"/>
    <w:rsid w:val="00057445"/>
    <w:rsid w:val="00057610"/>
    <w:rsid w:val="000602C0"/>
    <w:rsid w:val="000610CA"/>
    <w:rsid w:val="000614FD"/>
    <w:rsid w:val="00061E5F"/>
    <w:rsid w:val="00064565"/>
    <w:rsid w:val="000655CE"/>
    <w:rsid w:val="00065C11"/>
    <w:rsid w:val="00066550"/>
    <w:rsid w:val="00066AE9"/>
    <w:rsid w:val="00067F85"/>
    <w:rsid w:val="00070582"/>
    <w:rsid w:val="00070F9D"/>
    <w:rsid w:val="00071537"/>
    <w:rsid w:val="0007159C"/>
    <w:rsid w:val="000715CC"/>
    <w:rsid w:val="00072C94"/>
    <w:rsid w:val="00073DCF"/>
    <w:rsid w:val="000746F3"/>
    <w:rsid w:val="0007515E"/>
    <w:rsid w:val="0008047B"/>
    <w:rsid w:val="00081677"/>
    <w:rsid w:val="00083E71"/>
    <w:rsid w:val="000845E9"/>
    <w:rsid w:val="0008465C"/>
    <w:rsid w:val="00084815"/>
    <w:rsid w:val="00084C1B"/>
    <w:rsid w:val="00085AD3"/>
    <w:rsid w:val="00090150"/>
    <w:rsid w:val="0009042A"/>
    <w:rsid w:val="00092065"/>
    <w:rsid w:val="00092170"/>
    <w:rsid w:val="00092BF3"/>
    <w:rsid w:val="000957F6"/>
    <w:rsid w:val="00095B0F"/>
    <w:rsid w:val="00096A0D"/>
    <w:rsid w:val="00096ADC"/>
    <w:rsid w:val="00097520"/>
    <w:rsid w:val="00097A33"/>
    <w:rsid w:val="00097CA4"/>
    <w:rsid w:val="000A019F"/>
    <w:rsid w:val="000A1C8D"/>
    <w:rsid w:val="000A1EED"/>
    <w:rsid w:val="000A356A"/>
    <w:rsid w:val="000A4054"/>
    <w:rsid w:val="000A5E9E"/>
    <w:rsid w:val="000A7B00"/>
    <w:rsid w:val="000B053D"/>
    <w:rsid w:val="000B0B9C"/>
    <w:rsid w:val="000B0C08"/>
    <w:rsid w:val="000B0C21"/>
    <w:rsid w:val="000B3364"/>
    <w:rsid w:val="000B3851"/>
    <w:rsid w:val="000B3BB1"/>
    <w:rsid w:val="000B3BE8"/>
    <w:rsid w:val="000B550F"/>
    <w:rsid w:val="000B5E2F"/>
    <w:rsid w:val="000B62A7"/>
    <w:rsid w:val="000B7EA9"/>
    <w:rsid w:val="000C0295"/>
    <w:rsid w:val="000C0A47"/>
    <w:rsid w:val="000C299F"/>
    <w:rsid w:val="000C3005"/>
    <w:rsid w:val="000C3C35"/>
    <w:rsid w:val="000C41EC"/>
    <w:rsid w:val="000C4432"/>
    <w:rsid w:val="000C57D1"/>
    <w:rsid w:val="000C6B38"/>
    <w:rsid w:val="000D1E73"/>
    <w:rsid w:val="000D277A"/>
    <w:rsid w:val="000D2D2C"/>
    <w:rsid w:val="000D368F"/>
    <w:rsid w:val="000D3713"/>
    <w:rsid w:val="000D3836"/>
    <w:rsid w:val="000D387D"/>
    <w:rsid w:val="000D402E"/>
    <w:rsid w:val="000D4C0C"/>
    <w:rsid w:val="000D4C6C"/>
    <w:rsid w:val="000D78CE"/>
    <w:rsid w:val="000D797E"/>
    <w:rsid w:val="000E0574"/>
    <w:rsid w:val="000E0DEA"/>
    <w:rsid w:val="000E131A"/>
    <w:rsid w:val="000E373D"/>
    <w:rsid w:val="000E3ED9"/>
    <w:rsid w:val="000E4035"/>
    <w:rsid w:val="000E4127"/>
    <w:rsid w:val="000E41A4"/>
    <w:rsid w:val="000E4260"/>
    <w:rsid w:val="000E5AD7"/>
    <w:rsid w:val="000E5DAC"/>
    <w:rsid w:val="000E5FB2"/>
    <w:rsid w:val="000E7C1A"/>
    <w:rsid w:val="000E7DED"/>
    <w:rsid w:val="000F0380"/>
    <w:rsid w:val="000F0735"/>
    <w:rsid w:val="000F0ED9"/>
    <w:rsid w:val="000F1CDD"/>
    <w:rsid w:val="000F357E"/>
    <w:rsid w:val="000F464C"/>
    <w:rsid w:val="000F59D0"/>
    <w:rsid w:val="000F6B8C"/>
    <w:rsid w:val="000F73E3"/>
    <w:rsid w:val="000F7613"/>
    <w:rsid w:val="000F7D40"/>
    <w:rsid w:val="00100139"/>
    <w:rsid w:val="0010057D"/>
    <w:rsid w:val="001011A9"/>
    <w:rsid w:val="00101865"/>
    <w:rsid w:val="001033FF"/>
    <w:rsid w:val="00103D7B"/>
    <w:rsid w:val="00105603"/>
    <w:rsid w:val="00107FEA"/>
    <w:rsid w:val="001101F1"/>
    <w:rsid w:val="00110633"/>
    <w:rsid w:val="001111FC"/>
    <w:rsid w:val="00111374"/>
    <w:rsid w:val="0011234F"/>
    <w:rsid w:val="00113D1A"/>
    <w:rsid w:val="001140CC"/>
    <w:rsid w:val="00114216"/>
    <w:rsid w:val="00114A6C"/>
    <w:rsid w:val="00115F9C"/>
    <w:rsid w:val="001174B2"/>
    <w:rsid w:val="00120137"/>
    <w:rsid w:val="00120579"/>
    <w:rsid w:val="00121002"/>
    <w:rsid w:val="00123A4D"/>
    <w:rsid w:val="001247AB"/>
    <w:rsid w:val="00125374"/>
    <w:rsid w:val="0012636E"/>
    <w:rsid w:val="0012690D"/>
    <w:rsid w:val="0013154D"/>
    <w:rsid w:val="00133819"/>
    <w:rsid w:val="00133BAD"/>
    <w:rsid w:val="00134509"/>
    <w:rsid w:val="001349B7"/>
    <w:rsid w:val="00136FA5"/>
    <w:rsid w:val="00137585"/>
    <w:rsid w:val="0013776E"/>
    <w:rsid w:val="001401F7"/>
    <w:rsid w:val="001405AD"/>
    <w:rsid w:val="00140B62"/>
    <w:rsid w:val="00141B5D"/>
    <w:rsid w:val="00142F66"/>
    <w:rsid w:val="00143353"/>
    <w:rsid w:val="001435FA"/>
    <w:rsid w:val="00143EA0"/>
    <w:rsid w:val="001459DC"/>
    <w:rsid w:val="00145D0B"/>
    <w:rsid w:val="00146D43"/>
    <w:rsid w:val="00146DCF"/>
    <w:rsid w:val="00147543"/>
    <w:rsid w:val="00147E06"/>
    <w:rsid w:val="001510A5"/>
    <w:rsid w:val="001510FA"/>
    <w:rsid w:val="001516FA"/>
    <w:rsid w:val="00152747"/>
    <w:rsid w:val="00153EE7"/>
    <w:rsid w:val="00156237"/>
    <w:rsid w:val="001569DB"/>
    <w:rsid w:val="00156E93"/>
    <w:rsid w:val="0016045C"/>
    <w:rsid w:val="001614D1"/>
    <w:rsid w:val="0016265C"/>
    <w:rsid w:val="0016266F"/>
    <w:rsid w:val="00164406"/>
    <w:rsid w:val="00164A4B"/>
    <w:rsid w:val="00164F5B"/>
    <w:rsid w:val="0016561E"/>
    <w:rsid w:val="00165961"/>
    <w:rsid w:val="00166D67"/>
    <w:rsid w:val="00166F3A"/>
    <w:rsid w:val="00167A2A"/>
    <w:rsid w:val="001700AC"/>
    <w:rsid w:val="001704BE"/>
    <w:rsid w:val="00171E63"/>
    <w:rsid w:val="00172BA6"/>
    <w:rsid w:val="00172C6A"/>
    <w:rsid w:val="00172DBF"/>
    <w:rsid w:val="00173BF5"/>
    <w:rsid w:val="00174D42"/>
    <w:rsid w:val="00174DE9"/>
    <w:rsid w:val="00176485"/>
    <w:rsid w:val="001767DE"/>
    <w:rsid w:val="00176C5E"/>
    <w:rsid w:val="00177527"/>
    <w:rsid w:val="00180088"/>
    <w:rsid w:val="00180463"/>
    <w:rsid w:val="0018080F"/>
    <w:rsid w:val="001817E9"/>
    <w:rsid w:val="00183190"/>
    <w:rsid w:val="00183DE5"/>
    <w:rsid w:val="00184281"/>
    <w:rsid w:val="001846B5"/>
    <w:rsid w:val="0018517B"/>
    <w:rsid w:val="00186455"/>
    <w:rsid w:val="00187052"/>
    <w:rsid w:val="001871E2"/>
    <w:rsid w:val="001878F6"/>
    <w:rsid w:val="00187ABF"/>
    <w:rsid w:val="00190A28"/>
    <w:rsid w:val="00190C7F"/>
    <w:rsid w:val="00192ABB"/>
    <w:rsid w:val="00192FA5"/>
    <w:rsid w:val="00193775"/>
    <w:rsid w:val="00193DB3"/>
    <w:rsid w:val="001950F0"/>
    <w:rsid w:val="001A1006"/>
    <w:rsid w:val="001A1044"/>
    <w:rsid w:val="001A19E8"/>
    <w:rsid w:val="001A1F3A"/>
    <w:rsid w:val="001A21FF"/>
    <w:rsid w:val="001A2395"/>
    <w:rsid w:val="001A2B3A"/>
    <w:rsid w:val="001A3ECE"/>
    <w:rsid w:val="001A560D"/>
    <w:rsid w:val="001A5C1B"/>
    <w:rsid w:val="001A62F4"/>
    <w:rsid w:val="001A69BC"/>
    <w:rsid w:val="001A7801"/>
    <w:rsid w:val="001A7877"/>
    <w:rsid w:val="001A7886"/>
    <w:rsid w:val="001B0D9B"/>
    <w:rsid w:val="001B1A10"/>
    <w:rsid w:val="001B30AA"/>
    <w:rsid w:val="001B3151"/>
    <w:rsid w:val="001B3BD8"/>
    <w:rsid w:val="001B44EF"/>
    <w:rsid w:val="001B4D87"/>
    <w:rsid w:val="001B5EA9"/>
    <w:rsid w:val="001B5F68"/>
    <w:rsid w:val="001B6245"/>
    <w:rsid w:val="001C00BA"/>
    <w:rsid w:val="001C0432"/>
    <w:rsid w:val="001C0A7C"/>
    <w:rsid w:val="001C1665"/>
    <w:rsid w:val="001C1ECA"/>
    <w:rsid w:val="001C1EDC"/>
    <w:rsid w:val="001C29C6"/>
    <w:rsid w:val="001C4540"/>
    <w:rsid w:val="001C6721"/>
    <w:rsid w:val="001C672A"/>
    <w:rsid w:val="001C78F8"/>
    <w:rsid w:val="001D1FFC"/>
    <w:rsid w:val="001D2D43"/>
    <w:rsid w:val="001D3B1D"/>
    <w:rsid w:val="001D3CC9"/>
    <w:rsid w:val="001D4049"/>
    <w:rsid w:val="001D6B19"/>
    <w:rsid w:val="001D781F"/>
    <w:rsid w:val="001E1001"/>
    <w:rsid w:val="001E1CDB"/>
    <w:rsid w:val="001E3420"/>
    <w:rsid w:val="001E393E"/>
    <w:rsid w:val="001E424B"/>
    <w:rsid w:val="001E43E7"/>
    <w:rsid w:val="001E664E"/>
    <w:rsid w:val="001F07D1"/>
    <w:rsid w:val="001F12D6"/>
    <w:rsid w:val="001F1AB2"/>
    <w:rsid w:val="001F4029"/>
    <w:rsid w:val="001F483E"/>
    <w:rsid w:val="001F4890"/>
    <w:rsid w:val="001F4BEE"/>
    <w:rsid w:val="001F5472"/>
    <w:rsid w:val="001F560F"/>
    <w:rsid w:val="001F5ABF"/>
    <w:rsid w:val="001F7534"/>
    <w:rsid w:val="001F7F95"/>
    <w:rsid w:val="0020047B"/>
    <w:rsid w:val="002007EB"/>
    <w:rsid w:val="0020181D"/>
    <w:rsid w:val="002019C4"/>
    <w:rsid w:val="00201A68"/>
    <w:rsid w:val="00202464"/>
    <w:rsid w:val="00202914"/>
    <w:rsid w:val="00202A5C"/>
    <w:rsid w:val="0020342C"/>
    <w:rsid w:val="00206065"/>
    <w:rsid w:val="00206AE0"/>
    <w:rsid w:val="0021001B"/>
    <w:rsid w:val="002101A3"/>
    <w:rsid w:val="00212020"/>
    <w:rsid w:val="0021220A"/>
    <w:rsid w:val="002123DD"/>
    <w:rsid w:val="0021243A"/>
    <w:rsid w:val="00215075"/>
    <w:rsid w:val="002154C2"/>
    <w:rsid w:val="002168CD"/>
    <w:rsid w:val="00216D7F"/>
    <w:rsid w:val="00217423"/>
    <w:rsid w:val="0022025D"/>
    <w:rsid w:val="00221D6F"/>
    <w:rsid w:val="002221C1"/>
    <w:rsid w:val="0022242C"/>
    <w:rsid w:val="00222A74"/>
    <w:rsid w:val="00222C13"/>
    <w:rsid w:val="00223685"/>
    <w:rsid w:val="00224972"/>
    <w:rsid w:val="0022554B"/>
    <w:rsid w:val="00225A49"/>
    <w:rsid w:val="002269B5"/>
    <w:rsid w:val="00226B44"/>
    <w:rsid w:val="002277BD"/>
    <w:rsid w:val="0023079D"/>
    <w:rsid w:val="00231B40"/>
    <w:rsid w:val="002347B0"/>
    <w:rsid w:val="00235153"/>
    <w:rsid w:val="00236849"/>
    <w:rsid w:val="00236A64"/>
    <w:rsid w:val="0024033C"/>
    <w:rsid w:val="0024230D"/>
    <w:rsid w:val="0024381E"/>
    <w:rsid w:val="00243B3F"/>
    <w:rsid w:val="00244621"/>
    <w:rsid w:val="002451B7"/>
    <w:rsid w:val="00251061"/>
    <w:rsid w:val="00251676"/>
    <w:rsid w:val="00251ECF"/>
    <w:rsid w:val="00251FA8"/>
    <w:rsid w:val="00252AF3"/>
    <w:rsid w:val="002533A2"/>
    <w:rsid w:val="00254046"/>
    <w:rsid w:val="00254A71"/>
    <w:rsid w:val="0025581F"/>
    <w:rsid w:val="00255DDC"/>
    <w:rsid w:val="00256E9A"/>
    <w:rsid w:val="002574A2"/>
    <w:rsid w:val="00257D69"/>
    <w:rsid w:val="0026069A"/>
    <w:rsid w:val="0026094E"/>
    <w:rsid w:val="002626C3"/>
    <w:rsid w:val="00262C64"/>
    <w:rsid w:val="00263982"/>
    <w:rsid w:val="00263B24"/>
    <w:rsid w:val="00264146"/>
    <w:rsid w:val="00266DDB"/>
    <w:rsid w:val="00267DDE"/>
    <w:rsid w:val="00270359"/>
    <w:rsid w:val="00270742"/>
    <w:rsid w:val="00270A00"/>
    <w:rsid w:val="0027329C"/>
    <w:rsid w:val="0027344E"/>
    <w:rsid w:val="00273715"/>
    <w:rsid w:val="00273B07"/>
    <w:rsid w:val="00274BFA"/>
    <w:rsid w:val="002751DC"/>
    <w:rsid w:val="002759B3"/>
    <w:rsid w:val="00276749"/>
    <w:rsid w:val="002772D2"/>
    <w:rsid w:val="00277301"/>
    <w:rsid w:val="0027799A"/>
    <w:rsid w:val="00280CA1"/>
    <w:rsid w:val="00281286"/>
    <w:rsid w:val="0028147B"/>
    <w:rsid w:val="0028234E"/>
    <w:rsid w:val="0028276E"/>
    <w:rsid w:val="00284CD3"/>
    <w:rsid w:val="00284D90"/>
    <w:rsid w:val="0028507D"/>
    <w:rsid w:val="002858FE"/>
    <w:rsid w:val="00285EA6"/>
    <w:rsid w:val="002869C8"/>
    <w:rsid w:val="002874D0"/>
    <w:rsid w:val="0029003E"/>
    <w:rsid w:val="00291A7D"/>
    <w:rsid w:val="00291CE2"/>
    <w:rsid w:val="00291F36"/>
    <w:rsid w:val="002923DE"/>
    <w:rsid w:val="002925C4"/>
    <w:rsid w:val="00292815"/>
    <w:rsid w:val="00292F21"/>
    <w:rsid w:val="00293C01"/>
    <w:rsid w:val="002947CF"/>
    <w:rsid w:val="002956AE"/>
    <w:rsid w:val="00296260"/>
    <w:rsid w:val="00296ECE"/>
    <w:rsid w:val="0029741D"/>
    <w:rsid w:val="002A060F"/>
    <w:rsid w:val="002A075B"/>
    <w:rsid w:val="002A0CBE"/>
    <w:rsid w:val="002A0EA3"/>
    <w:rsid w:val="002A10FF"/>
    <w:rsid w:val="002A180E"/>
    <w:rsid w:val="002A1947"/>
    <w:rsid w:val="002A3B47"/>
    <w:rsid w:val="002A4AAC"/>
    <w:rsid w:val="002A4AC3"/>
    <w:rsid w:val="002A575E"/>
    <w:rsid w:val="002A5A27"/>
    <w:rsid w:val="002A7F36"/>
    <w:rsid w:val="002B00F4"/>
    <w:rsid w:val="002B1175"/>
    <w:rsid w:val="002B23D4"/>
    <w:rsid w:val="002B3332"/>
    <w:rsid w:val="002B4233"/>
    <w:rsid w:val="002B4248"/>
    <w:rsid w:val="002B4310"/>
    <w:rsid w:val="002B4E2B"/>
    <w:rsid w:val="002B6294"/>
    <w:rsid w:val="002B7959"/>
    <w:rsid w:val="002C05E4"/>
    <w:rsid w:val="002C19FA"/>
    <w:rsid w:val="002C22BC"/>
    <w:rsid w:val="002C3602"/>
    <w:rsid w:val="002C4234"/>
    <w:rsid w:val="002C464B"/>
    <w:rsid w:val="002C4F2C"/>
    <w:rsid w:val="002C4F7C"/>
    <w:rsid w:val="002C4FB9"/>
    <w:rsid w:val="002C4FD4"/>
    <w:rsid w:val="002C573C"/>
    <w:rsid w:val="002C5F3D"/>
    <w:rsid w:val="002C67C4"/>
    <w:rsid w:val="002C6A8C"/>
    <w:rsid w:val="002C78D6"/>
    <w:rsid w:val="002C7DAC"/>
    <w:rsid w:val="002C7F86"/>
    <w:rsid w:val="002D00DA"/>
    <w:rsid w:val="002D02A7"/>
    <w:rsid w:val="002D1E58"/>
    <w:rsid w:val="002D349A"/>
    <w:rsid w:val="002D3F9C"/>
    <w:rsid w:val="002D4DAD"/>
    <w:rsid w:val="002D502B"/>
    <w:rsid w:val="002D5B11"/>
    <w:rsid w:val="002D686A"/>
    <w:rsid w:val="002D6F76"/>
    <w:rsid w:val="002D7538"/>
    <w:rsid w:val="002E0B70"/>
    <w:rsid w:val="002E0C71"/>
    <w:rsid w:val="002E18FD"/>
    <w:rsid w:val="002E1996"/>
    <w:rsid w:val="002E2503"/>
    <w:rsid w:val="002E5A6D"/>
    <w:rsid w:val="002F09B1"/>
    <w:rsid w:val="002F1A70"/>
    <w:rsid w:val="002F1C2C"/>
    <w:rsid w:val="002F2B0A"/>
    <w:rsid w:val="002F2CB4"/>
    <w:rsid w:val="002F3C87"/>
    <w:rsid w:val="002F3FA9"/>
    <w:rsid w:val="002F438A"/>
    <w:rsid w:val="002F4C7C"/>
    <w:rsid w:val="002F71E1"/>
    <w:rsid w:val="0030098F"/>
    <w:rsid w:val="003012FF"/>
    <w:rsid w:val="00303746"/>
    <w:rsid w:val="00303B85"/>
    <w:rsid w:val="00304E35"/>
    <w:rsid w:val="003055B1"/>
    <w:rsid w:val="00305CE4"/>
    <w:rsid w:val="00306A1A"/>
    <w:rsid w:val="003078C6"/>
    <w:rsid w:val="00307A59"/>
    <w:rsid w:val="003105D5"/>
    <w:rsid w:val="003105F7"/>
    <w:rsid w:val="00311A91"/>
    <w:rsid w:val="0031200E"/>
    <w:rsid w:val="00312B27"/>
    <w:rsid w:val="00312C75"/>
    <w:rsid w:val="00312DAB"/>
    <w:rsid w:val="0031448D"/>
    <w:rsid w:val="00314953"/>
    <w:rsid w:val="003161EC"/>
    <w:rsid w:val="003163AD"/>
    <w:rsid w:val="003165C0"/>
    <w:rsid w:val="00317A52"/>
    <w:rsid w:val="0032097C"/>
    <w:rsid w:val="00320E97"/>
    <w:rsid w:val="0032106D"/>
    <w:rsid w:val="00321187"/>
    <w:rsid w:val="00321C50"/>
    <w:rsid w:val="00324D81"/>
    <w:rsid w:val="0032640A"/>
    <w:rsid w:val="0032710E"/>
    <w:rsid w:val="00327B08"/>
    <w:rsid w:val="0033072C"/>
    <w:rsid w:val="003307FE"/>
    <w:rsid w:val="00331F5D"/>
    <w:rsid w:val="00332DDF"/>
    <w:rsid w:val="003331F9"/>
    <w:rsid w:val="003334B9"/>
    <w:rsid w:val="00333E7C"/>
    <w:rsid w:val="0033401D"/>
    <w:rsid w:val="00334F8B"/>
    <w:rsid w:val="00335512"/>
    <w:rsid w:val="00336C46"/>
    <w:rsid w:val="0033708B"/>
    <w:rsid w:val="00337BDD"/>
    <w:rsid w:val="00337CD0"/>
    <w:rsid w:val="00340B13"/>
    <w:rsid w:val="0034152F"/>
    <w:rsid w:val="0034215C"/>
    <w:rsid w:val="0034310A"/>
    <w:rsid w:val="003431F4"/>
    <w:rsid w:val="00343378"/>
    <w:rsid w:val="00343455"/>
    <w:rsid w:val="00346067"/>
    <w:rsid w:val="003463EC"/>
    <w:rsid w:val="00346E6E"/>
    <w:rsid w:val="003479AF"/>
    <w:rsid w:val="0035152C"/>
    <w:rsid w:val="00352097"/>
    <w:rsid w:val="003524A1"/>
    <w:rsid w:val="0035269F"/>
    <w:rsid w:val="00352D23"/>
    <w:rsid w:val="00352E3E"/>
    <w:rsid w:val="00352EBD"/>
    <w:rsid w:val="00354BC9"/>
    <w:rsid w:val="00354D34"/>
    <w:rsid w:val="003559F5"/>
    <w:rsid w:val="00356679"/>
    <w:rsid w:val="00360827"/>
    <w:rsid w:val="0036198C"/>
    <w:rsid w:val="00362158"/>
    <w:rsid w:val="00362216"/>
    <w:rsid w:val="00363197"/>
    <w:rsid w:val="00363A93"/>
    <w:rsid w:val="00363D1B"/>
    <w:rsid w:val="0036511A"/>
    <w:rsid w:val="00365605"/>
    <w:rsid w:val="00365A26"/>
    <w:rsid w:val="00367074"/>
    <w:rsid w:val="00370481"/>
    <w:rsid w:val="00370A20"/>
    <w:rsid w:val="00370B31"/>
    <w:rsid w:val="00371276"/>
    <w:rsid w:val="003718B3"/>
    <w:rsid w:val="003728AD"/>
    <w:rsid w:val="003740FF"/>
    <w:rsid w:val="003743F1"/>
    <w:rsid w:val="0037719A"/>
    <w:rsid w:val="003772EE"/>
    <w:rsid w:val="00380326"/>
    <w:rsid w:val="003815C8"/>
    <w:rsid w:val="003815EA"/>
    <w:rsid w:val="00381FE8"/>
    <w:rsid w:val="003826C5"/>
    <w:rsid w:val="0038570C"/>
    <w:rsid w:val="00386031"/>
    <w:rsid w:val="0038750B"/>
    <w:rsid w:val="00387D9B"/>
    <w:rsid w:val="00387E23"/>
    <w:rsid w:val="003907EF"/>
    <w:rsid w:val="00390976"/>
    <w:rsid w:val="00390B58"/>
    <w:rsid w:val="00390F40"/>
    <w:rsid w:val="0039184D"/>
    <w:rsid w:val="00391A0B"/>
    <w:rsid w:val="0039237C"/>
    <w:rsid w:val="00392E07"/>
    <w:rsid w:val="003932C3"/>
    <w:rsid w:val="00395252"/>
    <w:rsid w:val="003A05EE"/>
    <w:rsid w:val="003A11DB"/>
    <w:rsid w:val="003A1E65"/>
    <w:rsid w:val="003A1F90"/>
    <w:rsid w:val="003A48FC"/>
    <w:rsid w:val="003A4E11"/>
    <w:rsid w:val="003A533C"/>
    <w:rsid w:val="003A5ED5"/>
    <w:rsid w:val="003A67B6"/>
    <w:rsid w:val="003A7517"/>
    <w:rsid w:val="003B19C0"/>
    <w:rsid w:val="003B2738"/>
    <w:rsid w:val="003B57FA"/>
    <w:rsid w:val="003B5CDA"/>
    <w:rsid w:val="003B68D1"/>
    <w:rsid w:val="003B7C8B"/>
    <w:rsid w:val="003C0152"/>
    <w:rsid w:val="003C14C2"/>
    <w:rsid w:val="003C1815"/>
    <w:rsid w:val="003C1BA0"/>
    <w:rsid w:val="003C349D"/>
    <w:rsid w:val="003C382F"/>
    <w:rsid w:val="003C3C40"/>
    <w:rsid w:val="003C3D05"/>
    <w:rsid w:val="003C64DC"/>
    <w:rsid w:val="003C659C"/>
    <w:rsid w:val="003C6C7C"/>
    <w:rsid w:val="003C74CB"/>
    <w:rsid w:val="003C7809"/>
    <w:rsid w:val="003D154E"/>
    <w:rsid w:val="003D18C5"/>
    <w:rsid w:val="003D5608"/>
    <w:rsid w:val="003D61DC"/>
    <w:rsid w:val="003D61F6"/>
    <w:rsid w:val="003E06F6"/>
    <w:rsid w:val="003E07FD"/>
    <w:rsid w:val="003E08BB"/>
    <w:rsid w:val="003E174E"/>
    <w:rsid w:val="003E3041"/>
    <w:rsid w:val="003E371E"/>
    <w:rsid w:val="003E5F8C"/>
    <w:rsid w:val="003E6DF8"/>
    <w:rsid w:val="003E6E7C"/>
    <w:rsid w:val="003F2000"/>
    <w:rsid w:val="003F2285"/>
    <w:rsid w:val="003F2710"/>
    <w:rsid w:val="003F27FC"/>
    <w:rsid w:val="003F2827"/>
    <w:rsid w:val="003F3457"/>
    <w:rsid w:val="003F64C8"/>
    <w:rsid w:val="003F7398"/>
    <w:rsid w:val="0040073F"/>
    <w:rsid w:val="0040279E"/>
    <w:rsid w:val="0040454D"/>
    <w:rsid w:val="004075A6"/>
    <w:rsid w:val="00410CC4"/>
    <w:rsid w:val="00411882"/>
    <w:rsid w:val="004121DF"/>
    <w:rsid w:val="00412F54"/>
    <w:rsid w:val="00413AF7"/>
    <w:rsid w:val="00413CFE"/>
    <w:rsid w:val="004140A7"/>
    <w:rsid w:val="004142EC"/>
    <w:rsid w:val="00414B03"/>
    <w:rsid w:val="00415134"/>
    <w:rsid w:val="00415E9E"/>
    <w:rsid w:val="00416CB4"/>
    <w:rsid w:val="004170B8"/>
    <w:rsid w:val="00417AD1"/>
    <w:rsid w:val="004227FE"/>
    <w:rsid w:val="00424450"/>
    <w:rsid w:val="0042470D"/>
    <w:rsid w:val="00424A38"/>
    <w:rsid w:val="00424AAB"/>
    <w:rsid w:val="0042526A"/>
    <w:rsid w:val="00425ED2"/>
    <w:rsid w:val="004260CF"/>
    <w:rsid w:val="004302D1"/>
    <w:rsid w:val="00431357"/>
    <w:rsid w:val="00431908"/>
    <w:rsid w:val="00433338"/>
    <w:rsid w:val="00433CAA"/>
    <w:rsid w:val="00433F51"/>
    <w:rsid w:val="00434999"/>
    <w:rsid w:val="00436518"/>
    <w:rsid w:val="00440DB8"/>
    <w:rsid w:val="00442186"/>
    <w:rsid w:val="00443D3B"/>
    <w:rsid w:val="004441A7"/>
    <w:rsid w:val="00444D0B"/>
    <w:rsid w:val="00444E48"/>
    <w:rsid w:val="00446455"/>
    <w:rsid w:val="0044662B"/>
    <w:rsid w:val="00447163"/>
    <w:rsid w:val="004471E4"/>
    <w:rsid w:val="00447392"/>
    <w:rsid w:val="00447454"/>
    <w:rsid w:val="004475D1"/>
    <w:rsid w:val="00447C8C"/>
    <w:rsid w:val="00451289"/>
    <w:rsid w:val="004524EB"/>
    <w:rsid w:val="0045298E"/>
    <w:rsid w:val="00453909"/>
    <w:rsid w:val="00455119"/>
    <w:rsid w:val="004555B6"/>
    <w:rsid w:val="0045581A"/>
    <w:rsid w:val="00456D16"/>
    <w:rsid w:val="00457944"/>
    <w:rsid w:val="00457A2C"/>
    <w:rsid w:val="00457F01"/>
    <w:rsid w:val="00460AAD"/>
    <w:rsid w:val="00461790"/>
    <w:rsid w:val="00461F1C"/>
    <w:rsid w:val="0046267A"/>
    <w:rsid w:val="00462EAA"/>
    <w:rsid w:val="004639CD"/>
    <w:rsid w:val="00464F4B"/>
    <w:rsid w:val="00465444"/>
    <w:rsid w:val="004662AD"/>
    <w:rsid w:val="004667B8"/>
    <w:rsid w:val="00466AB1"/>
    <w:rsid w:val="00466E60"/>
    <w:rsid w:val="00467709"/>
    <w:rsid w:val="0047077B"/>
    <w:rsid w:val="00470D6C"/>
    <w:rsid w:val="0047131E"/>
    <w:rsid w:val="00471C60"/>
    <w:rsid w:val="00471E46"/>
    <w:rsid w:val="00472C6B"/>
    <w:rsid w:val="00473E5A"/>
    <w:rsid w:val="004747D7"/>
    <w:rsid w:val="00476D31"/>
    <w:rsid w:val="00480763"/>
    <w:rsid w:val="00480BC6"/>
    <w:rsid w:val="00482788"/>
    <w:rsid w:val="00483F0E"/>
    <w:rsid w:val="00485440"/>
    <w:rsid w:val="00486716"/>
    <w:rsid w:val="00486B53"/>
    <w:rsid w:val="004879E9"/>
    <w:rsid w:val="00490927"/>
    <w:rsid w:val="00493D12"/>
    <w:rsid w:val="00494740"/>
    <w:rsid w:val="004962DE"/>
    <w:rsid w:val="0049751C"/>
    <w:rsid w:val="004A21A3"/>
    <w:rsid w:val="004A2242"/>
    <w:rsid w:val="004A2D32"/>
    <w:rsid w:val="004A2DBF"/>
    <w:rsid w:val="004A2E9E"/>
    <w:rsid w:val="004A324C"/>
    <w:rsid w:val="004A3762"/>
    <w:rsid w:val="004A3A9E"/>
    <w:rsid w:val="004A4901"/>
    <w:rsid w:val="004A6E3E"/>
    <w:rsid w:val="004B0B11"/>
    <w:rsid w:val="004B123F"/>
    <w:rsid w:val="004B1F89"/>
    <w:rsid w:val="004B22BA"/>
    <w:rsid w:val="004B29A7"/>
    <w:rsid w:val="004B2C68"/>
    <w:rsid w:val="004B36BF"/>
    <w:rsid w:val="004B3EB8"/>
    <w:rsid w:val="004B4684"/>
    <w:rsid w:val="004B46C0"/>
    <w:rsid w:val="004B50BB"/>
    <w:rsid w:val="004B5D48"/>
    <w:rsid w:val="004B6C8C"/>
    <w:rsid w:val="004B7FEA"/>
    <w:rsid w:val="004C02A6"/>
    <w:rsid w:val="004C093D"/>
    <w:rsid w:val="004C1008"/>
    <w:rsid w:val="004C182E"/>
    <w:rsid w:val="004C19A7"/>
    <w:rsid w:val="004C1B84"/>
    <w:rsid w:val="004C24ED"/>
    <w:rsid w:val="004C29F3"/>
    <w:rsid w:val="004C2B83"/>
    <w:rsid w:val="004C3046"/>
    <w:rsid w:val="004C3F27"/>
    <w:rsid w:val="004C5061"/>
    <w:rsid w:val="004C6542"/>
    <w:rsid w:val="004C6BFA"/>
    <w:rsid w:val="004D0728"/>
    <w:rsid w:val="004D0824"/>
    <w:rsid w:val="004D082A"/>
    <w:rsid w:val="004D241F"/>
    <w:rsid w:val="004D245B"/>
    <w:rsid w:val="004D406E"/>
    <w:rsid w:val="004D45D5"/>
    <w:rsid w:val="004D5B1C"/>
    <w:rsid w:val="004D5F30"/>
    <w:rsid w:val="004D6F44"/>
    <w:rsid w:val="004D76DD"/>
    <w:rsid w:val="004D7B6A"/>
    <w:rsid w:val="004E1323"/>
    <w:rsid w:val="004E1887"/>
    <w:rsid w:val="004E220F"/>
    <w:rsid w:val="004E35AD"/>
    <w:rsid w:val="004E4FE5"/>
    <w:rsid w:val="004E592C"/>
    <w:rsid w:val="004E5B5D"/>
    <w:rsid w:val="004E6F44"/>
    <w:rsid w:val="004F0BBD"/>
    <w:rsid w:val="004F1D36"/>
    <w:rsid w:val="004F3A76"/>
    <w:rsid w:val="004F45B0"/>
    <w:rsid w:val="004F58D1"/>
    <w:rsid w:val="004F6A6A"/>
    <w:rsid w:val="004F6F2F"/>
    <w:rsid w:val="00500CA2"/>
    <w:rsid w:val="00501DA6"/>
    <w:rsid w:val="005024A7"/>
    <w:rsid w:val="00502F4B"/>
    <w:rsid w:val="005031A6"/>
    <w:rsid w:val="0050411C"/>
    <w:rsid w:val="0051019F"/>
    <w:rsid w:val="00510CF2"/>
    <w:rsid w:val="00512208"/>
    <w:rsid w:val="00512A84"/>
    <w:rsid w:val="00512B51"/>
    <w:rsid w:val="00513510"/>
    <w:rsid w:val="005135F3"/>
    <w:rsid w:val="005136E9"/>
    <w:rsid w:val="00513A27"/>
    <w:rsid w:val="00513E60"/>
    <w:rsid w:val="00513E94"/>
    <w:rsid w:val="00513ED8"/>
    <w:rsid w:val="005154D9"/>
    <w:rsid w:val="005156A8"/>
    <w:rsid w:val="00515B24"/>
    <w:rsid w:val="0051679B"/>
    <w:rsid w:val="005179A1"/>
    <w:rsid w:val="005202B3"/>
    <w:rsid w:val="0052061E"/>
    <w:rsid w:val="00520859"/>
    <w:rsid w:val="00520C59"/>
    <w:rsid w:val="005212DD"/>
    <w:rsid w:val="00521B6E"/>
    <w:rsid w:val="00521FE7"/>
    <w:rsid w:val="005220E8"/>
    <w:rsid w:val="00522EA4"/>
    <w:rsid w:val="00523171"/>
    <w:rsid w:val="00523A7A"/>
    <w:rsid w:val="005240C4"/>
    <w:rsid w:val="005243C2"/>
    <w:rsid w:val="00525944"/>
    <w:rsid w:val="00526543"/>
    <w:rsid w:val="005267A7"/>
    <w:rsid w:val="005269C2"/>
    <w:rsid w:val="00527889"/>
    <w:rsid w:val="00530A7A"/>
    <w:rsid w:val="00533727"/>
    <w:rsid w:val="00533984"/>
    <w:rsid w:val="00533C77"/>
    <w:rsid w:val="00533E59"/>
    <w:rsid w:val="00534415"/>
    <w:rsid w:val="00534BC7"/>
    <w:rsid w:val="00535410"/>
    <w:rsid w:val="005356E7"/>
    <w:rsid w:val="0053626F"/>
    <w:rsid w:val="00537532"/>
    <w:rsid w:val="00537567"/>
    <w:rsid w:val="005419E5"/>
    <w:rsid w:val="0054251C"/>
    <w:rsid w:val="00543521"/>
    <w:rsid w:val="0054482E"/>
    <w:rsid w:val="00545794"/>
    <w:rsid w:val="00545C6C"/>
    <w:rsid w:val="00545CFC"/>
    <w:rsid w:val="005461BC"/>
    <w:rsid w:val="00546986"/>
    <w:rsid w:val="00546DD8"/>
    <w:rsid w:val="005473D5"/>
    <w:rsid w:val="00547EBE"/>
    <w:rsid w:val="00550836"/>
    <w:rsid w:val="00550E83"/>
    <w:rsid w:val="00552157"/>
    <w:rsid w:val="00554745"/>
    <w:rsid w:val="005550B3"/>
    <w:rsid w:val="00555B2F"/>
    <w:rsid w:val="005560D6"/>
    <w:rsid w:val="0055694A"/>
    <w:rsid w:val="00556C38"/>
    <w:rsid w:val="005577FE"/>
    <w:rsid w:val="005612F7"/>
    <w:rsid w:val="0056174E"/>
    <w:rsid w:val="00563BCB"/>
    <w:rsid w:val="0056402E"/>
    <w:rsid w:val="005644BA"/>
    <w:rsid w:val="00566270"/>
    <w:rsid w:val="005664E7"/>
    <w:rsid w:val="00566CD5"/>
    <w:rsid w:val="00571359"/>
    <w:rsid w:val="00571381"/>
    <w:rsid w:val="00571F0D"/>
    <w:rsid w:val="00573D69"/>
    <w:rsid w:val="005740AD"/>
    <w:rsid w:val="00574AEE"/>
    <w:rsid w:val="005761E4"/>
    <w:rsid w:val="0057690F"/>
    <w:rsid w:val="0057717D"/>
    <w:rsid w:val="00577511"/>
    <w:rsid w:val="0057782E"/>
    <w:rsid w:val="0057792B"/>
    <w:rsid w:val="00580F3B"/>
    <w:rsid w:val="0058192A"/>
    <w:rsid w:val="00583DA6"/>
    <w:rsid w:val="00584964"/>
    <w:rsid w:val="00584C5E"/>
    <w:rsid w:val="00586413"/>
    <w:rsid w:val="00586520"/>
    <w:rsid w:val="00586B6D"/>
    <w:rsid w:val="0058737C"/>
    <w:rsid w:val="00587AF6"/>
    <w:rsid w:val="00587F07"/>
    <w:rsid w:val="00590107"/>
    <w:rsid w:val="005903F3"/>
    <w:rsid w:val="00591828"/>
    <w:rsid w:val="005923F5"/>
    <w:rsid w:val="005925EA"/>
    <w:rsid w:val="00593174"/>
    <w:rsid w:val="00594636"/>
    <w:rsid w:val="00596830"/>
    <w:rsid w:val="005A0182"/>
    <w:rsid w:val="005A0753"/>
    <w:rsid w:val="005A157F"/>
    <w:rsid w:val="005A3DF4"/>
    <w:rsid w:val="005A4390"/>
    <w:rsid w:val="005A566F"/>
    <w:rsid w:val="005A5744"/>
    <w:rsid w:val="005A768D"/>
    <w:rsid w:val="005A7CA4"/>
    <w:rsid w:val="005A7EC1"/>
    <w:rsid w:val="005B225C"/>
    <w:rsid w:val="005B2BFD"/>
    <w:rsid w:val="005B3373"/>
    <w:rsid w:val="005B362F"/>
    <w:rsid w:val="005B734A"/>
    <w:rsid w:val="005B7C8D"/>
    <w:rsid w:val="005C042A"/>
    <w:rsid w:val="005C1036"/>
    <w:rsid w:val="005C10C7"/>
    <w:rsid w:val="005C11B5"/>
    <w:rsid w:val="005C281D"/>
    <w:rsid w:val="005C2881"/>
    <w:rsid w:val="005C2933"/>
    <w:rsid w:val="005C2A49"/>
    <w:rsid w:val="005C2BF6"/>
    <w:rsid w:val="005C3029"/>
    <w:rsid w:val="005C31D9"/>
    <w:rsid w:val="005C384F"/>
    <w:rsid w:val="005C3AAD"/>
    <w:rsid w:val="005C46E5"/>
    <w:rsid w:val="005C4BD0"/>
    <w:rsid w:val="005C4DDF"/>
    <w:rsid w:val="005C4E5A"/>
    <w:rsid w:val="005C54E5"/>
    <w:rsid w:val="005C5BA2"/>
    <w:rsid w:val="005C6BBB"/>
    <w:rsid w:val="005C7755"/>
    <w:rsid w:val="005C7E6F"/>
    <w:rsid w:val="005D11A8"/>
    <w:rsid w:val="005D1B46"/>
    <w:rsid w:val="005D1C12"/>
    <w:rsid w:val="005D1C60"/>
    <w:rsid w:val="005D3705"/>
    <w:rsid w:val="005D3F28"/>
    <w:rsid w:val="005D574B"/>
    <w:rsid w:val="005D63C0"/>
    <w:rsid w:val="005D6EE7"/>
    <w:rsid w:val="005D739D"/>
    <w:rsid w:val="005D77C1"/>
    <w:rsid w:val="005D7CC1"/>
    <w:rsid w:val="005D7E5F"/>
    <w:rsid w:val="005E0506"/>
    <w:rsid w:val="005E1331"/>
    <w:rsid w:val="005E2304"/>
    <w:rsid w:val="005E4298"/>
    <w:rsid w:val="005E4BE4"/>
    <w:rsid w:val="005E6C3F"/>
    <w:rsid w:val="005E7AE7"/>
    <w:rsid w:val="005E7B4A"/>
    <w:rsid w:val="005F21E0"/>
    <w:rsid w:val="005F2E11"/>
    <w:rsid w:val="005F5A1D"/>
    <w:rsid w:val="005F5D68"/>
    <w:rsid w:val="005F6EA0"/>
    <w:rsid w:val="005F729F"/>
    <w:rsid w:val="0060181D"/>
    <w:rsid w:val="00602A97"/>
    <w:rsid w:val="00602E7B"/>
    <w:rsid w:val="00603456"/>
    <w:rsid w:val="00604AE4"/>
    <w:rsid w:val="006058DC"/>
    <w:rsid w:val="006074CF"/>
    <w:rsid w:val="00607736"/>
    <w:rsid w:val="006107AD"/>
    <w:rsid w:val="0061108E"/>
    <w:rsid w:val="006116B1"/>
    <w:rsid w:val="00611CD5"/>
    <w:rsid w:val="00613F08"/>
    <w:rsid w:val="00614370"/>
    <w:rsid w:val="0061449B"/>
    <w:rsid w:val="006155D9"/>
    <w:rsid w:val="0061658F"/>
    <w:rsid w:val="00616A9F"/>
    <w:rsid w:val="00616BE9"/>
    <w:rsid w:val="00617404"/>
    <w:rsid w:val="0061754E"/>
    <w:rsid w:val="00620118"/>
    <w:rsid w:val="00620931"/>
    <w:rsid w:val="00621563"/>
    <w:rsid w:val="0062192C"/>
    <w:rsid w:val="006242A2"/>
    <w:rsid w:val="00624BFE"/>
    <w:rsid w:val="00624CC7"/>
    <w:rsid w:val="0062585E"/>
    <w:rsid w:val="00625BB7"/>
    <w:rsid w:val="00625F63"/>
    <w:rsid w:val="00632051"/>
    <w:rsid w:val="006322AC"/>
    <w:rsid w:val="006333ED"/>
    <w:rsid w:val="00634475"/>
    <w:rsid w:val="00634F9B"/>
    <w:rsid w:val="00635B56"/>
    <w:rsid w:val="0063672A"/>
    <w:rsid w:val="0063743C"/>
    <w:rsid w:val="0063765E"/>
    <w:rsid w:val="00637BFF"/>
    <w:rsid w:val="00637F2F"/>
    <w:rsid w:val="00641785"/>
    <w:rsid w:val="00643018"/>
    <w:rsid w:val="006445D1"/>
    <w:rsid w:val="00644A64"/>
    <w:rsid w:val="00644C55"/>
    <w:rsid w:val="00644FF5"/>
    <w:rsid w:val="00645174"/>
    <w:rsid w:val="006452C5"/>
    <w:rsid w:val="006454DC"/>
    <w:rsid w:val="006508C5"/>
    <w:rsid w:val="00650D14"/>
    <w:rsid w:val="00650E59"/>
    <w:rsid w:val="0065159E"/>
    <w:rsid w:val="00651693"/>
    <w:rsid w:val="00653419"/>
    <w:rsid w:val="00653DE3"/>
    <w:rsid w:val="00655C91"/>
    <w:rsid w:val="006564F6"/>
    <w:rsid w:val="00656CB8"/>
    <w:rsid w:val="00656CE3"/>
    <w:rsid w:val="00657CB4"/>
    <w:rsid w:val="00657F5B"/>
    <w:rsid w:val="006608EA"/>
    <w:rsid w:val="006609DD"/>
    <w:rsid w:val="00660CA5"/>
    <w:rsid w:val="00660D26"/>
    <w:rsid w:val="00661291"/>
    <w:rsid w:val="00662570"/>
    <w:rsid w:val="00663FDB"/>
    <w:rsid w:val="00664CC2"/>
    <w:rsid w:val="00664D7C"/>
    <w:rsid w:val="0066511F"/>
    <w:rsid w:val="006652B7"/>
    <w:rsid w:val="00665480"/>
    <w:rsid w:val="006659EC"/>
    <w:rsid w:val="00666B57"/>
    <w:rsid w:val="006713A3"/>
    <w:rsid w:val="00671884"/>
    <w:rsid w:val="0067211C"/>
    <w:rsid w:val="00672EFD"/>
    <w:rsid w:val="0067396A"/>
    <w:rsid w:val="00673B32"/>
    <w:rsid w:val="00673D3E"/>
    <w:rsid w:val="00673EA8"/>
    <w:rsid w:val="00673F1D"/>
    <w:rsid w:val="00674CB3"/>
    <w:rsid w:val="00674E31"/>
    <w:rsid w:val="00675CE0"/>
    <w:rsid w:val="00676DA3"/>
    <w:rsid w:val="00677914"/>
    <w:rsid w:val="00677C2E"/>
    <w:rsid w:val="00677EC2"/>
    <w:rsid w:val="00680A0D"/>
    <w:rsid w:val="00682039"/>
    <w:rsid w:val="00682C96"/>
    <w:rsid w:val="00682EFB"/>
    <w:rsid w:val="00683B18"/>
    <w:rsid w:val="00683E02"/>
    <w:rsid w:val="00685335"/>
    <w:rsid w:val="006858B9"/>
    <w:rsid w:val="00685D90"/>
    <w:rsid w:val="00686A9D"/>
    <w:rsid w:val="00686C5D"/>
    <w:rsid w:val="006919EE"/>
    <w:rsid w:val="00693035"/>
    <w:rsid w:val="00694CC3"/>
    <w:rsid w:val="0069511A"/>
    <w:rsid w:val="00695738"/>
    <w:rsid w:val="0069609D"/>
    <w:rsid w:val="00696613"/>
    <w:rsid w:val="00697607"/>
    <w:rsid w:val="00697C4B"/>
    <w:rsid w:val="006A083C"/>
    <w:rsid w:val="006A11D4"/>
    <w:rsid w:val="006A1696"/>
    <w:rsid w:val="006A2935"/>
    <w:rsid w:val="006A30EE"/>
    <w:rsid w:val="006A5071"/>
    <w:rsid w:val="006A5C3B"/>
    <w:rsid w:val="006A6ACA"/>
    <w:rsid w:val="006A6DF5"/>
    <w:rsid w:val="006A7037"/>
    <w:rsid w:val="006A7CAC"/>
    <w:rsid w:val="006B374F"/>
    <w:rsid w:val="006B4988"/>
    <w:rsid w:val="006B5FA5"/>
    <w:rsid w:val="006B6A90"/>
    <w:rsid w:val="006B7292"/>
    <w:rsid w:val="006B7B5D"/>
    <w:rsid w:val="006C0904"/>
    <w:rsid w:val="006C30AC"/>
    <w:rsid w:val="006C385E"/>
    <w:rsid w:val="006C3AA7"/>
    <w:rsid w:val="006C3F47"/>
    <w:rsid w:val="006C44CA"/>
    <w:rsid w:val="006C4996"/>
    <w:rsid w:val="006C58D8"/>
    <w:rsid w:val="006C5B2E"/>
    <w:rsid w:val="006C5D22"/>
    <w:rsid w:val="006C6F9A"/>
    <w:rsid w:val="006C7F85"/>
    <w:rsid w:val="006D0F20"/>
    <w:rsid w:val="006D18A1"/>
    <w:rsid w:val="006D239E"/>
    <w:rsid w:val="006D299B"/>
    <w:rsid w:val="006D2A5A"/>
    <w:rsid w:val="006D377A"/>
    <w:rsid w:val="006D4BE9"/>
    <w:rsid w:val="006D5447"/>
    <w:rsid w:val="006D5487"/>
    <w:rsid w:val="006D56E0"/>
    <w:rsid w:val="006D6126"/>
    <w:rsid w:val="006D7278"/>
    <w:rsid w:val="006D786D"/>
    <w:rsid w:val="006E0800"/>
    <w:rsid w:val="006E1191"/>
    <w:rsid w:val="006E1392"/>
    <w:rsid w:val="006E26D7"/>
    <w:rsid w:val="006E2A92"/>
    <w:rsid w:val="006E36BC"/>
    <w:rsid w:val="006E3F43"/>
    <w:rsid w:val="006E4C50"/>
    <w:rsid w:val="006E5431"/>
    <w:rsid w:val="006E54C1"/>
    <w:rsid w:val="006E5DE9"/>
    <w:rsid w:val="006E7984"/>
    <w:rsid w:val="006F0442"/>
    <w:rsid w:val="006F0A4A"/>
    <w:rsid w:val="006F0A9E"/>
    <w:rsid w:val="006F157C"/>
    <w:rsid w:val="006F31E9"/>
    <w:rsid w:val="006F37EB"/>
    <w:rsid w:val="006F3D22"/>
    <w:rsid w:val="006F48C8"/>
    <w:rsid w:val="006F5D92"/>
    <w:rsid w:val="006F627D"/>
    <w:rsid w:val="006F6B65"/>
    <w:rsid w:val="006F7B21"/>
    <w:rsid w:val="007004D2"/>
    <w:rsid w:val="00702022"/>
    <w:rsid w:val="00702553"/>
    <w:rsid w:val="0070438F"/>
    <w:rsid w:val="0070500E"/>
    <w:rsid w:val="00705655"/>
    <w:rsid w:val="0070616E"/>
    <w:rsid w:val="00706178"/>
    <w:rsid w:val="00707B4B"/>
    <w:rsid w:val="00710333"/>
    <w:rsid w:val="0071037C"/>
    <w:rsid w:val="00710ED5"/>
    <w:rsid w:val="00710FE3"/>
    <w:rsid w:val="0071107F"/>
    <w:rsid w:val="007111C4"/>
    <w:rsid w:val="00713331"/>
    <w:rsid w:val="00713362"/>
    <w:rsid w:val="00713403"/>
    <w:rsid w:val="007138F8"/>
    <w:rsid w:val="0071433E"/>
    <w:rsid w:val="0071561B"/>
    <w:rsid w:val="00715B40"/>
    <w:rsid w:val="00716071"/>
    <w:rsid w:val="007173F2"/>
    <w:rsid w:val="0071790D"/>
    <w:rsid w:val="00717C8D"/>
    <w:rsid w:val="00721EDA"/>
    <w:rsid w:val="0072257F"/>
    <w:rsid w:val="00722CC0"/>
    <w:rsid w:val="00723615"/>
    <w:rsid w:val="007239AE"/>
    <w:rsid w:val="00724D4D"/>
    <w:rsid w:val="00726690"/>
    <w:rsid w:val="00726D85"/>
    <w:rsid w:val="00727000"/>
    <w:rsid w:val="00727E3B"/>
    <w:rsid w:val="00730148"/>
    <w:rsid w:val="00730972"/>
    <w:rsid w:val="00731271"/>
    <w:rsid w:val="00731E42"/>
    <w:rsid w:val="007326FB"/>
    <w:rsid w:val="007338DC"/>
    <w:rsid w:val="0073456A"/>
    <w:rsid w:val="007348F8"/>
    <w:rsid w:val="00735CCE"/>
    <w:rsid w:val="007368A6"/>
    <w:rsid w:val="00736A7F"/>
    <w:rsid w:val="00736D2D"/>
    <w:rsid w:val="00737485"/>
    <w:rsid w:val="00737B76"/>
    <w:rsid w:val="007474F9"/>
    <w:rsid w:val="00747BD7"/>
    <w:rsid w:val="00747EA7"/>
    <w:rsid w:val="007519B4"/>
    <w:rsid w:val="00752746"/>
    <w:rsid w:val="007532FB"/>
    <w:rsid w:val="007536CC"/>
    <w:rsid w:val="00753BFF"/>
    <w:rsid w:val="0075469D"/>
    <w:rsid w:val="00754D8B"/>
    <w:rsid w:val="00754E62"/>
    <w:rsid w:val="00755300"/>
    <w:rsid w:val="007574D6"/>
    <w:rsid w:val="00757BB7"/>
    <w:rsid w:val="00757C3E"/>
    <w:rsid w:val="007601DC"/>
    <w:rsid w:val="00760473"/>
    <w:rsid w:val="007605E2"/>
    <w:rsid w:val="0076079E"/>
    <w:rsid w:val="007619AB"/>
    <w:rsid w:val="0076205D"/>
    <w:rsid w:val="007630A1"/>
    <w:rsid w:val="00763348"/>
    <w:rsid w:val="00763B45"/>
    <w:rsid w:val="00764BFE"/>
    <w:rsid w:val="00764E64"/>
    <w:rsid w:val="007654E6"/>
    <w:rsid w:val="007670F7"/>
    <w:rsid w:val="007675DB"/>
    <w:rsid w:val="00771A38"/>
    <w:rsid w:val="00771C88"/>
    <w:rsid w:val="00773368"/>
    <w:rsid w:val="00773E50"/>
    <w:rsid w:val="007740AA"/>
    <w:rsid w:val="0077428A"/>
    <w:rsid w:val="007747CA"/>
    <w:rsid w:val="007775CE"/>
    <w:rsid w:val="00777BC7"/>
    <w:rsid w:val="00777E4F"/>
    <w:rsid w:val="00777F21"/>
    <w:rsid w:val="0078061B"/>
    <w:rsid w:val="007814AB"/>
    <w:rsid w:val="00781CB8"/>
    <w:rsid w:val="007826DD"/>
    <w:rsid w:val="00782D1F"/>
    <w:rsid w:val="00782EA7"/>
    <w:rsid w:val="00783C24"/>
    <w:rsid w:val="00783D83"/>
    <w:rsid w:val="007844D4"/>
    <w:rsid w:val="007859CF"/>
    <w:rsid w:val="00785CFE"/>
    <w:rsid w:val="007865AC"/>
    <w:rsid w:val="00787B8A"/>
    <w:rsid w:val="00787B9C"/>
    <w:rsid w:val="00787CB9"/>
    <w:rsid w:val="00787E9F"/>
    <w:rsid w:val="00792063"/>
    <w:rsid w:val="007925E8"/>
    <w:rsid w:val="00793374"/>
    <w:rsid w:val="00794FD0"/>
    <w:rsid w:val="00795105"/>
    <w:rsid w:val="00795253"/>
    <w:rsid w:val="007A115E"/>
    <w:rsid w:val="007A1209"/>
    <w:rsid w:val="007A1C06"/>
    <w:rsid w:val="007A1E82"/>
    <w:rsid w:val="007A2489"/>
    <w:rsid w:val="007A3853"/>
    <w:rsid w:val="007A3B4F"/>
    <w:rsid w:val="007B0059"/>
    <w:rsid w:val="007B02EE"/>
    <w:rsid w:val="007B1831"/>
    <w:rsid w:val="007B1BF2"/>
    <w:rsid w:val="007B1E82"/>
    <w:rsid w:val="007B3CFE"/>
    <w:rsid w:val="007B4017"/>
    <w:rsid w:val="007B57A6"/>
    <w:rsid w:val="007B617E"/>
    <w:rsid w:val="007B63BD"/>
    <w:rsid w:val="007B66BD"/>
    <w:rsid w:val="007B749F"/>
    <w:rsid w:val="007C017A"/>
    <w:rsid w:val="007C092E"/>
    <w:rsid w:val="007C0DFD"/>
    <w:rsid w:val="007C192A"/>
    <w:rsid w:val="007C19F6"/>
    <w:rsid w:val="007C28EB"/>
    <w:rsid w:val="007C2E0C"/>
    <w:rsid w:val="007C311F"/>
    <w:rsid w:val="007C44F5"/>
    <w:rsid w:val="007C4B8C"/>
    <w:rsid w:val="007D047B"/>
    <w:rsid w:val="007D0D76"/>
    <w:rsid w:val="007D0E39"/>
    <w:rsid w:val="007D1058"/>
    <w:rsid w:val="007D1812"/>
    <w:rsid w:val="007D1884"/>
    <w:rsid w:val="007D194A"/>
    <w:rsid w:val="007D1DC2"/>
    <w:rsid w:val="007D2215"/>
    <w:rsid w:val="007D28A8"/>
    <w:rsid w:val="007D2DB7"/>
    <w:rsid w:val="007D32AA"/>
    <w:rsid w:val="007D3B0A"/>
    <w:rsid w:val="007D50A3"/>
    <w:rsid w:val="007D64EF"/>
    <w:rsid w:val="007D73D2"/>
    <w:rsid w:val="007D76C8"/>
    <w:rsid w:val="007E00BC"/>
    <w:rsid w:val="007E02C4"/>
    <w:rsid w:val="007E0AD7"/>
    <w:rsid w:val="007E2D27"/>
    <w:rsid w:val="007E310E"/>
    <w:rsid w:val="007E40C0"/>
    <w:rsid w:val="007E52A0"/>
    <w:rsid w:val="007E7216"/>
    <w:rsid w:val="007E7336"/>
    <w:rsid w:val="007E7FCF"/>
    <w:rsid w:val="007F006D"/>
    <w:rsid w:val="007F0CFA"/>
    <w:rsid w:val="007F0E31"/>
    <w:rsid w:val="007F1CC4"/>
    <w:rsid w:val="007F2E4B"/>
    <w:rsid w:val="007F63EC"/>
    <w:rsid w:val="007F70DC"/>
    <w:rsid w:val="007F797E"/>
    <w:rsid w:val="007F7BD9"/>
    <w:rsid w:val="008006DF"/>
    <w:rsid w:val="00800EB1"/>
    <w:rsid w:val="00801AFA"/>
    <w:rsid w:val="00802EAD"/>
    <w:rsid w:val="00803C99"/>
    <w:rsid w:val="008059B8"/>
    <w:rsid w:val="00806648"/>
    <w:rsid w:val="00806AC4"/>
    <w:rsid w:val="00807C03"/>
    <w:rsid w:val="008108B6"/>
    <w:rsid w:val="00811A7B"/>
    <w:rsid w:val="00811CA3"/>
    <w:rsid w:val="008123DD"/>
    <w:rsid w:val="00814118"/>
    <w:rsid w:val="00816494"/>
    <w:rsid w:val="00816D24"/>
    <w:rsid w:val="00816EA6"/>
    <w:rsid w:val="00817801"/>
    <w:rsid w:val="00817C4F"/>
    <w:rsid w:val="00817FDD"/>
    <w:rsid w:val="00820328"/>
    <w:rsid w:val="0082106A"/>
    <w:rsid w:val="0082153A"/>
    <w:rsid w:val="008221CB"/>
    <w:rsid w:val="00823577"/>
    <w:rsid w:val="00823A37"/>
    <w:rsid w:val="00824449"/>
    <w:rsid w:val="00824C98"/>
    <w:rsid w:val="00825149"/>
    <w:rsid w:val="008262B2"/>
    <w:rsid w:val="00827545"/>
    <w:rsid w:val="0083090E"/>
    <w:rsid w:val="00831BEB"/>
    <w:rsid w:val="008322D1"/>
    <w:rsid w:val="008324BA"/>
    <w:rsid w:val="00832E62"/>
    <w:rsid w:val="00833383"/>
    <w:rsid w:val="008337EC"/>
    <w:rsid w:val="008343C8"/>
    <w:rsid w:val="008345FB"/>
    <w:rsid w:val="00834783"/>
    <w:rsid w:val="008347C9"/>
    <w:rsid w:val="008348A5"/>
    <w:rsid w:val="0083556B"/>
    <w:rsid w:val="00835A90"/>
    <w:rsid w:val="00836FF6"/>
    <w:rsid w:val="00837372"/>
    <w:rsid w:val="00837539"/>
    <w:rsid w:val="00837729"/>
    <w:rsid w:val="008403F3"/>
    <w:rsid w:val="008412D6"/>
    <w:rsid w:val="00841ABE"/>
    <w:rsid w:val="00841B0C"/>
    <w:rsid w:val="00844C40"/>
    <w:rsid w:val="00844D77"/>
    <w:rsid w:val="008461E0"/>
    <w:rsid w:val="008511C5"/>
    <w:rsid w:val="00851AA8"/>
    <w:rsid w:val="00851E1B"/>
    <w:rsid w:val="00852A22"/>
    <w:rsid w:val="00852C3E"/>
    <w:rsid w:val="0085334D"/>
    <w:rsid w:val="0085339B"/>
    <w:rsid w:val="00853733"/>
    <w:rsid w:val="00854D6E"/>
    <w:rsid w:val="0085583C"/>
    <w:rsid w:val="00855CE2"/>
    <w:rsid w:val="00857A31"/>
    <w:rsid w:val="00862440"/>
    <w:rsid w:val="00862A94"/>
    <w:rsid w:val="00863AEB"/>
    <w:rsid w:val="00863FAD"/>
    <w:rsid w:val="00864E98"/>
    <w:rsid w:val="008650AF"/>
    <w:rsid w:val="008657A8"/>
    <w:rsid w:val="00865D36"/>
    <w:rsid w:val="008667CE"/>
    <w:rsid w:val="00866E4D"/>
    <w:rsid w:val="00867041"/>
    <w:rsid w:val="008714D2"/>
    <w:rsid w:val="00871F8B"/>
    <w:rsid w:val="0087251E"/>
    <w:rsid w:val="008725EA"/>
    <w:rsid w:val="00873033"/>
    <w:rsid w:val="0087480E"/>
    <w:rsid w:val="008759D9"/>
    <w:rsid w:val="00875FFD"/>
    <w:rsid w:val="00877B13"/>
    <w:rsid w:val="00880A86"/>
    <w:rsid w:val="00880E7E"/>
    <w:rsid w:val="00881E74"/>
    <w:rsid w:val="008827F5"/>
    <w:rsid w:val="008848C9"/>
    <w:rsid w:val="00884EF3"/>
    <w:rsid w:val="00885D48"/>
    <w:rsid w:val="00885FD6"/>
    <w:rsid w:val="0088641A"/>
    <w:rsid w:val="00887A41"/>
    <w:rsid w:val="0089024C"/>
    <w:rsid w:val="008918AA"/>
    <w:rsid w:val="00892F7B"/>
    <w:rsid w:val="00892F8C"/>
    <w:rsid w:val="00893229"/>
    <w:rsid w:val="00895253"/>
    <w:rsid w:val="00895C7E"/>
    <w:rsid w:val="00897272"/>
    <w:rsid w:val="00897999"/>
    <w:rsid w:val="008A17E6"/>
    <w:rsid w:val="008A3D00"/>
    <w:rsid w:val="008A441E"/>
    <w:rsid w:val="008A6B11"/>
    <w:rsid w:val="008A700A"/>
    <w:rsid w:val="008A791A"/>
    <w:rsid w:val="008A7C63"/>
    <w:rsid w:val="008B10B9"/>
    <w:rsid w:val="008B15F2"/>
    <w:rsid w:val="008B211A"/>
    <w:rsid w:val="008B2273"/>
    <w:rsid w:val="008B2921"/>
    <w:rsid w:val="008B30BA"/>
    <w:rsid w:val="008B33CE"/>
    <w:rsid w:val="008B3AFD"/>
    <w:rsid w:val="008B4E05"/>
    <w:rsid w:val="008B553B"/>
    <w:rsid w:val="008B7150"/>
    <w:rsid w:val="008B7AB2"/>
    <w:rsid w:val="008B7F80"/>
    <w:rsid w:val="008C2680"/>
    <w:rsid w:val="008C312A"/>
    <w:rsid w:val="008C3181"/>
    <w:rsid w:val="008C31CD"/>
    <w:rsid w:val="008C365F"/>
    <w:rsid w:val="008C3B9C"/>
    <w:rsid w:val="008C5C86"/>
    <w:rsid w:val="008C7150"/>
    <w:rsid w:val="008D0189"/>
    <w:rsid w:val="008D03E3"/>
    <w:rsid w:val="008D0BAC"/>
    <w:rsid w:val="008D18CE"/>
    <w:rsid w:val="008D263A"/>
    <w:rsid w:val="008D5486"/>
    <w:rsid w:val="008D5721"/>
    <w:rsid w:val="008D5D36"/>
    <w:rsid w:val="008D6275"/>
    <w:rsid w:val="008D6373"/>
    <w:rsid w:val="008D74D3"/>
    <w:rsid w:val="008E1224"/>
    <w:rsid w:val="008E2D16"/>
    <w:rsid w:val="008E6630"/>
    <w:rsid w:val="008E68A8"/>
    <w:rsid w:val="008E704D"/>
    <w:rsid w:val="008E764D"/>
    <w:rsid w:val="008F1641"/>
    <w:rsid w:val="008F1BF2"/>
    <w:rsid w:val="008F33F7"/>
    <w:rsid w:val="008F4978"/>
    <w:rsid w:val="008F6021"/>
    <w:rsid w:val="008F6EB5"/>
    <w:rsid w:val="008F7022"/>
    <w:rsid w:val="008F7062"/>
    <w:rsid w:val="008F7CBC"/>
    <w:rsid w:val="008F7E6B"/>
    <w:rsid w:val="00900362"/>
    <w:rsid w:val="00900BAF"/>
    <w:rsid w:val="009021DC"/>
    <w:rsid w:val="00902C36"/>
    <w:rsid w:val="00903850"/>
    <w:rsid w:val="009039E4"/>
    <w:rsid w:val="00903CB4"/>
    <w:rsid w:val="00903F35"/>
    <w:rsid w:val="009044F1"/>
    <w:rsid w:val="00904D50"/>
    <w:rsid w:val="00905BEA"/>
    <w:rsid w:val="00910214"/>
    <w:rsid w:val="00910432"/>
    <w:rsid w:val="009110F1"/>
    <w:rsid w:val="0091176A"/>
    <w:rsid w:val="0091209C"/>
    <w:rsid w:val="009124A5"/>
    <w:rsid w:val="009135B0"/>
    <w:rsid w:val="00914739"/>
    <w:rsid w:val="009147D5"/>
    <w:rsid w:val="00914A9B"/>
    <w:rsid w:val="0091547C"/>
    <w:rsid w:val="00915FE8"/>
    <w:rsid w:val="0091633A"/>
    <w:rsid w:val="00916367"/>
    <w:rsid w:val="00916655"/>
    <w:rsid w:val="009178DE"/>
    <w:rsid w:val="00920F9D"/>
    <w:rsid w:val="00921804"/>
    <w:rsid w:val="0092227B"/>
    <w:rsid w:val="00922451"/>
    <w:rsid w:val="009226DA"/>
    <w:rsid w:val="00923008"/>
    <w:rsid w:val="00924008"/>
    <w:rsid w:val="00924A33"/>
    <w:rsid w:val="00925FE3"/>
    <w:rsid w:val="00926C0E"/>
    <w:rsid w:val="00927C9F"/>
    <w:rsid w:val="0093034B"/>
    <w:rsid w:val="009311FB"/>
    <w:rsid w:val="00932059"/>
    <w:rsid w:val="00932B40"/>
    <w:rsid w:val="00933DE7"/>
    <w:rsid w:val="00934C19"/>
    <w:rsid w:val="00934FD7"/>
    <w:rsid w:val="009350F4"/>
    <w:rsid w:val="0093663D"/>
    <w:rsid w:val="00936758"/>
    <w:rsid w:val="009370DE"/>
    <w:rsid w:val="0093751F"/>
    <w:rsid w:val="009405CB"/>
    <w:rsid w:val="00941AAD"/>
    <w:rsid w:val="0094245C"/>
    <w:rsid w:val="00943792"/>
    <w:rsid w:val="0094443A"/>
    <w:rsid w:val="00944C55"/>
    <w:rsid w:val="00945021"/>
    <w:rsid w:val="00945117"/>
    <w:rsid w:val="00945CB2"/>
    <w:rsid w:val="00946736"/>
    <w:rsid w:val="00946C9F"/>
    <w:rsid w:val="009500CF"/>
    <w:rsid w:val="009512F2"/>
    <w:rsid w:val="009513E2"/>
    <w:rsid w:val="009524F3"/>
    <w:rsid w:val="00952BEB"/>
    <w:rsid w:val="00953D22"/>
    <w:rsid w:val="0095465E"/>
    <w:rsid w:val="00954B47"/>
    <w:rsid w:val="00954C03"/>
    <w:rsid w:val="00955491"/>
    <w:rsid w:val="00955874"/>
    <w:rsid w:val="00957DE0"/>
    <w:rsid w:val="00960999"/>
    <w:rsid w:val="00960E85"/>
    <w:rsid w:val="009610F1"/>
    <w:rsid w:val="00961C92"/>
    <w:rsid w:val="00961E89"/>
    <w:rsid w:val="00963E56"/>
    <w:rsid w:val="00965F2C"/>
    <w:rsid w:val="009668FE"/>
    <w:rsid w:val="009678FD"/>
    <w:rsid w:val="00970338"/>
    <w:rsid w:val="00970770"/>
    <w:rsid w:val="0097105E"/>
    <w:rsid w:val="009728A6"/>
    <w:rsid w:val="00973540"/>
    <w:rsid w:val="009737DA"/>
    <w:rsid w:val="009745B0"/>
    <w:rsid w:val="00976241"/>
    <w:rsid w:val="009764DB"/>
    <w:rsid w:val="009767C9"/>
    <w:rsid w:val="00976E3F"/>
    <w:rsid w:val="00977174"/>
    <w:rsid w:val="00977AB7"/>
    <w:rsid w:val="009802C2"/>
    <w:rsid w:val="009818BD"/>
    <w:rsid w:val="00981A95"/>
    <w:rsid w:val="0098306A"/>
    <w:rsid w:val="009835AB"/>
    <w:rsid w:val="009838A7"/>
    <w:rsid w:val="0098405B"/>
    <w:rsid w:val="00987B61"/>
    <w:rsid w:val="009906B7"/>
    <w:rsid w:val="009913F8"/>
    <w:rsid w:val="00992823"/>
    <w:rsid w:val="00992BC3"/>
    <w:rsid w:val="009940D6"/>
    <w:rsid w:val="009951D8"/>
    <w:rsid w:val="00995E9C"/>
    <w:rsid w:val="00995F43"/>
    <w:rsid w:val="00996453"/>
    <w:rsid w:val="00996558"/>
    <w:rsid w:val="00997F36"/>
    <w:rsid w:val="009A10D1"/>
    <w:rsid w:val="009A126A"/>
    <w:rsid w:val="009A1495"/>
    <w:rsid w:val="009A26C0"/>
    <w:rsid w:val="009A2BD6"/>
    <w:rsid w:val="009A2ED7"/>
    <w:rsid w:val="009A46B0"/>
    <w:rsid w:val="009A56DC"/>
    <w:rsid w:val="009A5777"/>
    <w:rsid w:val="009A6B7F"/>
    <w:rsid w:val="009A7A82"/>
    <w:rsid w:val="009A7F66"/>
    <w:rsid w:val="009B4BAC"/>
    <w:rsid w:val="009B5502"/>
    <w:rsid w:val="009B5BE1"/>
    <w:rsid w:val="009B5D7D"/>
    <w:rsid w:val="009B6279"/>
    <w:rsid w:val="009B63D6"/>
    <w:rsid w:val="009B6A00"/>
    <w:rsid w:val="009C02C7"/>
    <w:rsid w:val="009C10C4"/>
    <w:rsid w:val="009C20FF"/>
    <w:rsid w:val="009C34A6"/>
    <w:rsid w:val="009C3854"/>
    <w:rsid w:val="009C3B23"/>
    <w:rsid w:val="009C484A"/>
    <w:rsid w:val="009C4957"/>
    <w:rsid w:val="009C4D6F"/>
    <w:rsid w:val="009C5199"/>
    <w:rsid w:val="009C642C"/>
    <w:rsid w:val="009C67B0"/>
    <w:rsid w:val="009C6D4F"/>
    <w:rsid w:val="009C6E77"/>
    <w:rsid w:val="009C7BBE"/>
    <w:rsid w:val="009D0C89"/>
    <w:rsid w:val="009D1942"/>
    <w:rsid w:val="009D23EF"/>
    <w:rsid w:val="009D444F"/>
    <w:rsid w:val="009D4F9F"/>
    <w:rsid w:val="009D51F9"/>
    <w:rsid w:val="009D5527"/>
    <w:rsid w:val="009D56A4"/>
    <w:rsid w:val="009D7677"/>
    <w:rsid w:val="009E078D"/>
    <w:rsid w:val="009E0B2B"/>
    <w:rsid w:val="009E1CBE"/>
    <w:rsid w:val="009E2A5C"/>
    <w:rsid w:val="009E31A5"/>
    <w:rsid w:val="009E34AA"/>
    <w:rsid w:val="009E3842"/>
    <w:rsid w:val="009E3C89"/>
    <w:rsid w:val="009E3E0F"/>
    <w:rsid w:val="009E454C"/>
    <w:rsid w:val="009E59F8"/>
    <w:rsid w:val="009E7F82"/>
    <w:rsid w:val="009F043D"/>
    <w:rsid w:val="009F1B02"/>
    <w:rsid w:val="009F1BF1"/>
    <w:rsid w:val="009F3B75"/>
    <w:rsid w:val="009F45C7"/>
    <w:rsid w:val="009F5726"/>
    <w:rsid w:val="009F57AA"/>
    <w:rsid w:val="009F64C9"/>
    <w:rsid w:val="009F6933"/>
    <w:rsid w:val="009F6BE1"/>
    <w:rsid w:val="009F7151"/>
    <w:rsid w:val="00A007C0"/>
    <w:rsid w:val="00A01336"/>
    <w:rsid w:val="00A014E0"/>
    <w:rsid w:val="00A0230C"/>
    <w:rsid w:val="00A02318"/>
    <w:rsid w:val="00A028F3"/>
    <w:rsid w:val="00A02CD0"/>
    <w:rsid w:val="00A02EEF"/>
    <w:rsid w:val="00A0300E"/>
    <w:rsid w:val="00A03293"/>
    <w:rsid w:val="00A03CA7"/>
    <w:rsid w:val="00A04527"/>
    <w:rsid w:val="00A05573"/>
    <w:rsid w:val="00A05AC4"/>
    <w:rsid w:val="00A05BD1"/>
    <w:rsid w:val="00A05D39"/>
    <w:rsid w:val="00A060E4"/>
    <w:rsid w:val="00A101E1"/>
    <w:rsid w:val="00A1063E"/>
    <w:rsid w:val="00A11101"/>
    <w:rsid w:val="00A116A9"/>
    <w:rsid w:val="00A128D6"/>
    <w:rsid w:val="00A13B19"/>
    <w:rsid w:val="00A141E2"/>
    <w:rsid w:val="00A14275"/>
    <w:rsid w:val="00A14384"/>
    <w:rsid w:val="00A1529C"/>
    <w:rsid w:val="00A163CD"/>
    <w:rsid w:val="00A2171D"/>
    <w:rsid w:val="00A22715"/>
    <w:rsid w:val="00A24E18"/>
    <w:rsid w:val="00A262D9"/>
    <w:rsid w:val="00A268B1"/>
    <w:rsid w:val="00A310F5"/>
    <w:rsid w:val="00A3136D"/>
    <w:rsid w:val="00A31FC8"/>
    <w:rsid w:val="00A327BB"/>
    <w:rsid w:val="00A32C1D"/>
    <w:rsid w:val="00A32FFF"/>
    <w:rsid w:val="00A3326B"/>
    <w:rsid w:val="00A33B20"/>
    <w:rsid w:val="00A34249"/>
    <w:rsid w:val="00A34ED4"/>
    <w:rsid w:val="00A35021"/>
    <w:rsid w:val="00A3534A"/>
    <w:rsid w:val="00A359C7"/>
    <w:rsid w:val="00A35C66"/>
    <w:rsid w:val="00A365B0"/>
    <w:rsid w:val="00A369A8"/>
    <w:rsid w:val="00A37166"/>
    <w:rsid w:val="00A4017C"/>
    <w:rsid w:val="00A40418"/>
    <w:rsid w:val="00A4072A"/>
    <w:rsid w:val="00A41357"/>
    <w:rsid w:val="00A414DD"/>
    <w:rsid w:val="00A41DF0"/>
    <w:rsid w:val="00A42A84"/>
    <w:rsid w:val="00A4317C"/>
    <w:rsid w:val="00A439C1"/>
    <w:rsid w:val="00A451F2"/>
    <w:rsid w:val="00A45B74"/>
    <w:rsid w:val="00A466B6"/>
    <w:rsid w:val="00A4710F"/>
    <w:rsid w:val="00A512AC"/>
    <w:rsid w:val="00A544D2"/>
    <w:rsid w:val="00A5518F"/>
    <w:rsid w:val="00A55DE3"/>
    <w:rsid w:val="00A56DC9"/>
    <w:rsid w:val="00A60316"/>
    <w:rsid w:val="00A605EA"/>
    <w:rsid w:val="00A6079B"/>
    <w:rsid w:val="00A60A55"/>
    <w:rsid w:val="00A60C19"/>
    <w:rsid w:val="00A6106C"/>
    <w:rsid w:val="00A625CE"/>
    <w:rsid w:val="00A639D1"/>
    <w:rsid w:val="00A6508C"/>
    <w:rsid w:val="00A6659F"/>
    <w:rsid w:val="00A66B0D"/>
    <w:rsid w:val="00A66D7C"/>
    <w:rsid w:val="00A67951"/>
    <w:rsid w:val="00A70EB5"/>
    <w:rsid w:val="00A723D4"/>
    <w:rsid w:val="00A725C1"/>
    <w:rsid w:val="00A727D2"/>
    <w:rsid w:val="00A72939"/>
    <w:rsid w:val="00A72948"/>
    <w:rsid w:val="00A73A6D"/>
    <w:rsid w:val="00A73CF3"/>
    <w:rsid w:val="00A7435A"/>
    <w:rsid w:val="00A75523"/>
    <w:rsid w:val="00A764C8"/>
    <w:rsid w:val="00A8018A"/>
    <w:rsid w:val="00A814A1"/>
    <w:rsid w:val="00A82246"/>
    <w:rsid w:val="00A82E20"/>
    <w:rsid w:val="00A83569"/>
    <w:rsid w:val="00A8598F"/>
    <w:rsid w:val="00A8613B"/>
    <w:rsid w:val="00A871BC"/>
    <w:rsid w:val="00A87461"/>
    <w:rsid w:val="00A87A03"/>
    <w:rsid w:val="00A90A70"/>
    <w:rsid w:val="00A90C98"/>
    <w:rsid w:val="00A91B4A"/>
    <w:rsid w:val="00A92952"/>
    <w:rsid w:val="00A942EC"/>
    <w:rsid w:val="00A9438A"/>
    <w:rsid w:val="00A95D55"/>
    <w:rsid w:val="00A963F6"/>
    <w:rsid w:val="00A97BD6"/>
    <w:rsid w:val="00AA0494"/>
    <w:rsid w:val="00AA17E7"/>
    <w:rsid w:val="00AA1BD7"/>
    <w:rsid w:val="00AA200F"/>
    <w:rsid w:val="00AA31C5"/>
    <w:rsid w:val="00AA3B33"/>
    <w:rsid w:val="00AA641C"/>
    <w:rsid w:val="00AA6A46"/>
    <w:rsid w:val="00AA77E2"/>
    <w:rsid w:val="00AB04A1"/>
    <w:rsid w:val="00AB129B"/>
    <w:rsid w:val="00AB2D5B"/>
    <w:rsid w:val="00AB35BB"/>
    <w:rsid w:val="00AB3626"/>
    <w:rsid w:val="00AB37E4"/>
    <w:rsid w:val="00AB3B1D"/>
    <w:rsid w:val="00AB41D9"/>
    <w:rsid w:val="00AB504A"/>
    <w:rsid w:val="00AB5314"/>
    <w:rsid w:val="00AB58E9"/>
    <w:rsid w:val="00AB5BAE"/>
    <w:rsid w:val="00AB5C59"/>
    <w:rsid w:val="00AB60B5"/>
    <w:rsid w:val="00AB643F"/>
    <w:rsid w:val="00AB681B"/>
    <w:rsid w:val="00AB7B2B"/>
    <w:rsid w:val="00AB7C4A"/>
    <w:rsid w:val="00AC0966"/>
    <w:rsid w:val="00AC140C"/>
    <w:rsid w:val="00AC1759"/>
    <w:rsid w:val="00AC18BE"/>
    <w:rsid w:val="00AC2942"/>
    <w:rsid w:val="00AC310F"/>
    <w:rsid w:val="00AC38D3"/>
    <w:rsid w:val="00AC38DB"/>
    <w:rsid w:val="00AC5F40"/>
    <w:rsid w:val="00AC7EE0"/>
    <w:rsid w:val="00AD03B4"/>
    <w:rsid w:val="00AD0736"/>
    <w:rsid w:val="00AD14C4"/>
    <w:rsid w:val="00AD1EBA"/>
    <w:rsid w:val="00AD292C"/>
    <w:rsid w:val="00AD2C72"/>
    <w:rsid w:val="00AD3983"/>
    <w:rsid w:val="00AD5A0D"/>
    <w:rsid w:val="00AD6228"/>
    <w:rsid w:val="00AE01A3"/>
    <w:rsid w:val="00AE12C0"/>
    <w:rsid w:val="00AE24FD"/>
    <w:rsid w:val="00AE357D"/>
    <w:rsid w:val="00AE3987"/>
    <w:rsid w:val="00AE464E"/>
    <w:rsid w:val="00AE492C"/>
    <w:rsid w:val="00AE591B"/>
    <w:rsid w:val="00AE6342"/>
    <w:rsid w:val="00AE703B"/>
    <w:rsid w:val="00AE73B6"/>
    <w:rsid w:val="00AE7DCF"/>
    <w:rsid w:val="00AF0440"/>
    <w:rsid w:val="00AF2515"/>
    <w:rsid w:val="00AF4427"/>
    <w:rsid w:val="00AF526C"/>
    <w:rsid w:val="00AF6865"/>
    <w:rsid w:val="00AF6EA6"/>
    <w:rsid w:val="00AF76B9"/>
    <w:rsid w:val="00B00C8C"/>
    <w:rsid w:val="00B00E57"/>
    <w:rsid w:val="00B0144E"/>
    <w:rsid w:val="00B016C8"/>
    <w:rsid w:val="00B0195F"/>
    <w:rsid w:val="00B05323"/>
    <w:rsid w:val="00B0628B"/>
    <w:rsid w:val="00B068E7"/>
    <w:rsid w:val="00B0712A"/>
    <w:rsid w:val="00B07768"/>
    <w:rsid w:val="00B07EA5"/>
    <w:rsid w:val="00B07F5A"/>
    <w:rsid w:val="00B10DC5"/>
    <w:rsid w:val="00B110DF"/>
    <w:rsid w:val="00B11E98"/>
    <w:rsid w:val="00B11F2B"/>
    <w:rsid w:val="00B12488"/>
    <w:rsid w:val="00B1311A"/>
    <w:rsid w:val="00B137BC"/>
    <w:rsid w:val="00B13BEF"/>
    <w:rsid w:val="00B1487D"/>
    <w:rsid w:val="00B171A5"/>
    <w:rsid w:val="00B17628"/>
    <w:rsid w:val="00B20DF5"/>
    <w:rsid w:val="00B21ED2"/>
    <w:rsid w:val="00B23402"/>
    <w:rsid w:val="00B23CAF"/>
    <w:rsid w:val="00B258AA"/>
    <w:rsid w:val="00B26865"/>
    <w:rsid w:val="00B26976"/>
    <w:rsid w:val="00B26DD7"/>
    <w:rsid w:val="00B27EC0"/>
    <w:rsid w:val="00B304CB"/>
    <w:rsid w:val="00B307A2"/>
    <w:rsid w:val="00B30B3D"/>
    <w:rsid w:val="00B314BF"/>
    <w:rsid w:val="00B3288B"/>
    <w:rsid w:val="00B33789"/>
    <w:rsid w:val="00B353A1"/>
    <w:rsid w:val="00B404FC"/>
    <w:rsid w:val="00B425FC"/>
    <w:rsid w:val="00B42B17"/>
    <w:rsid w:val="00B445F2"/>
    <w:rsid w:val="00B4562C"/>
    <w:rsid w:val="00B45E04"/>
    <w:rsid w:val="00B46321"/>
    <w:rsid w:val="00B46EED"/>
    <w:rsid w:val="00B5077F"/>
    <w:rsid w:val="00B50EAD"/>
    <w:rsid w:val="00B51107"/>
    <w:rsid w:val="00B5369F"/>
    <w:rsid w:val="00B53764"/>
    <w:rsid w:val="00B557EB"/>
    <w:rsid w:val="00B55D58"/>
    <w:rsid w:val="00B55FED"/>
    <w:rsid w:val="00B56A98"/>
    <w:rsid w:val="00B56D9A"/>
    <w:rsid w:val="00B57B99"/>
    <w:rsid w:val="00B61E43"/>
    <w:rsid w:val="00B641CD"/>
    <w:rsid w:val="00B65116"/>
    <w:rsid w:val="00B65214"/>
    <w:rsid w:val="00B65390"/>
    <w:rsid w:val="00B665B5"/>
    <w:rsid w:val="00B67BF3"/>
    <w:rsid w:val="00B70725"/>
    <w:rsid w:val="00B70E63"/>
    <w:rsid w:val="00B71161"/>
    <w:rsid w:val="00B7180F"/>
    <w:rsid w:val="00B71F3E"/>
    <w:rsid w:val="00B723DF"/>
    <w:rsid w:val="00B723E5"/>
    <w:rsid w:val="00B727E4"/>
    <w:rsid w:val="00B7308A"/>
    <w:rsid w:val="00B73155"/>
    <w:rsid w:val="00B73869"/>
    <w:rsid w:val="00B74A1F"/>
    <w:rsid w:val="00B758CD"/>
    <w:rsid w:val="00B76144"/>
    <w:rsid w:val="00B7720A"/>
    <w:rsid w:val="00B80077"/>
    <w:rsid w:val="00B808D6"/>
    <w:rsid w:val="00B829FD"/>
    <w:rsid w:val="00B83CC4"/>
    <w:rsid w:val="00B84345"/>
    <w:rsid w:val="00B848BE"/>
    <w:rsid w:val="00B8537E"/>
    <w:rsid w:val="00B86EE5"/>
    <w:rsid w:val="00B87653"/>
    <w:rsid w:val="00B90B8B"/>
    <w:rsid w:val="00B911F8"/>
    <w:rsid w:val="00B91317"/>
    <w:rsid w:val="00B93599"/>
    <w:rsid w:val="00B94614"/>
    <w:rsid w:val="00B949D8"/>
    <w:rsid w:val="00B9564C"/>
    <w:rsid w:val="00B979B6"/>
    <w:rsid w:val="00BA092C"/>
    <w:rsid w:val="00BA294C"/>
    <w:rsid w:val="00BA4812"/>
    <w:rsid w:val="00BA513B"/>
    <w:rsid w:val="00BA58C6"/>
    <w:rsid w:val="00BA5D5E"/>
    <w:rsid w:val="00BA7443"/>
    <w:rsid w:val="00BB1DB6"/>
    <w:rsid w:val="00BB2D72"/>
    <w:rsid w:val="00BB2F82"/>
    <w:rsid w:val="00BB475D"/>
    <w:rsid w:val="00BB7476"/>
    <w:rsid w:val="00BB7538"/>
    <w:rsid w:val="00BB76C5"/>
    <w:rsid w:val="00BC0083"/>
    <w:rsid w:val="00BC0666"/>
    <w:rsid w:val="00BC0E10"/>
    <w:rsid w:val="00BC0F83"/>
    <w:rsid w:val="00BC12CD"/>
    <w:rsid w:val="00BC2273"/>
    <w:rsid w:val="00BC2495"/>
    <w:rsid w:val="00BC2D4B"/>
    <w:rsid w:val="00BC31C0"/>
    <w:rsid w:val="00BC44EE"/>
    <w:rsid w:val="00BC51C3"/>
    <w:rsid w:val="00BD05F0"/>
    <w:rsid w:val="00BD1A4B"/>
    <w:rsid w:val="00BD1B04"/>
    <w:rsid w:val="00BD39F3"/>
    <w:rsid w:val="00BD5B54"/>
    <w:rsid w:val="00BD6329"/>
    <w:rsid w:val="00BD698D"/>
    <w:rsid w:val="00BD6D70"/>
    <w:rsid w:val="00BD76B6"/>
    <w:rsid w:val="00BD7D5F"/>
    <w:rsid w:val="00BE0BB7"/>
    <w:rsid w:val="00BE0BE2"/>
    <w:rsid w:val="00BE10FA"/>
    <w:rsid w:val="00BE2F1F"/>
    <w:rsid w:val="00BE3C84"/>
    <w:rsid w:val="00BE4765"/>
    <w:rsid w:val="00BE47D4"/>
    <w:rsid w:val="00BE4D01"/>
    <w:rsid w:val="00BE6048"/>
    <w:rsid w:val="00BE624A"/>
    <w:rsid w:val="00BE624F"/>
    <w:rsid w:val="00BE62E1"/>
    <w:rsid w:val="00BE6E6B"/>
    <w:rsid w:val="00BE6FB8"/>
    <w:rsid w:val="00BE7C44"/>
    <w:rsid w:val="00BF01BC"/>
    <w:rsid w:val="00BF01D3"/>
    <w:rsid w:val="00BF01DD"/>
    <w:rsid w:val="00BF03B1"/>
    <w:rsid w:val="00BF35CE"/>
    <w:rsid w:val="00BF55A1"/>
    <w:rsid w:val="00BF5C72"/>
    <w:rsid w:val="00BF5CD0"/>
    <w:rsid w:val="00BF5E13"/>
    <w:rsid w:val="00BF5EAE"/>
    <w:rsid w:val="00BF5EFB"/>
    <w:rsid w:val="00C000EE"/>
    <w:rsid w:val="00C00C53"/>
    <w:rsid w:val="00C00F88"/>
    <w:rsid w:val="00C01457"/>
    <w:rsid w:val="00C01A7B"/>
    <w:rsid w:val="00C02BAF"/>
    <w:rsid w:val="00C02D82"/>
    <w:rsid w:val="00C054C0"/>
    <w:rsid w:val="00C05B3C"/>
    <w:rsid w:val="00C06813"/>
    <w:rsid w:val="00C06A08"/>
    <w:rsid w:val="00C07B3C"/>
    <w:rsid w:val="00C12415"/>
    <w:rsid w:val="00C12ED0"/>
    <w:rsid w:val="00C13383"/>
    <w:rsid w:val="00C147DB"/>
    <w:rsid w:val="00C155C4"/>
    <w:rsid w:val="00C15879"/>
    <w:rsid w:val="00C16A4F"/>
    <w:rsid w:val="00C2010B"/>
    <w:rsid w:val="00C20EF6"/>
    <w:rsid w:val="00C2121D"/>
    <w:rsid w:val="00C21CB8"/>
    <w:rsid w:val="00C23817"/>
    <w:rsid w:val="00C240A1"/>
    <w:rsid w:val="00C24878"/>
    <w:rsid w:val="00C2571C"/>
    <w:rsid w:val="00C25A96"/>
    <w:rsid w:val="00C301C6"/>
    <w:rsid w:val="00C301E1"/>
    <w:rsid w:val="00C306C9"/>
    <w:rsid w:val="00C30FE1"/>
    <w:rsid w:val="00C311D5"/>
    <w:rsid w:val="00C313D3"/>
    <w:rsid w:val="00C31E07"/>
    <w:rsid w:val="00C329AC"/>
    <w:rsid w:val="00C32E59"/>
    <w:rsid w:val="00C33002"/>
    <w:rsid w:val="00C3348D"/>
    <w:rsid w:val="00C3349D"/>
    <w:rsid w:val="00C340BA"/>
    <w:rsid w:val="00C345F1"/>
    <w:rsid w:val="00C3540F"/>
    <w:rsid w:val="00C35434"/>
    <w:rsid w:val="00C3549D"/>
    <w:rsid w:val="00C3631F"/>
    <w:rsid w:val="00C37BBF"/>
    <w:rsid w:val="00C37D7A"/>
    <w:rsid w:val="00C42A70"/>
    <w:rsid w:val="00C4320F"/>
    <w:rsid w:val="00C45230"/>
    <w:rsid w:val="00C4525C"/>
    <w:rsid w:val="00C45694"/>
    <w:rsid w:val="00C460F7"/>
    <w:rsid w:val="00C464C9"/>
    <w:rsid w:val="00C4675D"/>
    <w:rsid w:val="00C46C64"/>
    <w:rsid w:val="00C4776C"/>
    <w:rsid w:val="00C50B98"/>
    <w:rsid w:val="00C51391"/>
    <w:rsid w:val="00C51DA4"/>
    <w:rsid w:val="00C524C8"/>
    <w:rsid w:val="00C52716"/>
    <w:rsid w:val="00C532B4"/>
    <w:rsid w:val="00C5383E"/>
    <w:rsid w:val="00C54079"/>
    <w:rsid w:val="00C5417C"/>
    <w:rsid w:val="00C54291"/>
    <w:rsid w:val="00C54D60"/>
    <w:rsid w:val="00C552DB"/>
    <w:rsid w:val="00C55587"/>
    <w:rsid w:val="00C55BD0"/>
    <w:rsid w:val="00C55C15"/>
    <w:rsid w:val="00C55E9E"/>
    <w:rsid w:val="00C56DE0"/>
    <w:rsid w:val="00C56EF4"/>
    <w:rsid w:val="00C57168"/>
    <w:rsid w:val="00C5765E"/>
    <w:rsid w:val="00C57A10"/>
    <w:rsid w:val="00C57A77"/>
    <w:rsid w:val="00C60843"/>
    <w:rsid w:val="00C63137"/>
    <w:rsid w:val="00C63382"/>
    <w:rsid w:val="00C64F98"/>
    <w:rsid w:val="00C66251"/>
    <w:rsid w:val="00C66A92"/>
    <w:rsid w:val="00C66C81"/>
    <w:rsid w:val="00C66E1F"/>
    <w:rsid w:val="00C67656"/>
    <w:rsid w:val="00C67EDD"/>
    <w:rsid w:val="00C718D9"/>
    <w:rsid w:val="00C732ED"/>
    <w:rsid w:val="00C73717"/>
    <w:rsid w:val="00C73892"/>
    <w:rsid w:val="00C74B7F"/>
    <w:rsid w:val="00C75FC4"/>
    <w:rsid w:val="00C75FE0"/>
    <w:rsid w:val="00C75FE9"/>
    <w:rsid w:val="00C76652"/>
    <w:rsid w:val="00C766DA"/>
    <w:rsid w:val="00C774B2"/>
    <w:rsid w:val="00C80724"/>
    <w:rsid w:val="00C80A9B"/>
    <w:rsid w:val="00C80DDD"/>
    <w:rsid w:val="00C813A4"/>
    <w:rsid w:val="00C815A4"/>
    <w:rsid w:val="00C81FD3"/>
    <w:rsid w:val="00C82CFB"/>
    <w:rsid w:val="00C82EC1"/>
    <w:rsid w:val="00C83966"/>
    <w:rsid w:val="00C8486A"/>
    <w:rsid w:val="00C85132"/>
    <w:rsid w:val="00C866E4"/>
    <w:rsid w:val="00C867EF"/>
    <w:rsid w:val="00C8725D"/>
    <w:rsid w:val="00C900E6"/>
    <w:rsid w:val="00C90477"/>
    <w:rsid w:val="00C90C55"/>
    <w:rsid w:val="00C91377"/>
    <w:rsid w:val="00C917C4"/>
    <w:rsid w:val="00C92FCC"/>
    <w:rsid w:val="00C9334C"/>
    <w:rsid w:val="00C935A0"/>
    <w:rsid w:val="00C94F2F"/>
    <w:rsid w:val="00C960FE"/>
    <w:rsid w:val="00CA0318"/>
    <w:rsid w:val="00CA04E6"/>
    <w:rsid w:val="00CA14EF"/>
    <w:rsid w:val="00CA27BC"/>
    <w:rsid w:val="00CA3A86"/>
    <w:rsid w:val="00CA4360"/>
    <w:rsid w:val="00CA4C4B"/>
    <w:rsid w:val="00CA5200"/>
    <w:rsid w:val="00CA5582"/>
    <w:rsid w:val="00CA5B8D"/>
    <w:rsid w:val="00CA6CA3"/>
    <w:rsid w:val="00CA7858"/>
    <w:rsid w:val="00CB0613"/>
    <w:rsid w:val="00CB08C0"/>
    <w:rsid w:val="00CB1205"/>
    <w:rsid w:val="00CB28F6"/>
    <w:rsid w:val="00CB521D"/>
    <w:rsid w:val="00CB5EE1"/>
    <w:rsid w:val="00CB6177"/>
    <w:rsid w:val="00CB6FC6"/>
    <w:rsid w:val="00CB79FC"/>
    <w:rsid w:val="00CC102E"/>
    <w:rsid w:val="00CC19CC"/>
    <w:rsid w:val="00CC3250"/>
    <w:rsid w:val="00CC344B"/>
    <w:rsid w:val="00CC412A"/>
    <w:rsid w:val="00CC47E6"/>
    <w:rsid w:val="00CC5C3C"/>
    <w:rsid w:val="00CC7133"/>
    <w:rsid w:val="00CC7825"/>
    <w:rsid w:val="00CC7A6B"/>
    <w:rsid w:val="00CC7BF9"/>
    <w:rsid w:val="00CD085B"/>
    <w:rsid w:val="00CD12B7"/>
    <w:rsid w:val="00CD37DA"/>
    <w:rsid w:val="00CD5E07"/>
    <w:rsid w:val="00CD67D9"/>
    <w:rsid w:val="00CD6981"/>
    <w:rsid w:val="00CD71C3"/>
    <w:rsid w:val="00CD7397"/>
    <w:rsid w:val="00CD748A"/>
    <w:rsid w:val="00CD78DF"/>
    <w:rsid w:val="00CE01A1"/>
    <w:rsid w:val="00CE11AF"/>
    <w:rsid w:val="00CE2A4F"/>
    <w:rsid w:val="00CE2DCD"/>
    <w:rsid w:val="00CE418E"/>
    <w:rsid w:val="00CE5A4A"/>
    <w:rsid w:val="00CE5AE4"/>
    <w:rsid w:val="00CE6483"/>
    <w:rsid w:val="00CE6540"/>
    <w:rsid w:val="00CE676B"/>
    <w:rsid w:val="00CE6C75"/>
    <w:rsid w:val="00CF0550"/>
    <w:rsid w:val="00CF1360"/>
    <w:rsid w:val="00CF14AD"/>
    <w:rsid w:val="00CF1E84"/>
    <w:rsid w:val="00CF29F0"/>
    <w:rsid w:val="00CF51A4"/>
    <w:rsid w:val="00CF5623"/>
    <w:rsid w:val="00CF6FC7"/>
    <w:rsid w:val="00CF7A6D"/>
    <w:rsid w:val="00CF7A90"/>
    <w:rsid w:val="00CF7BE8"/>
    <w:rsid w:val="00D009F8"/>
    <w:rsid w:val="00D015E6"/>
    <w:rsid w:val="00D01D57"/>
    <w:rsid w:val="00D0370A"/>
    <w:rsid w:val="00D041BB"/>
    <w:rsid w:val="00D04B63"/>
    <w:rsid w:val="00D054F9"/>
    <w:rsid w:val="00D055B5"/>
    <w:rsid w:val="00D05BEB"/>
    <w:rsid w:val="00D079B0"/>
    <w:rsid w:val="00D07F1F"/>
    <w:rsid w:val="00D10770"/>
    <w:rsid w:val="00D11919"/>
    <w:rsid w:val="00D128BD"/>
    <w:rsid w:val="00D13B1A"/>
    <w:rsid w:val="00D13D7D"/>
    <w:rsid w:val="00D13E7E"/>
    <w:rsid w:val="00D14484"/>
    <w:rsid w:val="00D1499C"/>
    <w:rsid w:val="00D1507B"/>
    <w:rsid w:val="00D15B29"/>
    <w:rsid w:val="00D17B2B"/>
    <w:rsid w:val="00D17C9A"/>
    <w:rsid w:val="00D2021E"/>
    <w:rsid w:val="00D20521"/>
    <w:rsid w:val="00D20E9E"/>
    <w:rsid w:val="00D22D33"/>
    <w:rsid w:val="00D22DB9"/>
    <w:rsid w:val="00D2609A"/>
    <w:rsid w:val="00D276E2"/>
    <w:rsid w:val="00D27B48"/>
    <w:rsid w:val="00D31EB1"/>
    <w:rsid w:val="00D32E87"/>
    <w:rsid w:val="00D3350F"/>
    <w:rsid w:val="00D33B12"/>
    <w:rsid w:val="00D33C1E"/>
    <w:rsid w:val="00D34540"/>
    <w:rsid w:val="00D34EB7"/>
    <w:rsid w:val="00D35E9A"/>
    <w:rsid w:val="00D4111A"/>
    <w:rsid w:val="00D41564"/>
    <w:rsid w:val="00D42DE7"/>
    <w:rsid w:val="00D44BA6"/>
    <w:rsid w:val="00D45B56"/>
    <w:rsid w:val="00D45FB8"/>
    <w:rsid w:val="00D4601D"/>
    <w:rsid w:val="00D465AA"/>
    <w:rsid w:val="00D465C9"/>
    <w:rsid w:val="00D47CE1"/>
    <w:rsid w:val="00D510CF"/>
    <w:rsid w:val="00D51F65"/>
    <w:rsid w:val="00D52417"/>
    <w:rsid w:val="00D52B9E"/>
    <w:rsid w:val="00D55926"/>
    <w:rsid w:val="00D5595F"/>
    <w:rsid w:val="00D55ED6"/>
    <w:rsid w:val="00D56B57"/>
    <w:rsid w:val="00D57363"/>
    <w:rsid w:val="00D60FC6"/>
    <w:rsid w:val="00D616B0"/>
    <w:rsid w:val="00D634E9"/>
    <w:rsid w:val="00D63BFE"/>
    <w:rsid w:val="00D64D50"/>
    <w:rsid w:val="00D65367"/>
    <w:rsid w:val="00D65481"/>
    <w:rsid w:val="00D7037D"/>
    <w:rsid w:val="00D7404F"/>
    <w:rsid w:val="00D74607"/>
    <w:rsid w:val="00D750C2"/>
    <w:rsid w:val="00D762BA"/>
    <w:rsid w:val="00D76389"/>
    <w:rsid w:val="00D77975"/>
    <w:rsid w:val="00D8130D"/>
    <w:rsid w:val="00D81779"/>
    <w:rsid w:val="00D81BC9"/>
    <w:rsid w:val="00D82519"/>
    <w:rsid w:val="00D83CE1"/>
    <w:rsid w:val="00D83EFA"/>
    <w:rsid w:val="00D84098"/>
    <w:rsid w:val="00D85185"/>
    <w:rsid w:val="00D8737A"/>
    <w:rsid w:val="00D90838"/>
    <w:rsid w:val="00D90EF0"/>
    <w:rsid w:val="00D910D1"/>
    <w:rsid w:val="00D91631"/>
    <w:rsid w:val="00D91A82"/>
    <w:rsid w:val="00D924F7"/>
    <w:rsid w:val="00D92A79"/>
    <w:rsid w:val="00D92C92"/>
    <w:rsid w:val="00D92DCF"/>
    <w:rsid w:val="00D936C4"/>
    <w:rsid w:val="00D94691"/>
    <w:rsid w:val="00D95661"/>
    <w:rsid w:val="00D96AA7"/>
    <w:rsid w:val="00D97AF3"/>
    <w:rsid w:val="00DA0661"/>
    <w:rsid w:val="00DA10FA"/>
    <w:rsid w:val="00DA2033"/>
    <w:rsid w:val="00DA2DAD"/>
    <w:rsid w:val="00DA5006"/>
    <w:rsid w:val="00DA5238"/>
    <w:rsid w:val="00DA592E"/>
    <w:rsid w:val="00DA621F"/>
    <w:rsid w:val="00DA7303"/>
    <w:rsid w:val="00DA7732"/>
    <w:rsid w:val="00DB22A1"/>
    <w:rsid w:val="00DB27BB"/>
    <w:rsid w:val="00DB27D9"/>
    <w:rsid w:val="00DB2C90"/>
    <w:rsid w:val="00DB371E"/>
    <w:rsid w:val="00DB4B55"/>
    <w:rsid w:val="00DB5F75"/>
    <w:rsid w:val="00DC042B"/>
    <w:rsid w:val="00DC2586"/>
    <w:rsid w:val="00DC361B"/>
    <w:rsid w:val="00DC3A18"/>
    <w:rsid w:val="00DC3DFA"/>
    <w:rsid w:val="00DC3FB3"/>
    <w:rsid w:val="00DC43FB"/>
    <w:rsid w:val="00DC4458"/>
    <w:rsid w:val="00DC5FC9"/>
    <w:rsid w:val="00DC6B28"/>
    <w:rsid w:val="00DC7319"/>
    <w:rsid w:val="00DC7905"/>
    <w:rsid w:val="00DD1193"/>
    <w:rsid w:val="00DD3A18"/>
    <w:rsid w:val="00DD56A7"/>
    <w:rsid w:val="00DD5778"/>
    <w:rsid w:val="00DD5798"/>
    <w:rsid w:val="00DD6206"/>
    <w:rsid w:val="00DD6ABD"/>
    <w:rsid w:val="00DD6B17"/>
    <w:rsid w:val="00DD76E1"/>
    <w:rsid w:val="00DD7DE8"/>
    <w:rsid w:val="00DE008B"/>
    <w:rsid w:val="00DE032E"/>
    <w:rsid w:val="00DE1767"/>
    <w:rsid w:val="00DE190D"/>
    <w:rsid w:val="00DE34C8"/>
    <w:rsid w:val="00DE44E1"/>
    <w:rsid w:val="00DF0B97"/>
    <w:rsid w:val="00DF1E42"/>
    <w:rsid w:val="00DF20DF"/>
    <w:rsid w:val="00DF2EB8"/>
    <w:rsid w:val="00DF3F89"/>
    <w:rsid w:val="00DF44EB"/>
    <w:rsid w:val="00DF4B2C"/>
    <w:rsid w:val="00DF6224"/>
    <w:rsid w:val="00DF696A"/>
    <w:rsid w:val="00DF6F53"/>
    <w:rsid w:val="00DF7236"/>
    <w:rsid w:val="00DF72AF"/>
    <w:rsid w:val="00DF73C0"/>
    <w:rsid w:val="00DF7ECC"/>
    <w:rsid w:val="00DF7F5D"/>
    <w:rsid w:val="00E003BC"/>
    <w:rsid w:val="00E00E33"/>
    <w:rsid w:val="00E00F7D"/>
    <w:rsid w:val="00E02B3E"/>
    <w:rsid w:val="00E0527E"/>
    <w:rsid w:val="00E05675"/>
    <w:rsid w:val="00E0570E"/>
    <w:rsid w:val="00E05E81"/>
    <w:rsid w:val="00E10827"/>
    <w:rsid w:val="00E10BBD"/>
    <w:rsid w:val="00E12376"/>
    <w:rsid w:val="00E12727"/>
    <w:rsid w:val="00E1299E"/>
    <w:rsid w:val="00E14D37"/>
    <w:rsid w:val="00E14D68"/>
    <w:rsid w:val="00E14F15"/>
    <w:rsid w:val="00E1506D"/>
    <w:rsid w:val="00E15078"/>
    <w:rsid w:val="00E2107B"/>
    <w:rsid w:val="00E21410"/>
    <w:rsid w:val="00E21DDE"/>
    <w:rsid w:val="00E22DC4"/>
    <w:rsid w:val="00E233AE"/>
    <w:rsid w:val="00E235D5"/>
    <w:rsid w:val="00E250AE"/>
    <w:rsid w:val="00E26F78"/>
    <w:rsid w:val="00E273D5"/>
    <w:rsid w:val="00E27815"/>
    <w:rsid w:val="00E27FFA"/>
    <w:rsid w:val="00E300F2"/>
    <w:rsid w:val="00E304A3"/>
    <w:rsid w:val="00E31205"/>
    <w:rsid w:val="00E319C4"/>
    <w:rsid w:val="00E321AC"/>
    <w:rsid w:val="00E32302"/>
    <w:rsid w:val="00E33140"/>
    <w:rsid w:val="00E33AE1"/>
    <w:rsid w:val="00E33C24"/>
    <w:rsid w:val="00E33FD9"/>
    <w:rsid w:val="00E341A5"/>
    <w:rsid w:val="00E343C0"/>
    <w:rsid w:val="00E34A58"/>
    <w:rsid w:val="00E34F2E"/>
    <w:rsid w:val="00E36688"/>
    <w:rsid w:val="00E376EF"/>
    <w:rsid w:val="00E3788C"/>
    <w:rsid w:val="00E40D36"/>
    <w:rsid w:val="00E41119"/>
    <w:rsid w:val="00E41532"/>
    <w:rsid w:val="00E41813"/>
    <w:rsid w:val="00E429FB"/>
    <w:rsid w:val="00E42B00"/>
    <w:rsid w:val="00E43993"/>
    <w:rsid w:val="00E449C9"/>
    <w:rsid w:val="00E451D4"/>
    <w:rsid w:val="00E4542A"/>
    <w:rsid w:val="00E46BEC"/>
    <w:rsid w:val="00E4735A"/>
    <w:rsid w:val="00E5017D"/>
    <w:rsid w:val="00E5063F"/>
    <w:rsid w:val="00E509E7"/>
    <w:rsid w:val="00E50E63"/>
    <w:rsid w:val="00E51414"/>
    <w:rsid w:val="00E51841"/>
    <w:rsid w:val="00E51B68"/>
    <w:rsid w:val="00E51EB4"/>
    <w:rsid w:val="00E5228D"/>
    <w:rsid w:val="00E52DFE"/>
    <w:rsid w:val="00E532CA"/>
    <w:rsid w:val="00E53381"/>
    <w:rsid w:val="00E54836"/>
    <w:rsid w:val="00E5580B"/>
    <w:rsid w:val="00E55E00"/>
    <w:rsid w:val="00E56372"/>
    <w:rsid w:val="00E57FE7"/>
    <w:rsid w:val="00E60664"/>
    <w:rsid w:val="00E6068D"/>
    <w:rsid w:val="00E60CBE"/>
    <w:rsid w:val="00E62F91"/>
    <w:rsid w:val="00E62FE5"/>
    <w:rsid w:val="00E6319F"/>
    <w:rsid w:val="00E6716B"/>
    <w:rsid w:val="00E70B89"/>
    <w:rsid w:val="00E715AF"/>
    <w:rsid w:val="00E71B9D"/>
    <w:rsid w:val="00E71C9E"/>
    <w:rsid w:val="00E71E49"/>
    <w:rsid w:val="00E71F6E"/>
    <w:rsid w:val="00E73958"/>
    <w:rsid w:val="00E74C04"/>
    <w:rsid w:val="00E750C2"/>
    <w:rsid w:val="00E754BD"/>
    <w:rsid w:val="00E761F2"/>
    <w:rsid w:val="00E76AD0"/>
    <w:rsid w:val="00E80F4C"/>
    <w:rsid w:val="00E81721"/>
    <w:rsid w:val="00E82499"/>
    <w:rsid w:val="00E82CB6"/>
    <w:rsid w:val="00E83CBF"/>
    <w:rsid w:val="00E83CD4"/>
    <w:rsid w:val="00E8464E"/>
    <w:rsid w:val="00E84695"/>
    <w:rsid w:val="00E86DAE"/>
    <w:rsid w:val="00E87325"/>
    <w:rsid w:val="00E90097"/>
    <w:rsid w:val="00E92663"/>
    <w:rsid w:val="00E92A33"/>
    <w:rsid w:val="00E92D8C"/>
    <w:rsid w:val="00E93704"/>
    <w:rsid w:val="00E9461E"/>
    <w:rsid w:val="00E955E4"/>
    <w:rsid w:val="00E95848"/>
    <w:rsid w:val="00E968E3"/>
    <w:rsid w:val="00E9714F"/>
    <w:rsid w:val="00E97ED5"/>
    <w:rsid w:val="00EA01C2"/>
    <w:rsid w:val="00EA0E05"/>
    <w:rsid w:val="00EA1503"/>
    <w:rsid w:val="00EA1C95"/>
    <w:rsid w:val="00EA23B4"/>
    <w:rsid w:val="00EA3D3A"/>
    <w:rsid w:val="00EA42F6"/>
    <w:rsid w:val="00EA4A27"/>
    <w:rsid w:val="00EA4D85"/>
    <w:rsid w:val="00EA546D"/>
    <w:rsid w:val="00EA67F9"/>
    <w:rsid w:val="00EA6BAC"/>
    <w:rsid w:val="00EA6EED"/>
    <w:rsid w:val="00EA789D"/>
    <w:rsid w:val="00EA7E21"/>
    <w:rsid w:val="00EB006A"/>
    <w:rsid w:val="00EB055E"/>
    <w:rsid w:val="00EB05F8"/>
    <w:rsid w:val="00EB0B83"/>
    <w:rsid w:val="00EB2087"/>
    <w:rsid w:val="00EB2612"/>
    <w:rsid w:val="00EB2E04"/>
    <w:rsid w:val="00EB405E"/>
    <w:rsid w:val="00EB4C70"/>
    <w:rsid w:val="00EB5CEE"/>
    <w:rsid w:val="00EB726E"/>
    <w:rsid w:val="00EB74EB"/>
    <w:rsid w:val="00EB7CB2"/>
    <w:rsid w:val="00EB7E0E"/>
    <w:rsid w:val="00EB7F71"/>
    <w:rsid w:val="00EC0162"/>
    <w:rsid w:val="00EC03CD"/>
    <w:rsid w:val="00EC1086"/>
    <w:rsid w:val="00EC1571"/>
    <w:rsid w:val="00EC17A0"/>
    <w:rsid w:val="00EC44B9"/>
    <w:rsid w:val="00EC5D07"/>
    <w:rsid w:val="00EC6E16"/>
    <w:rsid w:val="00EC7223"/>
    <w:rsid w:val="00EC7350"/>
    <w:rsid w:val="00EC77C4"/>
    <w:rsid w:val="00ED0168"/>
    <w:rsid w:val="00ED0C1D"/>
    <w:rsid w:val="00ED1549"/>
    <w:rsid w:val="00ED16D1"/>
    <w:rsid w:val="00ED24FB"/>
    <w:rsid w:val="00ED3689"/>
    <w:rsid w:val="00ED418A"/>
    <w:rsid w:val="00ED4AC1"/>
    <w:rsid w:val="00ED4E54"/>
    <w:rsid w:val="00ED6AC5"/>
    <w:rsid w:val="00EE02A0"/>
    <w:rsid w:val="00EE060A"/>
    <w:rsid w:val="00EE0946"/>
    <w:rsid w:val="00EE1717"/>
    <w:rsid w:val="00EE24C9"/>
    <w:rsid w:val="00EE30DB"/>
    <w:rsid w:val="00EE37FD"/>
    <w:rsid w:val="00EE4AAD"/>
    <w:rsid w:val="00EE4B45"/>
    <w:rsid w:val="00EE560A"/>
    <w:rsid w:val="00EE58D5"/>
    <w:rsid w:val="00EE63A6"/>
    <w:rsid w:val="00EE6BB4"/>
    <w:rsid w:val="00EF05D8"/>
    <w:rsid w:val="00EF083D"/>
    <w:rsid w:val="00EF09F7"/>
    <w:rsid w:val="00EF2463"/>
    <w:rsid w:val="00EF25C4"/>
    <w:rsid w:val="00EF34BC"/>
    <w:rsid w:val="00EF355D"/>
    <w:rsid w:val="00EF3F10"/>
    <w:rsid w:val="00EF48F0"/>
    <w:rsid w:val="00EF492C"/>
    <w:rsid w:val="00EF524F"/>
    <w:rsid w:val="00EF53D8"/>
    <w:rsid w:val="00EF611A"/>
    <w:rsid w:val="00EF6174"/>
    <w:rsid w:val="00EF6293"/>
    <w:rsid w:val="00EF685F"/>
    <w:rsid w:val="00EF6A4A"/>
    <w:rsid w:val="00EF6EC8"/>
    <w:rsid w:val="00F00392"/>
    <w:rsid w:val="00F0088B"/>
    <w:rsid w:val="00F01B98"/>
    <w:rsid w:val="00F04517"/>
    <w:rsid w:val="00F04708"/>
    <w:rsid w:val="00F04A4E"/>
    <w:rsid w:val="00F0549D"/>
    <w:rsid w:val="00F05C8D"/>
    <w:rsid w:val="00F077BE"/>
    <w:rsid w:val="00F07C9B"/>
    <w:rsid w:val="00F10540"/>
    <w:rsid w:val="00F11566"/>
    <w:rsid w:val="00F123A2"/>
    <w:rsid w:val="00F1326E"/>
    <w:rsid w:val="00F1395A"/>
    <w:rsid w:val="00F15151"/>
    <w:rsid w:val="00F15A28"/>
    <w:rsid w:val="00F162FC"/>
    <w:rsid w:val="00F165AC"/>
    <w:rsid w:val="00F16647"/>
    <w:rsid w:val="00F1686B"/>
    <w:rsid w:val="00F1694D"/>
    <w:rsid w:val="00F16EE1"/>
    <w:rsid w:val="00F1704D"/>
    <w:rsid w:val="00F171E9"/>
    <w:rsid w:val="00F2069F"/>
    <w:rsid w:val="00F20FB9"/>
    <w:rsid w:val="00F21477"/>
    <w:rsid w:val="00F21A56"/>
    <w:rsid w:val="00F21F81"/>
    <w:rsid w:val="00F220F3"/>
    <w:rsid w:val="00F22D89"/>
    <w:rsid w:val="00F23928"/>
    <w:rsid w:val="00F23CF1"/>
    <w:rsid w:val="00F24BB2"/>
    <w:rsid w:val="00F25CC9"/>
    <w:rsid w:val="00F26B32"/>
    <w:rsid w:val="00F27F1F"/>
    <w:rsid w:val="00F30844"/>
    <w:rsid w:val="00F31C1D"/>
    <w:rsid w:val="00F3310B"/>
    <w:rsid w:val="00F33522"/>
    <w:rsid w:val="00F34F56"/>
    <w:rsid w:val="00F3586E"/>
    <w:rsid w:val="00F36B05"/>
    <w:rsid w:val="00F4036F"/>
    <w:rsid w:val="00F40618"/>
    <w:rsid w:val="00F409B3"/>
    <w:rsid w:val="00F40F35"/>
    <w:rsid w:val="00F4100D"/>
    <w:rsid w:val="00F41FEE"/>
    <w:rsid w:val="00F420DD"/>
    <w:rsid w:val="00F4216F"/>
    <w:rsid w:val="00F42AA7"/>
    <w:rsid w:val="00F42BBA"/>
    <w:rsid w:val="00F42EE0"/>
    <w:rsid w:val="00F43775"/>
    <w:rsid w:val="00F45A5B"/>
    <w:rsid w:val="00F500DE"/>
    <w:rsid w:val="00F50124"/>
    <w:rsid w:val="00F5058F"/>
    <w:rsid w:val="00F51965"/>
    <w:rsid w:val="00F530A2"/>
    <w:rsid w:val="00F53C9B"/>
    <w:rsid w:val="00F53F38"/>
    <w:rsid w:val="00F5426E"/>
    <w:rsid w:val="00F5558F"/>
    <w:rsid w:val="00F55692"/>
    <w:rsid w:val="00F55A89"/>
    <w:rsid w:val="00F56FBE"/>
    <w:rsid w:val="00F606C8"/>
    <w:rsid w:val="00F612FF"/>
    <w:rsid w:val="00F61570"/>
    <w:rsid w:val="00F63BA3"/>
    <w:rsid w:val="00F6447E"/>
    <w:rsid w:val="00F64657"/>
    <w:rsid w:val="00F64659"/>
    <w:rsid w:val="00F65AFF"/>
    <w:rsid w:val="00F6707D"/>
    <w:rsid w:val="00F67947"/>
    <w:rsid w:val="00F67DBF"/>
    <w:rsid w:val="00F71451"/>
    <w:rsid w:val="00F719D7"/>
    <w:rsid w:val="00F72447"/>
    <w:rsid w:val="00F724BB"/>
    <w:rsid w:val="00F72EB5"/>
    <w:rsid w:val="00F72F65"/>
    <w:rsid w:val="00F73B06"/>
    <w:rsid w:val="00F73D29"/>
    <w:rsid w:val="00F74244"/>
    <w:rsid w:val="00F75AEE"/>
    <w:rsid w:val="00F75C56"/>
    <w:rsid w:val="00F769E5"/>
    <w:rsid w:val="00F76F62"/>
    <w:rsid w:val="00F77AB2"/>
    <w:rsid w:val="00F81441"/>
    <w:rsid w:val="00F82D27"/>
    <w:rsid w:val="00F84AF1"/>
    <w:rsid w:val="00F85A05"/>
    <w:rsid w:val="00F85D26"/>
    <w:rsid w:val="00F8733C"/>
    <w:rsid w:val="00F908C6"/>
    <w:rsid w:val="00F925D4"/>
    <w:rsid w:val="00F92675"/>
    <w:rsid w:val="00F931EB"/>
    <w:rsid w:val="00F93775"/>
    <w:rsid w:val="00F93C3D"/>
    <w:rsid w:val="00F94335"/>
    <w:rsid w:val="00F95365"/>
    <w:rsid w:val="00FA091C"/>
    <w:rsid w:val="00FA0BE5"/>
    <w:rsid w:val="00FA0CAF"/>
    <w:rsid w:val="00FA1433"/>
    <w:rsid w:val="00FA2E5D"/>
    <w:rsid w:val="00FA67E2"/>
    <w:rsid w:val="00FA6B09"/>
    <w:rsid w:val="00FA732E"/>
    <w:rsid w:val="00FA761E"/>
    <w:rsid w:val="00FA7658"/>
    <w:rsid w:val="00FA7864"/>
    <w:rsid w:val="00FB1587"/>
    <w:rsid w:val="00FB2085"/>
    <w:rsid w:val="00FB33C0"/>
    <w:rsid w:val="00FB3960"/>
    <w:rsid w:val="00FB4102"/>
    <w:rsid w:val="00FB4D56"/>
    <w:rsid w:val="00FB4D9B"/>
    <w:rsid w:val="00FB5613"/>
    <w:rsid w:val="00FB5B74"/>
    <w:rsid w:val="00FB5B8B"/>
    <w:rsid w:val="00FB5BBE"/>
    <w:rsid w:val="00FB5E5A"/>
    <w:rsid w:val="00FB6A20"/>
    <w:rsid w:val="00FB7601"/>
    <w:rsid w:val="00FC0C12"/>
    <w:rsid w:val="00FC11A8"/>
    <w:rsid w:val="00FC1FD9"/>
    <w:rsid w:val="00FC2D3B"/>
    <w:rsid w:val="00FC2F63"/>
    <w:rsid w:val="00FC3CB1"/>
    <w:rsid w:val="00FC3EBD"/>
    <w:rsid w:val="00FC3FEE"/>
    <w:rsid w:val="00FC4297"/>
    <w:rsid w:val="00FC4783"/>
    <w:rsid w:val="00FC6B1D"/>
    <w:rsid w:val="00FC79E2"/>
    <w:rsid w:val="00FD266B"/>
    <w:rsid w:val="00FD2772"/>
    <w:rsid w:val="00FD3765"/>
    <w:rsid w:val="00FD415F"/>
    <w:rsid w:val="00FD63BB"/>
    <w:rsid w:val="00FD654B"/>
    <w:rsid w:val="00FD7247"/>
    <w:rsid w:val="00FD7ABB"/>
    <w:rsid w:val="00FE0DD9"/>
    <w:rsid w:val="00FE2FB5"/>
    <w:rsid w:val="00FE3AB4"/>
    <w:rsid w:val="00FE4DF4"/>
    <w:rsid w:val="00FE5A5B"/>
    <w:rsid w:val="00FE6083"/>
    <w:rsid w:val="00FE612A"/>
    <w:rsid w:val="00FE6A04"/>
    <w:rsid w:val="00FE6B3F"/>
    <w:rsid w:val="00FE79A0"/>
    <w:rsid w:val="00FF053E"/>
    <w:rsid w:val="00FF0AAC"/>
    <w:rsid w:val="00FF17ED"/>
    <w:rsid w:val="00FF27BA"/>
    <w:rsid w:val="00FF3851"/>
    <w:rsid w:val="00FF3D54"/>
    <w:rsid w:val="00FF4AF3"/>
    <w:rsid w:val="00FF5966"/>
    <w:rsid w:val="00FF5C56"/>
    <w:rsid w:val="00FF6622"/>
    <w:rsid w:val="00FF66F4"/>
    <w:rsid w:val="00FF7680"/>
    <w:rsid w:val="00FF794E"/>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CBEBA"/>
  <w15:chartTrackingRefBased/>
  <w15:docId w15:val="{5B7CC3D3-BCB0-485B-AEE2-94DD8A5A4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US" w:eastAsia="es-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5B54"/>
    <w:rPr>
      <w:rFonts w:ascii="Times New Roman" w:eastAsia="Times New Roman" w:hAnsi="Times New Roman"/>
      <w:sz w:val="24"/>
      <w:szCs w:val="24"/>
      <w:lang w:val="es-CO"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aliases w:val="Ref. de nota al pie 2,Texto de nota al pie,Pie de Página,FC,Texto de nota al pi,Appel note de bas de page,Footnotes refss,Footnote number,referencia nota al pie,BVI fnr,f,4_G,16 Point,Superscript 6 Point,Texto nota al pie,Pie de Pàgi"/>
    <w:link w:val="4GChar"/>
    <w:unhideWhenUsed/>
    <w:qFormat/>
    <w:rsid w:val="005E7B4A"/>
    <w:rPr>
      <w:vertAlign w:val="superscript"/>
    </w:rPr>
  </w:style>
  <w:style w:type="paragraph" w:styleId="Textoindependiente">
    <w:name w:val="Body Text"/>
    <w:basedOn w:val="Normal"/>
    <w:link w:val="TextoindependienteCar"/>
    <w:rsid w:val="005E7B4A"/>
    <w:pPr>
      <w:ind w:right="20"/>
      <w:jc w:val="both"/>
    </w:pPr>
    <w:rPr>
      <w:rFonts w:ascii="Century Gothic" w:hAnsi="Century Gothic"/>
      <w:lang w:val="es-ES" w:eastAsia="es-ES"/>
    </w:rPr>
  </w:style>
  <w:style w:type="character" w:customStyle="1" w:styleId="TextoindependienteCar">
    <w:name w:val="Texto independiente Car"/>
    <w:link w:val="Textoindependiente"/>
    <w:rsid w:val="005E7B4A"/>
    <w:rPr>
      <w:rFonts w:ascii="Century Gothic" w:eastAsia="Times New Roman" w:hAnsi="Century Gothic"/>
      <w:sz w:val="22"/>
      <w:szCs w:val="24"/>
      <w:lang w:val="es-ES" w:eastAsia="es-ES"/>
    </w:rPr>
  </w:style>
  <w:style w:type="character" w:customStyle="1" w:styleId="SinespaciadoCar">
    <w:name w:val="Sin espaciado Car"/>
    <w:link w:val="Sinespaciado"/>
    <w:uiPriority w:val="1"/>
    <w:locked/>
    <w:rsid w:val="005E7B4A"/>
    <w:rPr>
      <w:rFonts w:ascii="Times New Roman" w:eastAsia="Times New Roman" w:hAnsi="Times New Roman"/>
      <w:sz w:val="24"/>
      <w:szCs w:val="24"/>
      <w:lang w:val="es-ES" w:eastAsia="es-ES"/>
    </w:rPr>
  </w:style>
  <w:style w:type="paragraph" w:styleId="Sinespaciado">
    <w:name w:val="No Spacing"/>
    <w:link w:val="SinespaciadoCar"/>
    <w:uiPriority w:val="1"/>
    <w:qFormat/>
    <w:rsid w:val="005E7B4A"/>
    <w:rPr>
      <w:rFonts w:ascii="Times New Roman" w:eastAsia="Times New Roman" w:hAnsi="Times New Roman"/>
      <w:sz w:val="24"/>
      <w:szCs w:val="24"/>
      <w:lang w:val="es-ES" w:eastAsia="es-ES"/>
    </w:rPr>
  </w:style>
  <w:style w:type="paragraph" w:customStyle="1" w:styleId="Textoindependiente32">
    <w:name w:val="Texto independiente 32"/>
    <w:basedOn w:val="Normal"/>
    <w:rsid w:val="005E7B4A"/>
    <w:pPr>
      <w:suppressAutoHyphens/>
      <w:overflowPunct w:val="0"/>
      <w:autoSpaceDE w:val="0"/>
      <w:autoSpaceDN w:val="0"/>
      <w:adjustRightInd w:val="0"/>
      <w:spacing w:after="180" w:line="360" w:lineRule="auto"/>
      <w:jc w:val="both"/>
      <w:textAlignment w:val="baseline"/>
    </w:pPr>
    <w:rPr>
      <w:rFonts w:ascii="Arial" w:hAnsi="Arial"/>
      <w:i/>
      <w:sz w:val="28"/>
      <w:szCs w:val="20"/>
      <w:lang w:val="es-ES_tradnl"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E7B4A"/>
    <w:pPr>
      <w:jc w:val="both"/>
    </w:pPr>
    <w:rPr>
      <w:sz w:val="20"/>
      <w:szCs w:val="20"/>
      <w:vertAlign w:val="superscript"/>
      <w:lang w:eastAsia="es-CO"/>
    </w:rPr>
  </w:style>
  <w:style w:type="paragraph" w:customStyle="1" w:styleId="Textodebloque1">
    <w:name w:val="Texto de bloque1"/>
    <w:basedOn w:val="Normal"/>
    <w:rsid w:val="005E7B4A"/>
    <w:pPr>
      <w:widowControl w:val="0"/>
      <w:tabs>
        <w:tab w:val="left" w:pos="2160"/>
        <w:tab w:val="left" w:pos="4464"/>
        <w:tab w:val="left" w:pos="5328"/>
      </w:tabs>
      <w:suppressAutoHyphens/>
      <w:overflowPunct w:val="0"/>
      <w:autoSpaceDE w:val="0"/>
      <w:ind w:left="720" w:right="432"/>
      <w:jc w:val="both"/>
      <w:textAlignment w:val="baseline"/>
    </w:pPr>
    <w:rPr>
      <w:rFonts w:ascii="Arial" w:hAnsi="Arial" w:cs="Arial"/>
      <w:i/>
      <w:spacing w:val="-3"/>
      <w:szCs w:val="20"/>
      <w:lang w:eastAsia="zh-CN"/>
    </w:rPr>
  </w:style>
  <w:style w:type="paragraph" w:styleId="Prrafodelista">
    <w:name w:val="List Paragraph"/>
    <w:aliases w:val="Colorful List - Accent 11,Ha,List Paragraph1,lp1,List Paragraph2,Lista vistosa - Énfasis 11"/>
    <w:basedOn w:val="Normal"/>
    <w:link w:val="PrrafodelistaCar"/>
    <w:uiPriority w:val="34"/>
    <w:qFormat/>
    <w:rsid w:val="005E7B4A"/>
    <w:pPr>
      <w:suppressAutoHyphens/>
      <w:overflowPunct w:val="0"/>
      <w:autoSpaceDE w:val="0"/>
      <w:spacing w:line="360" w:lineRule="auto"/>
      <w:ind w:left="720"/>
      <w:contextualSpacing/>
      <w:jc w:val="both"/>
      <w:textAlignment w:val="baseline"/>
    </w:pPr>
    <w:rPr>
      <w:rFonts w:ascii="Arial" w:hAnsi="Arial"/>
      <w:szCs w:val="20"/>
      <w:lang w:val="es-ES_tradnl" w:eastAsia="ar-SA"/>
    </w:rPr>
  </w:style>
  <w:style w:type="paragraph" w:customStyle="1" w:styleId="Textoindependiente22">
    <w:name w:val="Texto independiente 22"/>
    <w:basedOn w:val="Normal"/>
    <w:rsid w:val="005E7B4A"/>
    <w:pPr>
      <w:widowControl w:val="0"/>
      <w:suppressAutoHyphens/>
      <w:overflowPunct w:val="0"/>
      <w:autoSpaceDE w:val="0"/>
      <w:jc w:val="both"/>
      <w:textAlignment w:val="baseline"/>
    </w:pPr>
    <w:rPr>
      <w:rFonts w:ascii="Arial" w:hAnsi="Arial" w:cs="Arial"/>
      <w:b/>
      <w:szCs w:val="20"/>
      <w:lang w:val="es-ES" w:eastAsia="zh-CN"/>
    </w:rPr>
  </w:style>
  <w:style w:type="character" w:customStyle="1" w:styleId="TextosinformatoCar">
    <w:name w:val="Texto sin formato Car"/>
    <w:link w:val="Textosinformato"/>
    <w:rsid w:val="005E7B4A"/>
    <w:rPr>
      <w:rFonts w:ascii="Courier New" w:eastAsia="Times New Roman" w:hAnsi="Courier New"/>
      <w:lang w:val="en-US"/>
    </w:rPr>
  </w:style>
  <w:style w:type="paragraph" w:styleId="Textosinformato">
    <w:name w:val="Plain Text"/>
    <w:basedOn w:val="Normal"/>
    <w:link w:val="TextosinformatoCar"/>
    <w:rsid w:val="005E7B4A"/>
    <w:rPr>
      <w:rFonts w:ascii="Courier New" w:hAnsi="Courier New"/>
      <w:sz w:val="20"/>
      <w:szCs w:val="20"/>
      <w:lang w:val="en-US" w:eastAsia="es-CO"/>
    </w:rPr>
  </w:style>
  <w:style w:type="character" w:customStyle="1" w:styleId="TextosinformatoCar1">
    <w:name w:val="Texto sin formato Car1"/>
    <w:uiPriority w:val="99"/>
    <w:semiHidden/>
    <w:rsid w:val="005E7B4A"/>
    <w:rPr>
      <w:rFonts w:ascii="Courier New" w:hAnsi="Courier New" w:cs="Courier New"/>
      <w:lang w:eastAsia="en-US"/>
    </w:rPr>
  </w:style>
  <w:style w:type="paragraph" w:customStyle="1" w:styleId="Listamulticolor-nfasis12">
    <w:name w:val="Lista multicolor - Énfasis 12"/>
    <w:basedOn w:val="Normal"/>
    <w:uiPriority w:val="34"/>
    <w:qFormat/>
    <w:rsid w:val="005E7B4A"/>
    <w:pPr>
      <w:ind w:left="708"/>
    </w:pPr>
    <w:rPr>
      <w:lang w:val="es-ES"/>
    </w:rPr>
  </w:style>
  <w:style w:type="paragraph" w:styleId="Encabezado">
    <w:name w:val="header"/>
    <w:basedOn w:val="Normal"/>
    <w:link w:val="EncabezadoCar"/>
    <w:uiPriority w:val="99"/>
    <w:unhideWhenUsed/>
    <w:rsid w:val="005E7B4A"/>
    <w:pPr>
      <w:tabs>
        <w:tab w:val="center" w:pos="4419"/>
        <w:tab w:val="right" w:pos="8838"/>
      </w:tabs>
    </w:pPr>
  </w:style>
  <w:style w:type="character" w:customStyle="1" w:styleId="EncabezadoCar">
    <w:name w:val="Encabezado Car"/>
    <w:link w:val="Encabezado"/>
    <w:uiPriority w:val="99"/>
    <w:rsid w:val="005E7B4A"/>
    <w:rPr>
      <w:sz w:val="22"/>
      <w:szCs w:val="22"/>
      <w:lang w:eastAsia="en-US"/>
    </w:rPr>
  </w:style>
  <w:style w:type="paragraph" w:styleId="Piedepgina">
    <w:name w:val="footer"/>
    <w:basedOn w:val="Normal"/>
    <w:link w:val="PiedepginaCar"/>
    <w:uiPriority w:val="99"/>
    <w:unhideWhenUsed/>
    <w:rsid w:val="005E7B4A"/>
    <w:pPr>
      <w:tabs>
        <w:tab w:val="center" w:pos="4419"/>
        <w:tab w:val="right" w:pos="8838"/>
      </w:tabs>
    </w:pPr>
  </w:style>
  <w:style w:type="character" w:customStyle="1" w:styleId="PiedepginaCar">
    <w:name w:val="Pie de página Car"/>
    <w:link w:val="Piedepgina"/>
    <w:uiPriority w:val="99"/>
    <w:rsid w:val="005E7B4A"/>
    <w:rPr>
      <w:sz w:val="22"/>
      <w:szCs w:val="22"/>
      <w:lang w:eastAsia="en-US"/>
    </w:rPr>
  </w:style>
  <w:style w:type="paragraph" w:styleId="Textonotapie">
    <w:name w:val="footnote text"/>
    <w:aliases w:val="Texto nota pie Car Car,Texto nota pie Car1,Footnote Text Char Char Char Char Char,Footnote Text Char Char Char Char,Footnote reference,FA Fu,Footnote Text Cha,Footnote Text Char Char Char,FA Fußnotentext,FA Fuﬂnotentext,FA Fu Car Car,FA "/>
    <w:basedOn w:val="Normal"/>
    <w:link w:val="TextonotapieCar"/>
    <w:unhideWhenUsed/>
    <w:qFormat/>
    <w:rsid w:val="00414B03"/>
    <w:pPr>
      <w:spacing w:after="200" w:line="276" w:lineRule="auto"/>
    </w:pPr>
    <w:rPr>
      <w:sz w:val="20"/>
      <w:szCs w:val="20"/>
    </w:rPr>
  </w:style>
  <w:style w:type="character" w:customStyle="1" w:styleId="TextonotapieCar">
    <w:name w:val="Texto nota pie Car"/>
    <w:aliases w:val="Texto nota pie Car Car Car,Texto nota pie Car1 Car,Footnote Text Char Char Char Char Char Car,Footnote Text Char Char Char Char Car,Footnote reference Car,FA Fu Car,Footnote Text Cha Car,Footnote Text Char Char Char Car,FA  Car"/>
    <w:link w:val="Textonotapie"/>
    <w:qFormat/>
    <w:rsid w:val="00414B03"/>
    <w:rPr>
      <w:lang w:eastAsia="en-US"/>
    </w:rPr>
  </w:style>
  <w:style w:type="character" w:styleId="Hipervnculo">
    <w:name w:val="Hyperlink"/>
    <w:uiPriority w:val="99"/>
    <w:unhideWhenUsed/>
    <w:rsid w:val="00A3534A"/>
    <w:rPr>
      <w:color w:val="0000FF"/>
      <w:u w:val="single"/>
    </w:rPr>
  </w:style>
  <w:style w:type="table" w:styleId="Tablaconcuadrcula">
    <w:name w:val="Table Grid"/>
    <w:basedOn w:val="Tablanormal"/>
    <w:uiPriority w:val="39"/>
    <w:rsid w:val="00A342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307A2"/>
    <w:rPr>
      <w:lang w:val="es-ES"/>
    </w:rPr>
  </w:style>
  <w:style w:type="paragraph" w:styleId="Sangra2detindependiente">
    <w:name w:val="Body Text Indent 2"/>
    <w:basedOn w:val="Normal"/>
    <w:link w:val="Sangra2detindependienteCar"/>
    <w:uiPriority w:val="99"/>
    <w:semiHidden/>
    <w:unhideWhenUsed/>
    <w:rsid w:val="00D76389"/>
    <w:pPr>
      <w:spacing w:after="120" w:line="480" w:lineRule="auto"/>
      <w:ind w:left="283"/>
    </w:pPr>
  </w:style>
  <w:style w:type="character" w:customStyle="1" w:styleId="Sangra2detindependienteCar">
    <w:name w:val="Sangría 2 de t. independiente Car"/>
    <w:link w:val="Sangra2detindependiente"/>
    <w:uiPriority w:val="99"/>
    <w:semiHidden/>
    <w:rsid w:val="00D76389"/>
    <w:rPr>
      <w:sz w:val="22"/>
      <w:szCs w:val="22"/>
      <w:lang w:eastAsia="en-US"/>
    </w:rPr>
  </w:style>
  <w:style w:type="character" w:customStyle="1" w:styleId="apple-converted-space">
    <w:name w:val="apple-converted-space"/>
    <w:rsid w:val="00922451"/>
  </w:style>
  <w:style w:type="paragraph" w:customStyle="1" w:styleId="Sinespaciado1">
    <w:name w:val="Sin espaciado1"/>
    <w:link w:val="NoSpacingChar"/>
    <w:qFormat/>
    <w:rsid w:val="00661291"/>
    <w:rPr>
      <w:rFonts w:eastAsia="Times New Roman"/>
      <w:sz w:val="22"/>
      <w:szCs w:val="22"/>
      <w:lang w:val="es-CO" w:eastAsia="en-US" w:bidi="es-ES_tradnl"/>
    </w:rPr>
  </w:style>
  <w:style w:type="paragraph" w:customStyle="1" w:styleId="Textodecu">
    <w:name w:val="Texto de cu"/>
    <w:basedOn w:val="Normal"/>
    <w:rsid w:val="00661291"/>
    <w:pPr>
      <w:spacing w:after="120" w:line="480" w:lineRule="auto"/>
    </w:pPr>
    <w:rPr>
      <w:lang w:val="es-ES_tradnl" w:bidi="es-ES_tradnl"/>
    </w:rPr>
  </w:style>
  <w:style w:type="paragraph" w:styleId="Textoindependiente3">
    <w:name w:val="Body Text 3"/>
    <w:basedOn w:val="Normal"/>
    <w:link w:val="Textoindependiente3Car"/>
    <w:uiPriority w:val="99"/>
    <w:semiHidden/>
    <w:unhideWhenUsed/>
    <w:rsid w:val="001569DB"/>
    <w:pPr>
      <w:spacing w:after="120"/>
    </w:pPr>
    <w:rPr>
      <w:sz w:val="16"/>
      <w:szCs w:val="16"/>
    </w:rPr>
  </w:style>
  <w:style w:type="character" w:customStyle="1" w:styleId="Textoindependiente3Car">
    <w:name w:val="Texto independiente 3 Car"/>
    <w:link w:val="Textoindependiente3"/>
    <w:uiPriority w:val="99"/>
    <w:semiHidden/>
    <w:rsid w:val="001569DB"/>
    <w:rPr>
      <w:sz w:val="16"/>
      <w:szCs w:val="16"/>
      <w:lang w:eastAsia="en-US"/>
    </w:rPr>
  </w:style>
  <w:style w:type="paragraph" w:styleId="Sangra3detindependiente">
    <w:name w:val="Body Text Indent 3"/>
    <w:basedOn w:val="Normal"/>
    <w:link w:val="Sangra3detindependienteCar"/>
    <w:uiPriority w:val="99"/>
    <w:unhideWhenUsed/>
    <w:rsid w:val="002D02A7"/>
    <w:pPr>
      <w:spacing w:after="120" w:line="276" w:lineRule="auto"/>
      <w:ind w:left="283"/>
    </w:pPr>
    <w:rPr>
      <w:sz w:val="16"/>
      <w:szCs w:val="16"/>
    </w:rPr>
  </w:style>
  <w:style w:type="character" w:customStyle="1" w:styleId="Sangra3detindependienteCar">
    <w:name w:val="Sangría 3 de t. independiente Car"/>
    <w:link w:val="Sangra3detindependiente"/>
    <w:uiPriority w:val="99"/>
    <w:rsid w:val="002D02A7"/>
    <w:rPr>
      <w:sz w:val="16"/>
      <w:szCs w:val="16"/>
      <w:lang w:eastAsia="en-US"/>
    </w:rPr>
  </w:style>
  <w:style w:type="character" w:styleId="Refdecomentario">
    <w:name w:val="annotation reference"/>
    <w:uiPriority w:val="99"/>
    <w:semiHidden/>
    <w:unhideWhenUsed/>
    <w:rsid w:val="00FF5966"/>
    <w:rPr>
      <w:sz w:val="16"/>
      <w:szCs w:val="16"/>
    </w:rPr>
  </w:style>
  <w:style w:type="paragraph" w:styleId="Textocomentario">
    <w:name w:val="annotation text"/>
    <w:basedOn w:val="Normal"/>
    <w:link w:val="TextocomentarioCar"/>
    <w:uiPriority w:val="99"/>
    <w:semiHidden/>
    <w:unhideWhenUsed/>
    <w:rsid w:val="00FF5966"/>
    <w:rPr>
      <w:sz w:val="20"/>
      <w:szCs w:val="20"/>
    </w:rPr>
  </w:style>
  <w:style w:type="character" w:customStyle="1" w:styleId="TextocomentarioCar">
    <w:name w:val="Texto comentario Car"/>
    <w:link w:val="Textocomentario"/>
    <w:uiPriority w:val="99"/>
    <w:semiHidden/>
    <w:rsid w:val="00FF5966"/>
    <w:rPr>
      <w:lang w:val="es-CO" w:eastAsia="en-US"/>
    </w:rPr>
  </w:style>
  <w:style w:type="paragraph" w:styleId="Asuntodelcomentario">
    <w:name w:val="annotation subject"/>
    <w:basedOn w:val="Textocomentario"/>
    <w:next w:val="Textocomentario"/>
    <w:link w:val="AsuntodelcomentarioCar"/>
    <w:uiPriority w:val="99"/>
    <w:semiHidden/>
    <w:unhideWhenUsed/>
    <w:rsid w:val="00FF5966"/>
    <w:rPr>
      <w:b/>
      <w:bCs/>
    </w:rPr>
  </w:style>
  <w:style w:type="character" w:customStyle="1" w:styleId="AsuntodelcomentarioCar">
    <w:name w:val="Asunto del comentario Car"/>
    <w:link w:val="Asuntodelcomentario"/>
    <w:uiPriority w:val="99"/>
    <w:semiHidden/>
    <w:rsid w:val="00FF5966"/>
    <w:rPr>
      <w:b/>
      <w:bCs/>
      <w:lang w:val="es-CO" w:eastAsia="en-US"/>
    </w:rPr>
  </w:style>
  <w:style w:type="paragraph" w:styleId="Textodeglobo">
    <w:name w:val="Balloon Text"/>
    <w:basedOn w:val="Normal"/>
    <w:link w:val="TextodegloboCar"/>
    <w:uiPriority w:val="99"/>
    <w:semiHidden/>
    <w:unhideWhenUsed/>
    <w:rsid w:val="00FF5966"/>
    <w:rPr>
      <w:rFonts w:ascii="Segoe UI" w:hAnsi="Segoe UI" w:cs="Segoe UI"/>
      <w:sz w:val="18"/>
      <w:szCs w:val="18"/>
    </w:rPr>
  </w:style>
  <w:style w:type="character" w:customStyle="1" w:styleId="TextodegloboCar">
    <w:name w:val="Texto de globo Car"/>
    <w:link w:val="Textodeglobo"/>
    <w:uiPriority w:val="99"/>
    <w:semiHidden/>
    <w:rsid w:val="00FF5966"/>
    <w:rPr>
      <w:rFonts w:ascii="Segoe UI" w:hAnsi="Segoe UI" w:cs="Segoe UI"/>
      <w:sz w:val="18"/>
      <w:szCs w:val="18"/>
      <w:lang w:val="es-CO" w:eastAsia="en-US"/>
    </w:rPr>
  </w:style>
  <w:style w:type="paragraph" w:customStyle="1" w:styleId="Cuadrculamedia21">
    <w:name w:val="Cuadrícula media 21"/>
    <w:uiPriority w:val="1"/>
    <w:qFormat/>
    <w:rsid w:val="0016561E"/>
    <w:rPr>
      <w:sz w:val="22"/>
      <w:szCs w:val="22"/>
      <w:lang w:val="es-ES" w:eastAsia="en-US"/>
    </w:rPr>
  </w:style>
  <w:style w:type="character" w:customStyle="1" w:styleId="NoSpacingChar">
    <w:name w:val="No Spacing Char"/>
    <w:link w:val="Sinespaciado1"/>
    <w:locked/>
    <w:rsid w:val="00B641CD"/>
    <w:rPr>
      <w:rFonts w:eastAsia="Times New Roman"/>
      <w:sz w:val="22"/>
      <w:szCs w:val="22"/>
      <w:lang w:eastAsia="en-US" w:bidi="es-ES_tradnl"/>
    </w:rPr>
  </w:style>
  <w:style w:type="character" w:customStyle="1" w:styleId="PrrafodelistaCar">
    <w:name w:val="Párrafo de lista Car"/>
    <w:aliases w:val="Colorful List - Accent 11 Car,Ha Car,List Paragraph1 Car,lp1 Car,List Paragraph2 Car,Lista vistosa - Énfasis 11 Car"/>
    <w:link w:val="Prrafodelista"/>
    <w:uiPriority w:val="34"/>
    <w:qFormat/>
    <w:locked/>
    <w:rsid w:val="004C24ED"/>
    <w:rPr>
      <w:rFonts w:ascii="Arial" w:eastAsia="Times New Roman" w:hAnsi="Arial"/>
      <w:sz w:val="24"/>
      <w:lang w:val="es-ES_tradnl" w:eastAsia="ar-SA"/>
    </w:rPr>
  </w:style>
  <w:style w:type="paragraph" w:customStyle="1" w:styleId="Textodecuerpo21">
    <w:name w:val="Texto de cuerpo 21"/>
    <w:basedOn w:val="Normal"/>
    <w:rsid w:val="00F420DD"/>
    <w:pPr>
      <w:widowControl w:val="0"/>
      <w:overflowPunct w:val="0"/>
      <w:autoSpaceDE w:val="0"/>
      <w:autoSpaceDN w:val="0"/>
      <w:adjustRightInd w:val="0"/>
      <w:spacing w:line="360" w:lineRule="auto"/>
      <w:ind w:right="851"/>
      <w:jc w:val="both"/>
      <w:textAlignment w:val="baseline"/>
    </w:pPr>
    <w:rPr>
      <w:rFonts w:ascii="Arial" w:hAnsi="Arial"/>
      <w:sz w:val="28"/>
      <w:szCs w:val="20"/>
      <w:lang w:val="es-ES_tradnl" w:eastAsia="es-ES"/>
    </w:rPr>
  </w:style>
  <w:style w:type="paragraph" w:styleId="Revisin">
    <w:name w:val="Revision"/>
    <w:hidden/>
    <w:uiPriority w:val="99"/>
    <w:semiHidden/>
    <w:rsid w:val="00354D34"/>
    <w:rPr>
      <w:rFonts w:ascii="Times New Roman" w:eastAsia="Times New Roman" w:hAnsi="Times New Roman"/>
      <w:sz w:val="24"/>
      <w:szCs w:val="24"/>
      <w:lang w:val="es-CO" w:eastAsia="es-ES_tradnl"/>
    </w:rPr>
  </w:style>
  <w:style w:type="character" w:customStyle="1" w:styleId="Mencinsinresolver1">
    <w:name w:val="Mención sin resolver1"/>
    <w:uiPriority w:val="99"/>
    <w:semiHidden/>
    <w:unhideWhenUsed/>
    <w:rsid w:val="00B808D6"/>
    <w:rPr>
      <w:color w:val="605E5C"/>
      <w:shd w:val="clear" w:color="auto" w:fill="E1DFDD"/>
    </w:rPr>
  </w:style>
  <w:style w:type="character" w:styleId="Textoennegrita">
    <w:name w:val="Strong"/>
    <w:uiPriority w:val="22"/>
    <w:qFormat/>
    <w:rsid w:val="003B5CDA"/>
    <w:rPr>
      <w:b/>
      <w:bCs/>
    </w:rPr>
  </w:style>
  <w:style w:type="paragraph" w:customStyle="1" w:styleId="Textoindependiente21">
    <w:name w:val="Texto independiente 21"/>
    <w:basedOn w:val="Normal"/>
    <w:qFormat/>
    <w:rsid w:val="001B1A10"/>
    <w:pPr>
      <w:overflowPunct w:val="0"/>
      <w:autoSpaceDE w:val="0"/>
      <w:autoSpaceDN w:val="0"/>
      <w:adjustRightInd w:val="0"/>
      <w:spacing w:after="120"/>
      <w:ind w:left="283"/>
    </w:pPr>
    <w:rPr>
      <w:rFonts w:ascii="Arial" w:hAnsi="Arial"/>
      <w:sz w:val="16"/>
      <w:szCs w:val="20"/>
      <w:lang w:val="es-ES_tradnl" w:eastAsia="es-ES"/>
    </w:rPr>
  </w:style>
  <w:style w:type="character" w:customStyle="1" w:styleId="normaltextrun">
    <w:name w:val="normaltextrun"/>
    <w:basedOn w:val="Fuentedeprrafopredeter"/>
    <w:rsid w:val="006A5071"/>
  </w:style>
  <w:style w:type="character" w:customStyle="1" w:styleId="eop">
    <w:name w:val="eop"/>
    <w:basedOn w:val="Fuentedeprrafopredeter"/>
    <w:rsid w:val="001A2B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145334">
      <w:bodyDiv w:val="1"/>
      <w:marLeft w:val="0"/>
      <w:marRight w:val="0"/>
      <w:marTop w:val="0"/>
      <w:marBottom w:val="0"/>
      <w:divBdr>
        <w:top w:val="none" w:sz="0" w:space="0" w:color="auto"/>
        <w:left w:val="none" w:sz="0" w:space="0" w:color="auto"/>
        <w:bottom w:val="none" w:sz="0" w:space="0" w:color="auto"/>
        <w:right w:val="none" w:sz="0" w:space="0" w:color="auto"/>
      </w:divBdr>
    </w:div>
    <w:div w:id="73823890">
      <w:bodyDiv w:val="1"/>
      <w:marLeft w:val="0"/>
      <w:marRight w:val="0"/>
      <w:marTop w:val="0"/>
      <w:marBottom w:val="0"/>
      <w:divBdr>
        <w:top w:val="none" w:sz="0" w:space="0" w:color="auto"/>
        <w:left w:val="none" w:sz="0" w:space="0" w:color="auto"/>
        <w:bottom w:val="none" w:sz="0" w:space="0" w:color="auto"/>
        <w:right w:val="none" w:sz="0" w:space="0" w:color="auto"/>
      </w:divBdr>
    </w:div>
    <w:div w:id="96608181">
      <w:bodyDiv w:val="1"/>
      <w:marLeft w:val="0"/>
      <w:marRight w:val="0"/>
      <w:marTop w:val="0"/>
      <w:marBottom w:val="0"/>
      <w:divBdr>
        <w:top w:val="none" w:sz="0" w:space="0" w:color="auto"/>
        <w:left w:val="none" w:sz="0" w:space="0" w:color="auto"/>
        <w:bottom w:val="none" w:sz="0" w:space="0" w:color="auto"/>
        <w:right w:val="none" w:sz="0" w:space="0" w:color="auto"/>
      </w:divBdr>
    </w:div>
    <w:div w:id="150996573">
      <w:bodyDiv w:val="1"/>
      <w:marLeft w:val="0"/>
      <w:marRight w:val="0"/>
      <w:marTop w:val="0"/>
      <w:marBottom w:val="0"/>
      <w:divBdr>
        <w:top w:val="none" w:sz="0" w:space="0" w:color="auto"/>
        <w:left w:val="none" w:sz="0" w:space="0" w:color="auto"/>
        <w:bottom w:val="none" w:sz="0" w:space="0" w:color="auto"/>
        <w:right w:val="none" w:sz="0" w:space="0" w:color="auto"/>
      </w:divBdr>
    </w:div>
    <w:div w:id="238641166">
      <w:bodyDiv w:val="1"/>
      <w:marLeft w:val="0"/>
      <w:marRight w:val="0"/>
      <w:marTop w:val="0"/>
      <w:marBottom w:val="0"/>
      <w:divBdr>
        <w:top w:val="none" w:sz="0" w:space="0" w:color="auto"/>
        <w:left w:val="none" w:sz="0" w:space="0" w:color="auto"/>
        <w:bottom w:val="none" w:sz="0" w:space="0" w:color="auto"/>
        <w:right w:val="none" w:sz="0" w:space="0" w:color="auto"/>
      </w:divBdr>
    </w:div>
    <w:div w:id="338626204">
      <w:bodyDiv w:val="1"/>
      <w:marLeft w:val="0"/>
      <w:marRight w:val="0"/>
      <w:marTop w:val="0"/>
      <w:marBottom w:val="0"/>
      <w:divBdr>
        <w:top w:val="none" w:sz="0" w:space="0" w:color="auto"/>
        <w:left w:val="none" w:sz="0" w:space="0" w:color="auto"/>
        <w:bottom w:val="none" w:sz="0" w:space="0" w:color="auto"/>
        <w:right w:val="none" w:sz="0" w:space="0" w:color="auto"/>
      </w:divBdr>
    </w:div>
    <w:div w:id="380325757">
      <w:bodyDiv w:val="1"/>
      <w:marLeft w:val="0"/>
      <w:marRight w:val="0"/>
      <w:marTop w:val="0"/>
      <w:marBottom w:val="0"/>
      <w:divBdr>
        <w:top w:val="none" w:sz="0" w:space="0" w:color="auto"/>
        <w:left w:val="none" w:sz="0" w:space="0" w:color="auto"/>
        <w:bottom w:val="none" w:sz="0" w:space="0" w:color="auto"/>
        <w:right w:val="none" w:sz="0" w:space="0" w:color="auto"/>
      </w:divBdr>
    </w:div>
    <w:div w:id="381291924">
      <w:bodyDiv w:val="1"/>
      <w:marLeft w:val="0"/>
      <w:marRight w:val="0"/>
      <w:marTop w:val="0"/>
      <w:marBottom w:val="0"/>
      <w:divBdr>
        <w:top w:val="none" w:sz="0" w:space="0" w:color="auto"/>
        <w:left w:val="none" w:sz="0" w:space="0" w:color="auto"/>
        <w:bottom w:val="none" w:sz="0" w:space="0" w:color="auto"/>
        <w:right w:val="none" w:sz="0" w:space="0" w:color="auto"/>
      </w:divBdr>
    </w:div>
    <w:div w:id="398751611">
      <w:bodyDiv w:val="1"/>
      <w:marLeft w:val="0"/>
      <w:marRight w:val="0"/>
      <w:marTop w:val="0"/>
      <w:marBottom w:val="0"/>
      <w:divBdr>
        <w:top w:val="none" w:sz="0" w:space="0" w:color="auto"/>
        <w:left w:val="none" w:sz="0" w:space="0" w:color="auto"/>
        <w:bottom w:val="none" w:sz="0" w:space="0" w:color="auto"/>
        <w:right w:val="none" w:sz="0" w:space="0" w:color="auto"/>
      </w:divBdr>
    </w:div>
    <w:div w:id="410615045">
      <w:bodyDiv w:val="1"/>
      <w:marLeft w:val="0"/>
      <w:marRight w:val="0"/>
      <w:marTop w:val="0"/>
      <w:marBottom w:val="0"/>
      <w:divBdr>
        <w:top w:val="none" w:sz="0" w:space="0" w:color="auto"/>
        <w:left w:val="none" w:sz="0" w:space="0" w:color="auto"/>
        <w:bottom w:val="none" w:sz="0" w:space="0" w:color="auto"/>
        <w:right w:val="none" w:sz="0" w:space="0" w:color="auto"/>
      </w:divBdr>
    </w:div>
    <w:div w:id="511453762">
      <w:bodyDiv w:val="1"/>
      <w:marLeft w:val="0"/>
      <w:marRight w:val="0"/>
      <w:marTop w:val="0"/>
      <w:marBottom w:val="0"/>
      <w:divBdr>
        <w:top w:val="none" w:sz="0" w:space="0" w:color="auto"/>
        <w:left w:val="none" w:sz="0" w:space="0" w:color="auto"/>
        <w:bottom w:val="none" w:sz="0" w:space="0" w:color="auto"/>
        <w:right w:val="none" w:sz="0" w:space="0" w:color="auto"/>
      </w:divBdr>
    </w:div>
    <w:div w:id="665285712">
      <w:bodyDiv w:val="1"/>
      <w:marLeft w:val="0"/>
      <w:marRight w:val="0"/>
      <w:marTop w:val="0"/>
      <w:marBottom w:val="0"/>
      <w:divBdr>
        <w:top w:val="none" w:sz="0" w:space="0" w:color="auto"/>
        <w:left w:val="none" w:sz="0" w:space="0" w:color="auto"/>
        <w:bottom w:val="none" w:sz="0" w:space="0" w:color="auto"/>
        <w:right w:val="none" w:sz="0" w:space="0" w:color="auto"/>
      </w:divBdr>
    </w:div>
    <w:div w:id="678235474">
      <w:bodyDiv w:val="1"/>
      <w:marLeft w:val="0"/>
      <w:marRight w:val="0"/>
      <w:marTop w:val="0"/>
      <w:marBottom w:val="0"/>
      <w:divBdr>
        <w:top w:val="none" w:sz="0" w:space="0" w:color="auto"/>
        <w:left w:val="none" w:sz="0" w:space="0" w:color="auto"/>
        <w:bottom w:val="none" w:sz="0" w:space="0" w:color="auto"/>
        <w:right w:val="none" w:sz="0" w:space="0" w:color="auto"/>
      </w:divBdr>
    </w:div>
    <w:div w:id="764693397">
      <w:bodyDiv w:val="1"/>
      <w:marLeft w:val="0"/>
      <w:marRight w:val="0"/>
      <w:marTop w:val="0"/>
      <w:marBottom w:val="0"/>
      <w:divBdr>
        <w:top w:val="none" w:sz="0" w:space="0" w:color="auto"/>
        <w:left w:val="none" w:sz="0" w:space="0" w:color="auto"/>
        <w:bottom w:val="none" w:sz="0" w:space="0" w:color="auto"/>
        <w:right w:val="none" w:sz="0" w:space="0" w:color="auto"/>
      </w:divBdr>
    </w:div>
    <w:div w:id="893274228">
      <w:bodyDiv w:val="1"/>
      <w:marLeft w:val="0"/>
      <w:marRight w:val="0"/>
      <w:marTop w:val="0"/>
      <w:marBottom w:val="0"/>
      <w:divBdr>
        <w:top w:val="none" w:sz="0" w:space="0" w:color="auto"/>
        <w:left w:val="none" w:sz="0" w:space="0" w:color="auto"/>
        <w:bottom w:val="none" w:sz="0" w:space="0" w:color="auto"/>
        <w:right w:val="none" w:sz="0" w:space="0" w:color="auto"/>
      </w:divBdr>
    </w:div>
    <w:div w:id="965358123">
      <w:bodyDiv w:val="1"/>
      <w:marLeft w:val="0"/>
      <w:marRight w:val="0"/>
      <w:marTop w:val="0"/>
      <w:marBottom w:val="0"/>
      <w:divBdr>
        <w:top w:val="none" w:sz="0" w:space="0" w:color="auto"/>
        <w:left w:val="none" w:sz="0" w:space="0" w:color="auto"/>
        <w:bottom w:val="none" w:sz="0" w:space="0" w:color="auto"/>
        <w:right w:val="none" w:sz="0" w:space="0" w:color="auto"/>
      </w:divBdr>
    </w:div>
    <w:div w:id="1105811091">
      <w:bodyDiv w:val="1"/>
      <w:marLeft w:val="0"/>
      <w:marRight w:val="0"/>
      <w:marTop w:val="0"/>
      <w:marBottom w:val="0"/>
      <w:divBdr>
        <w:top w:val="none" w:sz="0" w:space="0" w:color="auto"/>
        <w:left w:val="none" w:sz="0" w:space="0" w:color="auto"/>
        <w:bottom w:val="none" w:sz="0" w:space="0" w:color="auto"/>
        <w:right w:val="none" w:sz="0" w:space="0" w:color="auto"/>
      </w:divBdr>
    </w:div>
    <w:div w:id="1121075936">
      <w:bodyDiv w:val="1"/>
      <w:marLeft w:val="0"/>
      <w:marRight w:val="0"/>
      <w:marTop w:val="0"/>
      <w:marBottom w:val="0"/>
      <w:divBdr>
        <w:top w:val="none" w:sz="0" w:space="0" w:color="auto"/>
        <w:left w:val="none" w:sz="0" w:space="0" w:color="auto"/>
        <w:bottom w:val="none" w:sz="0" w:space="0" w:color="auto"/>
        <w:right w:val="none" w:sz="0" w:space="0" w:color="auto"/>
      </w:divBdr>
    </w:div>
    <w:div w:id="1156536535">
      <w:bodyDiv w:val="1"/>
      <w:marLeft w:val="0"/>
      <w:marRight w:val="0"/>
      <w:marTop w:val="0"/>
      <w:marBottom w:val="0"/>
      <w:divBdr>
        <w:top w:val="none" w:sz="0" w:space="0" w:color="auto"/>
        <w:left w:val="none" w:sz="0" w:space="0" w:color="auto"/>
        <w:bottom w:val="none" w:sz="0" w:space="0" w:color="auto"/>
        <w:right w:val="none" w:sz="0" w:space="0" w:color="auto"/>
      </w:divBdr>
    </w:div>
    <w:div w:id="1243753964">
      <w:bodyDiv w:val="1"/>
      <w:marLeft w:val="0"/>
      <w:marRight w:val="0"/>
      <w:marTop w:val="0"/>
      <w:marBottom w:val="0"/>
      <w:divBdr>
        <w:top w:val="none" w:sz="0" w:space="0" w:color="auto"/>
        <w:left w:val="none" w:sz="0" w:space="0" w:color="auto"/>
        <w:bottom w:val="none" w:sz="0" w:space="0" w:color="auto"/>
        <w:right w:val="none" w:sz="0" w:space="0" w:color="auto"/>
      </w:divBdr>
    </w:div>
    <w:div w:id="1363090768">
      <w:bodyDiv w:val="1"/>
      <w:marLeft w:val="0"/>
      <w:marRight w:val="0"/>
      <w:marTop w:val="0"/>
      <w:marBottom w:val="0"/>
      <w:divBdr>
        <w:top w:val="none" w:sz="0" w:space="0" w:color="auto"/>
        <w:left w:val="none" w:sz="0" w:space="0" w:color="auto"/>
        <w:bottom w:val="none" w:sz="0" w:space="0" w:color="auto"/>
        <w:right w:val="none" w:sz="0" w:space="0" w:color="auto"/>
      </w:divBdr>
    </w:div>
    <w:div w:id="1470896190">
      <w:bodyDiv w:val="1"/>
      <w:marLeft w:val="0"/>
      <w:marRight w:val="0"/>
      <w:marTop w:val="0"/>
      <w:marBottom w:val="0"/>
      <w:divBdr>
        <w:top w:val="none" w:sz="0" w:space="0" w:color="auto"/>
        <w:left w:val="none" w:sz="0" w:space="0" w:color="auto"/>
        <w:bottom w:val="none" w:sz="0" w:space="0" w:color="auto"/>
        <w:right w:val="none" w:sz="0" w:space="0" w:color="auto"/>
      </w:divBdr>
    </w:div>
    <w:div w:id="1485388911">
      <w:bodyDiv w:val="1"/>
      <w:marLeft w:val="0"/>
      <w:marRight w:val="0"/>
      <w:marTop w:val="0"/>
      <w:marBottom w:val="0"/>
      <w:divBdr>
        <w:top w:val="none" w:sz="0" w:space="0" w:color="auto"/>
        <w:left w:val="none" w:sz="0" w:space="0" w:color="auto"/>
        <w:bottom w:val="none" w:sz="0" w:space="0" w:color="auto"/>
        <w:right w:val="none" w:sz="0" w:space="0" w:color="auto"/>
      </w:divBdr>
    </w:div>
    <w:div w:id="1520969119">
      <w:bodyDiv w:val="1"/>
      <w:marLeft w:val="0"/>
      <w:marRight w:val="0"/>
      <w:marTop w:val="0"/>
      <w:marBottom w:val="0"/>
      <w:divBdr>
        <w:top w:val="none" w:sz="0" w:space="0" w:color="auto"/>
        <w:left w:val="none" w:sz="0" w:space="0" w:color="auto"/>
        <w:bottom w:val="none" w:sz="0" w:space="0" w:color="auto"/>
        <w:right w:val="none" w:sz="0" w:space="0" w:color="auto"/>
      </w:divBdr>
    </w:div>
    <w:div w:id="176365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a0f1219-a438-4924-b71a-3e41fc7be27a">
      <Terms xmlns="http://schemas.microsoft.com/office/infopath/2007/PartnerControls"/>
    </lcf76f155ced4ddcb4097134ff3c332f>
    <TaxCatchAll xmlns="702ffa33-a583-4c97-92f9-a8023697160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48037E2CDFE3E48843562D05F00C632" ma:contentTypeVersion="14" ma:contentTypeDescription="Crear nuevo documento." ma:contentTypeScope="" ma:versionID="cdfaa882954c02eafd0d78d7ed61df39">
  <xsd:schema xmlns:xsd="http://www.w3.org/2001/XMLSchema" xmlns:xs="http://www.w3.org/2001/XMLSchema" xmlns:p="http://schemas.microsoft.com/office/2006/metadata/properties" xmlns:ns2="5a0f1219-a438-4924-b71a-3e41fc7be27a" xmlns:ns3="702ffa33-a583-4c97-92f9-a8023697160b" targetNamespace="http://schemas.microsoft.com/office/2006/metadata/properties" ma:root="true" ma:fieldsID="e3b080075709c48bdd377e25ee0910dd" ns2:_="" ns3:_="">
    <xsd:import namespace="5a0f1219-a438-4924-b71a-3e41fc7be27a"/>
    <xsd:import namespace="702ffa33-a583-4c97-92f9-a8023697160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0f1219-a438-4924-b71a-3e41fc7be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2ffa33-a583-4c97-92f9-a8023697160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41c78286-0bdc-44f5-95fe-0926473cf93c}" ma:internalName="TaxCatchAll" ma:showField="CatchAllData" ma:web="702ffa33-a583-4c97-92f9-a802369716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71734-78E5-4CD5-BB3A-F5F2B01C0DF6}">
  <ds:schemaRefs>
    <ds:schemaRef ds:uri="http://schemas.microsoft.com/office/2006/metadata/properties"/>
    <ds:schemaRef ds:uri="http://schemas.microsoft.com/office/infopath/2007/PartnerControls"/>
    <ds:schemaRef ds:uri="5a0f1219-a438-4924-b71a-3e41fc7be27a"/>
    <ds:schemaRef ds:uri="702ffa33-a583-4c97-92f9-a8023697160b"/>
  </ds:schemaRefs>
</ds:datastoreItem>
</file>

<file path=customXml/itemProps2.xml><?xml version="1.0" encoding="utf-8"?>
<ds:datastoreItem xmlns:ds="http://schemas.openxmlformats.org/officeDocument/2006/customXml" ds:itemID="{179E4B96-9F02-44F2-9DED-0360C3BCB1CF}">
  <ds:schemaRefs>
    <ds:schemaRef ds:uri="http://schemas.microsoft.com/sharepoint/v3/contenttype/forms"/>
  </ds:schemaRefs>
</ds:datastoreItem>
</file>

<file path=customXml/itemProps3.xml><?xml version="1.0" encoding="utf-8"?>
<ds:datastoreItem xmlns:ds="http://schemas.openxmlformats.org/officeDocument/2006/customXml" ds:itemID="{A14DF23C-ECA7-4382-9DEA-F4B23FCA2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0f1219-a438-4924-b71a-3e41fc7be27a"/>
    <ds:schemaRef ds:uri="702ffa33-a583-4c97-92f9-a80236971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477057-9ABC-49C5-993F-4D7EBB9A6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4699</Words>
  <Characters>25846</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30485</CharactersWithSpaces>
  <SharedDoc>false</SharedDoc>
  <HLinks>
    <vt:vector size="6" baseType="variant">
      <vt:variant>
        <vt:i4>1572964</vt:i4>
      </vt:variant>
      <vt:variant>
        <vt:i4>0</vt:i4>
      </vt:variant>
      <vt:variant>
        <vt:i4>0</vt:i4>
      </vt:variant>
      <vt:variant>
        <vt:i4>5</vt:i4>
      </vt:variant>
      <vt:variant>
        <vt:lpwstr>http://www.secretariasenado.gov.co/senado/basedoc/ley_1395_2010_pr001.html</vt:lpwstr>
      </vt:variant>
      <vt:variant>
        <vt:lpwstr>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ANDRÉS BEDOYA FLÓREZ</dc:creator>
  <cp:keywords/>
  <dc:description/>
  <cp:lastModifiedBy>Sonia Esther Jaimes Valencia</cp:lastModifiedBy>
  <cp:revision>2</cp:revision>
  <cp:lastPrinted>2020-06-12T21:41:00Z</cp:lastPrinted>
  <dcterms:created xsi:type="dcterms:W3CDTF">2023-05-05T20:16:00Z</dcterms:created>
  <dcterms:modified xsi:type="dcterms:W3CDTF">2023-05-05T20:16:00Z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0x010100C48037E2CDFE3E48843562D05F00C632</vt:lpwstr>
  </property>
</Properties>
</file>