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52CD" w14:textId="77777777" w:rsidR="00BD584C" w:rsidRPr="008D7EF0" w:rsidRDefault="00F8765E" w:rsidP="00BD584C">
      <w:pPr>
        <w:spacing w:line="240" w:lineRule="auto"/>
        <w:jc w:val="center"/>
        <w:rPr>
          <w:rFonts w:ascii="Arial" w:hAnsi="Arial" w:cs="Arial"/>
          <w:b/>
          <w:caps/>
          <w:sz w:val="24"/>
          <w:szCs w:val="24"/>
        </w:rPr>
      </w:pPr>
      <w:bookmarkStart w:id="0" w:name="_Hlk47200753"/>
      <w:r w:rsidRPr="00F8765E">
        <w:rPr>
          <w:rFonts w:ascii="Arial" w:hAnsi="Arial" w:cs="Arial"/>
          <w:b/>
          <w:sz w:val="24"/>
          <w:szCs w:val="24"/>
        </w:rPr>
        <w:t>Magistrado ponente</w:t>
      </w:r>
      <w:r w:rsidR="00BD584C" w:rsidRPr="00F8765E">
        <w:rPr>
          <w:rFonts w:ascii="Arial" w:hAnsi="Arial" w:cs="Arial"/>
          <w:b/>
          <w:caps/>
          <w:sz w:val="24"/>
          <w:szCs w:val="24"/>
        </w:rPr>
        <w:t>:</w:t>
      </w:r>
      <w:r w:rsidR="00BD584C" w:rsidRPr="008D7EF0">
        <w:rPr>
          <w:rFonts w:ascii="Arial" w:hAnsi="Arial" w:cs="Arial"/>
          <w:b/>
          <w:caps/>
          <w:sz w:val="24"/>
          <w:szCs w:val="24"/>
        </w:rPr>
        <w:t xml:space="preserve"> JAIME ENRIQUE RODRÍGUEZ NAVAS</w:t>
      </w:r>
    </w:p>
    <w:p w14:paraId="285E2ADC" w14:textId="77777777" w:rsidR="00BD584C" w:rsidRPr="008D7EF0" w:rsidRDefault="00BD584C" w:rsidP="00BD584C">
      <w:pPr>
        <w:spacing w:line="240" w:lineRule="auto"/>
        <w:contextualSpacing/>
        <w:rPr>
          <w:rFonts w:ascii="Arial" w:hAnsi="Arial" w:cs="Arial"/>
          <w:b/>
          <w:bCs/>
          <w:sz w:val="24"/>
          <w:szCs w:val="24"/>
        </w:rPr>
      </w:pPr>
    </w:p>
    <w:p w14:paraId="3F9F1017" w14:textId="58292F5C" w:rsidR="00BD584C" w:rsidRPr="00E63DEB" w:rsidRDefault="00BD584C" w:rsidP="00BD584C">
      <w:pPr>
        <w:spacing w:line="240" w:lineRule="auto"/>
        <w:contextualSpacing/>
        <w:rPr>
          <w:rFonts w:ascii="Arial" w:hAnsi="Arial" w:cs="Arial"/>
          <w:bCs/>
          <w:sz w:val="24"/>
          <w:szCs w:val="24"/>
        </w:rPr>
      </w:pPr>
      <w:r w:rsidRPr="00F8765E">
        <w:rPr>
          <w:rFonts w:ascii="Arial" w:hAnsi="Arial" w:cs="Arial"/>
          <w:b/>
          <w:bCs/>
          <w:sz w:val="24"/>
          <w:szCs w:val="24"/>
        </w:rPr>
        <w:t xml:space="preserve">Bogotá D.C., </w:t>
      </w:r>
      <w:r w:rsidR="00954FBF" w:rsidRPr="00F8765E">
        <w:rPr>
          <w:rFonts w:ascii="Arial" w:hAnsi="Arial" w:cs="Arial"/>
          <w:b/>
          <w:bCs/>
          <w:sz w:val="24"/>
          <w:szCs w:val="24"/>
        </w:rPr>
        <w:t>cinco (</w:t>
      </w:r>
      <w:r w:rsidR="007725A6">
        <w:rPr>
          <w:rFonts w:ascii="Arial" w:hAnsi="Arial" w:cs="Arial"/>
          <w:b/>
          <w:bCs/>
          <w:sz w:val="24"/>
          <w:szCs w:val="24"/>
        </w:rPr>
        <w:t>0</w:t>
      </w:r>
      <w:r w:rsidR="00954FBF" w:rsidRPr="00F8765E">
        <w:rPr>
          <w:rFonts w:ascii="Arial" w:hAnsi="Arial" w:cs="Arial"/>
          <w:b/>
          <w:bCs/>
          <w:sz w:val="24"/>
          <w:szCs w:val="24"/>
        </w:rPr>
        <w:t>5) de mayo de dos mil veintitrés (2023)</w:t>
      </w:r>
      <w:r w:rsidR="00F8765E">
        <w:rPr>
          <w:rFonts w:ascii="Arial" w:hAnsi="Arial" w:cs="Arial"/>
          <w:b/>
          <w:bCs/>
          <w:sz w:val="24"/>
          <w:szCs w:val="24"/>
        </w:rPr>
        <w:t xml:space="preserve">. </w:t>
      </w:r>
    </w:p>
    <w:p w14:paraId="543917D9" w14:textId="77777777" w:rsidR="00BD584C" w:rsidRPr="008D7EF0" w:rsidRDefault="00BD584C" w:rsidP="00BD584C">
      <w:pPr>
        <w:spacing w:line="240" w:lineRule="auto"/>
        <w:ind w:left="1985" w:hanging="1985"/>
        <w:contextualSpacing/>
        <w:rPr>
          <w:rFonts w:ascii="Arial" w:hAnsi="Arial" w:cs="Arial"/>
          <w:b/>
          <w:sz w:val="24"/>
          <w:szCs w:val="24"/>
        </w:rPr>
      </w:pPr>
    </w:p>
    <w:p w14:paraId="2D54C357" w14:textId="6EA5E306" w:rsidR="00BD584C" w:rsidRDefault="00BD584C" w:rsidP="00BD584C">
      <w:pPr>
        <w:tabs>
          <w:tab w:val="left" w:pos="1985"/>
        </w:tabs>
        <w:spacing w:after="0" w:line="240" w:lineRule="auto"/>
        <w:rPr>
          <w:rFonts w:ascii="Arial" w:hAnsi="Arial" w:cs="Arial"/>
          <w:bCs/>
          <w:sz w:val="24"/>
          <w:szCs w:val="24"/>
        </w:rPr>
      </w:pPr>
      <w:r w:rsidRPr="008D7EF0">
        <w:rPr>
          <w:rFonts w:ascii="Arial" w:hAnsi="Arial" w:cs="Arial"/>
          <w:b/>
          <w:sz w:val="24"/>
          <w:szCs w:val="24"/>
          <w:lang w:val="es-ES"/>
        </w:rPr>
        <w:t>Radica</w:t>
      </w:r>
      <w:r w:rsidR="00F8765E">
        <w:rPr>
          <w:rFonts w:ascii="Arial" w:hAnsi="Arial" w:cs="Arial"/>
          <w:b/>
          <w:sz w:val="24"/>
          <w:szCs w:val="24"/>
          <w:lang w:val="es-ES"/>
        </w:rPr>
        <w:t>do número</w:t>
      </w:r>
      <w:r w:rsidRPr="008D7EF0">
        <w:rPr>
          <w:rFonts w:ascii="Arial" w:hAnsi="Arial" w:cs="Arial"/>
          <w:b/>
          <w:sz w:val="24"/>
          <w:szCs w:val="24"/>
          <w:lang w:val="es-ES"/>
        </w:rPr>
        <w:t>:</w:t>
      </w:r>
      <w:r w:rsidRPr="008D7EF0">
        <w:rPr>
          <w:rFonts w:ascii="Arial" w:hAnsi="Arial" w:cs="Arial"/>
          <w:b/>
          <w:sz w:val="24"/>
          <w:szCs w:val="24"/>
          <w:lang w:val="es-ES"/>
        </w:rPr>
        <w:tab/>
      </w:r>
      <w:r w:rsidR="002D6CFB">
        <w:rPr>
          <w:rFonts w:ascii="Arial" w:hAnsi="Arial" w:cs="Arial"/>
          <w:b/>
          <w:sz w:val="24"/>
          <w:szCs w:val="24"/>
          <w:lang w:val="es-ES"/>
        </w:rPr>
        <w:t xml:space="preserve"> </w:t>
      </w:r>
      <w:r w:rsidR="002D6CFB">
        <w:rPr>
          <w:rFonts w:ascii="Arial" w:hAnsi="Arial" w:cs="Arial"/>
          <w:b/>
          <w:sz w:val="24"/>
          <w:szCs w:val="24"/>
          <w:lang w:val="es-ES"/>
        </w:rPr>
        <w:tab/>
      </w:r>
      <w:r w:rsidRPr="00BD584C">
        <w:rPr>
          <w:rFonts w:ascii="Arial" w:hAnsi="Arial" w:cs="Arial"/>
          <w:sz w:val="24"/>
          <w:szCs w:val="24"/>
          <w:lang w:val="es-ES"/>
        </w:rPr>
        <w:t>11001-03-15-000-2023-01263-00</w:t>
      </w:r>
      <w:r w:rsidR="007561F0">
        <w:rPr>
          <w:rFonts w:ascii="Arial" w:hAnsi="Arial" w:cs="Arial"/>
          <w:sz w:val="24"/>
          <w:szCs w:val="24"/>
          <w:lang w:val="es-ES"/>
        </w:rPr>
        <w:t>.</w:t>
      </w:r>
    </w:p>
    <w:p w14:paraId="27D69C7A" w14:textId="55261303" w:rsidR="00BD584C" w:rsidRDefault="00BD584C" w:rsidP="00BD584C">
      <w:pPr>
        <w:tabs>
          <w:tab w:val="left" w:pos="1985"/>
        </w:tabs>
        <w:spacing w:after="0" w:line="240" w:lineRule="auto"/>
        <w:ind w:left="1980" w:hanging="1980"/>
        <w:rPr>
          <w:rFonts w:ascii="Arial" w:hAnsi="Arial" w:cs="Arial"/>
          <w:sz w:val="24"/>
          <w:szCs w:val="24"/>
          <w:lang w:val="es-ES"/>
        </w:rPr>
      </w:pPr>
      <w:r w:rsidRPr="008D7EF0">
        <w:rPr>
          <w:rFonts w:ascii="Arial" w:hAnsi="Arial" w:cs="Arial"/>
          <w:b/>
          <w:sz w:val="24"/>
          <w:szCs w:val="24"/>
          <w:lang w:val="es-ES"/>
        </w:rPr>
        <w:t>Accionante:</w:t>
      </w:r>
      <w:r w:rsidRPr="008D7EF0">
        <w:rPr>
          <w:rFonts w:ascii="Arial" w:hAnsi="Arial" w:cs="Arial"/>
          <w:b/>
          <w:sz w:val="24"/>
          <w:szCs w:val="24"/>
          <w:lang w:val="es-ES"/>
        </w:rPr>
        <w:tab/>
      </w:r>
      <w:r w:rsidR="002D6CFB">
        <w:rPr>
          <w:rFonts w:ascii="Arial" w:hAnsi="Arial" w:cs="Arial"/>
          <w:b/>
          <w:sz w:val="24"/>
          <w:szCs w:val="24"/>
          <w:lang w:val="es-ES"/>
        </w:rPr>
        <w:tab/>
      </w:r>
      <w:r w:rsidR="002D6CFB">
        <w:rPr>
          <w:rFonts w:ascii="Arial" w:hAnsi="Arial" w:cs="Arial"/>
          <w:b/>
          <w:sz w:val="24"/>
          <w:szCs w:val="24"/>
          <w:lang w:val="es-ES"/>
        </w:rPr>
        <w:tab/>
      </w:r>
      <w:r w:rsidR="002D6CFB">
        <w:rPr>
          <w:rFonts w:ascii="Arial" w:hAnsi="Arial" w:cs="Arial"/>
          <w:b/>
          <w:sz w:val="24"/>
          <w:szCs w:val="24"/>
          <w:lang w:val="es-ES"/>
        </w:rPr>
        <w:tab/>
      </w:r>
      <w:r>
        <w:rPr>
          <w:rFonts w:ascii="Arial" w:hAnsi="Arial" w:cs="Arial"/>
          <w:sz w:val="24"/>
          <w:szCs w:val="24"/>
          <w:lang w:val="es-ES"/>
        </w:rPr>
        <w:t xml:space="preserve">Elkin Enrique Díaz </w:t>
      </w:r>
      <w:r w:rsidR="002D6CFB">
        <w:rPr>
          <w:rFonts w:ascii="Arial" w:hAnsi="Arial" w:cs="Arial"/>
          <w:sz w:val="24"/>
          <w:szCs w:val="24"/>
          <w:lang w:val="es-ES"/>
        </w:rPr>
        <w:t>Camacho.</w:t>
      </w:r>
    </w:p>
    <w:p w14:paraId="6F3DACD0" w14:textId="3D9415B0" w:rsidR="00BD584C" w:rsidRPr="00BD584C" w:rsidRDefault="00BD584C" w:rsidP="002D6CFB">
      <w:pPr>
        <w:tabs>
          <w:tab w:val="left" w:pos="1985"/>
        </w:tabs>
        <w:spacing w:after="0" w:line="240" w:lineRule="auto"/>
        <w:ind w:left="2832" w:hanging="2832"/>
        <w:jc w:val="both"/>
        <w:rPr>
          <w:rFonts w:ascii="Arial" w:hAnsi="Arial" w:cs="Arial"/>
          <w:sz w:val="24"/>
          <w:szCs w:val="24"/>
        </w:rPr>
      </w:pPr>
      <w:r>
        <w:rPr>
          <w:rFonts w:ascii="Arial" w:hAnsi="Arial" w:cs="Arial"/>
          <w:b/>
          <w:sz w:val="24"/>
          <w:szCs w:val="24"/>
          <w:lang w:val="es-ES"/>
        </w:rPr>
        <w:t>Vinculados:</w:t>
      </w:r>
      <w:r>
        <w:rPr>
          <w:rFonts w:ascii="Arial" w:hAnsi="Arial" w:cs="Arial"/>
          <w:sz w:val="24"/>
          <w:szCs w:val="24"/>
        </w:rPr>
        <w:tab/>
      </w:r>
      <w:r w:rsidR="002D6CFB">
        <w:rPr>
          <w:rFonts w:ascii="Arial" w:hAnsi="Arial" w:cs="Arial"/>
          <w:sz w:val="24"/>
          <w:szCs w:val="24"/>
        </w:rPr>
        <w:tab/>
      </w:r>
      <w:r w:rsidRPr="00BD584C">
        <w:rPr>
          <w:rFonts w:ascii="Arial" w:hAnsi="Arial" w:cs="Arial"/>
          <w:sz w:val="24"/>
          <w:szCs w:val="24"/>
        </w:rPr>
        <w:t>Sección Quinta del Consejo de Estado, Tribunal Administrativo de Sucre, Consejo Nacional Electoral, Registraduría Nacional del Estado Civil, Omar de Jesús Ochoa García, Nataly Strusberg Castañeda,</w:t>
      </w:r>
      <w:r w:rsidR="00E63DEB">
        <w:rPr>
          <w:rFonts w:ascii="Arial" w:hAnsi="Arial" w:cs="Arial"/>
          <w:sz w:val="24"/>
          <w:szCs w:val="24"/>
        </w:rPr>
        <w:t xml:space="preserve"> </w:t>
      </w:r>
      <w:r w:rsidRPr="00BD584C">
        <w:rPr>
          <w:rFonts w:ascii="Arial" w:hAnsi="Arial" w:cs="Arial"/>
          <w:sz w:val="24"/>
          <w:szCs w:val="24"/>
        </w:rPr>
        <w:t>Andrés Eduardo Gómez Martínez</w:t>
      </w:r>
      <w:r w:rsidR="00E63DEB">
        <w:rPr>
          <w:rFonts w:ascii="Arial" w:hAnsi="Arial" w:cs="Arial"/>
          <w:sz w:val="24"/>
          <w:szCs w:val="24"/>
        </w:rPr>
        <w:t xml:space="preserve">, Álvaro Contreras Otero, Jhon Turizo Hernández, y partidos Cambio Radical, Conservador, Centro Democrático y Social de la Unidad Nacional -partido de la U-. </w:t>
      </w:r>
    </w:p>
    <w:p w14:paraId="2C1BA61E" w14:textId="21950BF6" w:rsidR="00BD584C" w:rsidRDefault="00BD584C" w:rsidP="002D6CFB">
      <w:pPr>
        <w:tabs>
          <w:tab w:val="left" w:pos="1985"/>
        </w:tabs>
        <w:spacing w:line="240" w:lineRule="auto"/>
        <w:ind w:left="2832" w:hanging="2832"/>
        <w:jc w:val="both"/>
        <w:rPr>
          <w:rFonts w:ascii="Arial" w:hAnsi="Arial" w:cs="Arial"/>
          <w:sz w:val="24"/>
          <w:szCs w:val="24"/>
          <w:lang w:val="es-ES"/>
        </w:rPr>
      </w:pPr>
      <w:r w:rsidRPr="00BD584C">
        <w:rPr>
          <w:rFonts w:ascii="Arial" w:hAnsi="Arial" w:cs="Arial"/>
          <w:b/>
          <w:sz w:val="24"/>
          <w:szCs w:val="24"/>
          <w:lang w:val="es-ES"/>
        </w:rPr>
        <w:t>Accionado:</w:t>
      </w:r>
      <w:r w:rsidRPr="00BD584C">
        <w:rPr>
          <w:rFonts w:ascii="Arial" w:hAnsi="Arial" w:cs="Arial"/>
          <w:b/>
          <w:sz w:val="24"/>
          <w:szCs w:val="24"/>
          <w:lang w:val="es-ES"/>
        </w:rPr>
        <w:tab/>
      </w:r>
      <w:r w:rsidR="002D6CFB">
        <w:rPr>
          <w:rFonts w:ascii="Arial" w:hAnsi="Arial" w:cs="Arial"/>
          <w:b/>
          <w:sz w:val="24"/>
          <w:szCs w:val="24"/>
          <w:lang w:val="es-ES"/>
        </w:rPr>
        <w:tab/>
      </w:r>
      <w:r w:rsidRPr="009C2219">
        <w:rPr>
          <w:rFonts w:ascii="Arial" w:hAnsi="Arial" w:cs="Arial"/>
          <w:sz w:val="24"/>
          <w:szCs w:val="24"/>
          <w:lang w:val="es-ES"/>
        </w:rPr>
        <w:t>Consejo de Estado – Secciones Primera y Segunda-Subsección B.</w:t>
      </w:r>
      <w:r w:rsidR="00E63DEB">
        <w:rPr>
          <w:rFonts w:ascii="Arial" w:hAnsi="Arial" w:cs="Arial"/>
          <w:sz w:val="24"/>
          <w:szCs w:val="24"/>
          <w:lang w:val="es-ES"/>
        </w:rPr>
        <w:t xml:space="preserve"> </w:t>
      </w:r>
    </w:p>
    <w:p w14:paraId="681B0951" w14:textId="50C47829" w:rsidR="0045122F" w:rsidRDefault="00F8765E" w:rsidP="0045122F">
      <w:pPr>
        <w:tabs>
          <w:tab w:val="left" w:pos="1985"/>
        </w:tabs>
        <w:spacing w:line="240" w:lineRule="auto"/>
        <w:ind w:left="1980" w:hanging="1980"/>
        <w:jc w:val="both"/>
        <w:rPr>
          <w:rFonts w:eastAsia="Times New Roman"/>
          <w:color w:val="0D0D0D"/>
          <w:spacing w:val="-3"/>
          <w:sz w:val="24"/>
          <w:szCs w:val="24"/>
          <w:lang w:eastAsia="zh-CN"/>
        </w:rPr>
      </w:pPr>
      <w:r>
        <w:rPr>
          <w:rFonts w:ascii="Arial" w:hAnsi="Arial" w:cs="Arial"/>
          <w:b/>
          <w:sz w:val="24"/>
          <w:szCs w:val="24"/>
          <w:lang w:val="es-ES"/>
        </w:rPr>
        <w:t>Referencia:</w:t>
      </w:r>
      <w:r>
        <w:rPr>
          <w:rFonts w:eastAsia="Times New Roman"/>
          <w:color w:val="0D0D0D"/>
          <w:spacing w:val="-3"/>
          <w:sz w:val="24"/>
          <w:szCs w:val="24"/>
          <w:lang w:eastAsia="zh-CN"/>
        </w:rPr>
        <w:t xml:space="preserve"> </w:t>
      </w:r>
      <w:r>
        <w:rPr>
          <w:rFonts w:eastAsia="Times New Roman"/>
          <w:color w:val="0D0D0D"/>
          <w:spacing w:val="-3"/>
          <w:sz w:val="24"/>
          <w:szCs w:val="24"/>
          <w:lang w:eastAsia="zh-CN"/>
        </w:rPr>
        <w:tab/>
      </w:r>
      <w:r w:rsidR="002D6CFB">
        <w:rPr>
          <w:rFonts w:eastAsia="Times New Roman"/>
          <w:color w:val="0D0D0D"/>
          <w:spacing w:val="-3"/>
          <w:sz w:val="24"/>
          <w:szCs w:val="24"/>
          <w:lang w:eastAsia="zh-CN"/>
        </w:rPr>
        <w:tab/>
      </w:r>
      <w:r w:rsidR="002D6CFB">
        <w:rPr>
          <w:rFonts w:eastAsia="Times New Roman"/>
          <w:color w:val="0D0D0D"/>
          <w:spacing w:val="-3"/>
          <w:sz w:val="24"/>
          <w:szCs w:val="24"/>
          <w:lang w:eastAsia="zh-CN"/>
        </w:rPr>
        <w:tab/>
      </w:r>
      <w:r w:rsidR="002D6CFB">
        <w:rPr>
          <w:rFonts w:eastAsia="Times New Roman"/>
          <w:color w:val="0D0D0D"/>
          <w:spacing w:val="-3"/>
          <w:sz w:val="24"/>
          <w:szCs w:val="24"/>
          <w:lang w:eastAsia="zh-CN"/>
        </w:rPr>
        <w:tab/>
      </w:r>
      <w:r w:rsidRPr="00F8765E">
        <w:rPr>
          <w:rFonts w:ascii="Arial" w:eastAsia="Times New Roman" w:hAnsi="Arial" w:cs="Arial"/>
          <w:color w:val="0D0D0D"/>
          <w:spacing w:val="-3"/>
          <w:sz w:val="24"/>
          <w:szCs w:val="24"/>
          <w:lang w:eastAsia="zh-CN"/>
        </w:rPr>
        <w:t>Acción de tutela.</w:t>
      </w:r>
      <w:r>
        <w:rPr>
          <w:rFonts w:eastAsia="Times New Roman"/>
          <w:color w:val="0D0D0D"/>
          <w:spacing w:val="-3"/>
          <w:sz w:val="24"/>
          <w:szCs w:val="24"/>
          <w:lang w:eastAsia="zh-CN"/>
        </w:rPr>
        <w:t xml:space="preserve"> </w:t>
      </w:r>
    </w:p>
    <w:p w14:paraId="43FA7836" w14:textId="28E3E4B4" w:rsidR="0045122F" w:rsidRPr="0045122F" w:rsidRDefault="0045122F" w:rsidP="0045122F">
      <w:pPr>
        <w:tabs>
          <w:tab w:val="left" w:pos="8222"/>
        </w:tabs>
        <w:spacing w:after="0" w:line="240" w:lineRule="auto"/>
        <w:ind w:right="51"/>
        <w:contextualSpacing/>
        <w:jc w:val="both"/>
        <w:rPr>
          <w:rFonts w:ascii="Arial" w:hAnsi="Arial" w:cs="Arial"/>
          <w:sz w:val="20"/>
          <w:szCs w:val="20"/>
          <w:lang w:eastAsia="es-ES_tradnl"/>
        </w:rPr>
      </w:pPr>
      <w:r w:rsidRPr="0045122F">
        <w:rPr>
          <w:rFonts w:ascii="Arial" w:hAnsi="Arial" w:cs="Arial"/>
          <w:b/>
          <w:bCs/>
          <w:sz w:val="20"/>
          <w:szCs w:val="20"/>
          <w:lang w:eastAsia="es-ES_tradnl"/>
        </w:rPr>
        <w:t>Tema:</w:t>
      </w:r>
      <w:r w:rsidRPr="0045122F">
        <w:rPr>
          <w:rFonts w:ascii="Arial" w:hAnsi="Arial" w:cs="Arial"/>
          <w:sz w:val="20"/>
          <w:szCs w:val="20"/>
          <w:lang w:eastAsia="es-ES_tradnl"/>
        </w:rPr>
        <w:t xml:space="preserve"> </w:t>
      </w:r>
      <w:r w:rsidR="00822092">
        <w:rPr>
          <w:rFonts w:ascii="Arial" w:hAnsi="Arial" w:cs="Arial"/>
          <w:sz w:val="20"/>
          <w:szCs w:val="20"/>
          <w:lang w:eastAsia="es-ES_tradnl"/>
        </w:rPr>
        <w:t>T</w:t>
      </w:r>
      <w:r w:rsidRPr="0045122F">
        <w:rPr>
          <w:rFonts w:ascii="Arial" w:hAnsi="Arial" w:cs="Arial"/>
          <w:sz w:val="20"/>
          <w:szCs w:val="20"/>
          <w:lang w:eastAsia="es-ES_tradnl"/>
        </w:rPr>
        <w:t xml:space="preserve">utela contra providencia judicial. </w:t>
      </w:r>
      <w:r>
        <w:rPr>
          <w:rFonts w:ascii="Arial" w:hAnsi="Arial" w:cs="Arial"/>
          <w:sz w:val="20"/>
          <w:szCs w:val="20"/>
          <w:lang w:eastAsia="es-ES_tradnl"/>
        </w:rPr>
        <w:t>Autos que deciden recusaciones</w:t>
      </w:r>
      <w:r w:rsidR="00E63DEB">
        <w:rPr>
          <w:rFonts w:ascii="Arial" w:hAnsi="Arial" w:cs="Arial"/>
          <w:sz w:val="20"/>
          <w:szCs w:val="20"/>
          <w:lang w:eastAsia="es-ES_tradnl"/>
        </w:rPr>
        <w:t xml:space="preserve"> contra magistrados.</w:t>
      </w:r>
      <w:r>
        <w:rPr>
          <w:rFonts w:ascii="Arial" w:hAnsi="Arial" w:cs="Arial"/>
          <w:sz w:val="20"/>
          <w:szCs w:val="20"/>
          <w:lang w:eastAsia="es-ES_tradnl"/>
        </w:rPr>
        <w:t xml:space="preserve"> </w:t>
      </w:r>
    </w:p>
    <w:p w14:paraId="23907E44" w14:textId="79E7D497" w:rsidR="0045122F" w:rsidRPr="0045122F" w:rsidRDefault="0045122F" w:rsidP="0045122F">
      <w:pPr>
        <w:tabs>
          <w:tab w:val="left" w:pos="8222"/>
        </w:tabs>
        <w:spacing w:after="0" w:line="240" w:lineRule="auto"/>
        <w:ind w:right="51"/>
        <w:contextualSpacing/>
        <w:jc w:val="both"/>
        <w:rPr>
          <w:rFonts w:ascii="Arial" w:hAnsi="Arial" w:cs="Arial"/>
          <w:sz w:val="20"/>
          <w:szCs w:val="20"/>
          <w:lang w:eastAsia="es-ES_tradnl"/>
        </w:rPr>
      </w:pPr>
      <w:r w:rsidRPr="0045122F">
        <w:rPr>
          <w:rFonts w:ascii="Arial" w:hAnsi="Arial" w:cs="Arial"/>
          <w:b/>
          <w:bCs/>
          <w:sz w:val="20"/>
          <w:szCs w:val="20"/>
          <w:lang w:eastAsia="es-ES_tradnl"/>
        </w:rPr>
        <w:t>Subtema 1:</w:t>
      </w:r>
      <w:r w:rsidRPr="0045122F">
        <w:rPr>
          <w:rFonts w:ascii="Arial" w:hAnsi="Arial" w:cs="Arial"/>
          <w:sz w:val="20"/>
          <w:szCs w:val="20"/>
          <w:lang w:eastAsia="es-ES_tradnl"/>
        </w:rPr>
        <w:t xml:space="preserve"> </w:t>
      </w:r>
      <w:r w:rsidR="00822092">
        <w:rPr>
          <w:rFonts w:ascii="Arial" w:hAnsi="Arial" w:cs="Arial"/>
          <w:sz w:val="20"/>
          <w:szCs w:val="20"/>
          <w:lang w:eastAsia="es-ES_tradnl"/>
        </w:rPr>
        <w:t>R</w:t>
      </w:r>
      <w:r>
        <w:rPr>
          <w:rFonts w:ascii="Arial" w:hAnsi="Arial" w:cs="Arial"/>
          <w:sz w:val="20"/>
          <w:szCs w:val="20"/>
          <w:lang w:eastAsia="es-ES_tradnl"/>
        </w:rPr>
        <w:t>equisitos generales de procedibilidad</w:t>
      </w:r>
      <w:r w:rsidR="00822092">
        <w:rPr>
          <w:rFonts w:ascii="Arial" w:hAnsi="Arial" w:cs="Arial"/>
          <w:sz w:val="20"/>
          <w:szCs w:val="20"/>
          <w:lang w:eastAsia="es-ES_tradnl"/>
        </w:rPr>
        <w:t>/s</w:t>
      </w:r>
      <w:r>
        <w:rPr>
          <w:rFonts w:ascii="Arial" w:hAnsi="Arial" w:cs="Arial"/>
          <w:sz w:val="20"/>
          <w:szCs w:val="20"/>
          <w:lang w:eastAsia="es-ES_tradnl"/>
        </w:rPr>
        <w:t>ubsidiariedad</w:t>
      </w:r>
      <w:r w:rsidR="00822092">
        <w:rPr>
          <w:rFonts w:ascii="Arial" w:hAnsi="Arial" w:cs="Arial"/>
          <w:sz w:val="20"/>
          <w:szCs w:val="20"/>
          <w:lang w:eastAsia="es-ES_tradnl"/>
        </w:rPr>
        <w:t>/a</w:t>
      </w:r>
      <w:r w:rsidR="006937DA">
        <w:rPr>
          <w:rFonts w:ascii="Arial" w:hAnsi="Arial" w:cs="Arial"/>
          <w:sz w:val="20"/>
          <w:szCs w:val="20"/>
          <w:lang w:eastAsia="es-ES_tradnl"/>
        </w:rPr>
        <w:t>cción de tutela para cesar un trámite que está en curso</w:t>
      </w:r>
      <w:r w:rsidR="00822092">
        <w:rPr>
          <w:rFonts w:ascii="Arial" w:hAnsi="Arial" w:cs="Arial"/>
          <w:sz w:val="20"/>
          <w:szCs w:val="20"/>
          <w:lang w:eastAsia="es-ES_tradnl"/>
        </w:rPr>
        <w:t>/a</w:t>
      </w:r>
      <w:r w:rsidR="00E63DEB">
        <w:rPr>
          <w:rFonts w:ascii="Arial" w:hAnsi="Arial" w:cs="Arial"/>
          <w:sz w:val="20"/>
          <w:szCs w:val="20"/>
          <w:lang w:eastAsia="es-ES_tradnl"/>
        </w:rPr>
        <w:t xml:space="preserve">usencia de demostración de un perjuicio irremediable. </w:t>
      </w:r>
    </w:p>
    <w:p w14:paraId="7948C081" w14:textId="48736499" w:rsidR="0045122F" w:rsidRPr="0045122F" w:rsidRDefault="0045122F" w:rsidP="0045122F">
      <w:pPr>
        <w:tabs>
          <w:tab w:val="left" w:pos="8222"/>
        </w:tabs>
        <w:spacing w:after="0" w:line="240" w:lineRule="auto"/>
        <w:ind w:right="51"/>
        <w:contextualSpacing/>
        <w:jc w:val="both"/>
        <w:rPr>
          <w:rFonts w:ascii="Arial" w:hAnsi="Arial" w:cs="Arial"/>
          <w:sz w:val="20"/>
          <w:szCs w:val="20"/>
          <w:lang w:eastAsia="es-ES_tradnl"/>
        </w:rPr>
      </w:pPr>
      <w:r w:rsidRPr="0045122F">
        <w:rPr>
          <w:rFonts w:ascii="Arial" w:hAnsi="Arial" w:cs="Arial"/>
          <w:b/>
          <w:bCs/>
          <w:sz w:val="20"/>
          <w:szCs w:val="20"/>
          <w:lang w:eastAsia="es-ES_tradnl"/>
        </w:rPr>
        <w:t>Subtema 2:</w:t>
      </w:r>
      <w:r w:rsidRPr="0045122F">
        <w:rPr>
          <w:rFonts w:ascii="Arial" w:hAnsi="Arial" w:cs="Arial"/>
          <w:sz w:val="20"/>
          <w:szCs w:val="20"/>
          <w:lang w:eastAsia="es-ES_tradnl"/>
        </w:rPr>
        <w:t xml:space="preserve"> </w:t>
      </w:r>
      <w:r w:rsidR="00822092">
        <w:rPr>
          <w:rFonts w:ascii="Arial" w:hAnsi="Arial" w:cs="Arial"/>
          <w:sz w:val="20"/>
          <w:szCs w:val="20"/>
          <w:lang w:eastAsia="es-ES_tradnl"/>
        </w:rPr>
        <w:t>R</w:t>
      </w:r>
      <w:r>
        <w:rPr>
          <w:rFonts w:ascii="Arial" w:hAnsi="Arial" w:cs="Arial"/>
          <w:sz w:val="20"/>
          <w:szCs w:val="20"/>
          <w:lang w:eastAsia="es-ES_tradnl"/>
        </w:rPr>
        <w:t xml:space="preserve">elevancia constitucional. </w:t>
      </w:r>
    </w:p>
    <w:p w14:paraId="6798C00A" w14:textId="4329CC70" w:rsidR="00BD584C" w:rsidRPr="00A73A26" w:rsidRDefault="00BD584C" w:rsidP="0045122F">
      <w:pPr>
        <w:contextualSpacing/>
        <w:rPr>
          <w:rFonts w:eastAsia="Times New Roman"/>
          <w:color w:val="0D0D0D"/>
          <w:spacing w:val="-3"/>
          <w:sz w:val="24"/>
          <w:szCs w:val="24"/>
          <w:lang w:eastAsia="zh-CN"/>
        </w:rPr>
      </w:pPr>
    </w:p>
    <w:p w14:paraId="6A0C27DB" w14:textId="77777777" w:rsidR="00BD584C" w:rsidRPr="008D7EF0" w:rsidRDefault="00BD584C" w:rsidP="004368FD">
      <w:pPr>
        <w:pBdr>
          <w:bottom w:val="single" w:sz="12" w:space="0" w:color="auto"/>
        </w:pBdr>
        <w:spacing w:line="240" w:lineRule="auto"/>
        <w:contextualSpacing/>
        <w:rPr>
          <w:rFonts w:ascii="Arial" w:hAnsi="Arial" w:cs="Arial"/>
          <w:b/>
          <w:sz w:val="24"/>
          <w:szCs w:val="24"/>
        </w:rPr>
      </w:pPr>
      <w:r w:rsidRPr="008D7EF0">
        <w:rPr>
          <w:rFonts w:ascii="Arial" w:hAnsi="Arial" w:cs="Arial"/>
          <w:b/>
          <w:sz w:val="24"/>
          <w:szCs w:val="24"/>
        </w:rPr>
        <w:t>SENTENCIA DE PRIMERA INSTANCIA</w:t>
      </w:r>
    </w:p>
    <w:p w14:paraId="6F61EFCC" w14:textId="77777777" w:rsidR="00BD584C" w:rsidRPr="008D7EF0" w:rsidRDefault="00BD584C" w:rsidP="00BD584C">
      <w:pPr>
        <w:spacing w:line="240" w:lineRule="auto"/>
        <w:contextualSpacing/>
        <w:rPr>
          <w:rFonts w:ascii="Arial" w:hAnsi="Arial" w:cs="Arial"/>
          <w:b/>
          <w:sz w:val="24"/>
          <w:szCs w:val="24"/>
        </w:rPr>
      </w:pPr>
      <w:r>
        <w:rPr>
          <w:rFonts w:ascii="Arial" w:hAnsi="Arial" w:cs="Arial"/>
          <w:b/>
          <w:sz w:val="24"/>
          <w:szCs w:val="24"/>
        </w:rPr>
        <w:t xml:space="preserve"> </w:t>
      </w:r>
    </w:p>
    <w:p w14:paraId="1B394CE3" w14:textId="1EFF5CAB" w:rsidR="00BD584C" w:rsidRDefault="00BD584C" w:rsidP="00BD584C">
      <w:pPr>
        <w:spacing w:line="240" w:lineRule="auto"/>
        <w:jc w:val="both"/>
        <w:rPr>
          <w:rFonts w:ascii="Arial" w:hAnsi="Arial" w:cs="Arial"/>
          <w:sz w:val="24"/>
          <w:szCs w:val="24"/>
          <w:lang w:val="es-ES"/>
        </w:rPr>
      </w:pPr>
      <w:r w:rsidRPr="008D7EF0">
        <w:rPr>
          <w:rFonts w:ascii="Arial" w:eastAsia="Verdana" w:hAnsi="Arial" w:cs="Arial"/>
          <w:sz w:val="24"/>
          <w:szCs w:val="24"/>
        </w:rPr>
        <w:t xml:space="preserve">La Sala decide la acción de tutela </w:t>
      </w:r>
      <w:r w:rsidR="00B02539">
        <w:rPr>
          <w:rFonts w:ascii="Arial" w:eastAsia="Verdana" w:hAnsi="Arial" w:cs="Arial"/>
          <w:sz w:val="24"/>
          <w:szCs w:val="24"/>
        </w:rPr>
        <w:t xml:space="preserve">que presentó </w:t>
      </w:r>
      <w:r w:rsidR="00C66AE7">
        <w:rPr>
          <w:rFonts w:ascii="Arial" w:eastAsia="Verdana" w:hAnsi="Arial" w:cs="Arial"/>
          <w:sz w:val="24"/>
          <w:szCs w:val="24"/>
        </w:rPr>
        <w:t xml:space="preserve">Elkin </w:t>
      </w:r>
      <w:r w:rsidR="00E63DEB">
        <w:rPr>
          <w:rFonts w:ascii="Arial" w:eastAsia="Verdana" w:hAnsi="Arial" w:cs="Arial"/>
          <w:sz w:val="24"/>
          <w:szCs w:val="24"/>
        </w:rPr>
        <w:t xml:space="preserve">Enrique </w:t>
      </w:r>
      <w:r w:rsidR="00C66AE7">
        <w:rPr>
          <w:rFonts w:ascii="Arial" w:eastAsia="Verdana" w:hAnsi="Arial" w:cs="Arial"/>
          <w:sz w:val="24"/>
          <w:szCs w:val="24"/>
        </w:rPr>
        <w:t xml:space="preserve">Díaz Camacho </w:t>
      </w:r>
      <w:r w:rsidRPr="008D7EF0">
        <w:rPr>
          <w:rFonts w:ascii="Arial" w:hAnsi="Arial" w:cs="Arial"/>
          <w:bCs/>
          <w:sz w:val="24"/>
          <w:szCs w:val="24"/>
        </w:rPr>
        <w:t xml:space="preserve">en contra </w:t>
      </w:r>
      <w:r w:rsidRPr="008D7EF0">
        <w:rPr>
          <w:rFonts w:ascii="Arial" w:hAnsi="Arial" w:cs="Arial"/>
          <w:sz w:val="24"/>
          <w:szCs w:val="24"/>
          <w:lang w:val="es-ES"/>
        </w:rPr>
        <w:t>de</w:t>
      </w:r>
      <w:r w:rsidR="00C66AE7">
        <w:rPr>
          <w:rFonts w:ascii="Arial" w:hAnsi="Arial" w:cs="Arial"/>
          <w:sz w:val="24"/>
          <w:szCs w:val="24"/>
          <w:lang w:val="es-ES"/>
        </w:rPr>
        <w:t xml:space="preserve"> las Secciones Primera y Segunda – Subsección B del Consejo de Estado. </w:t>
      </w:r>
    </w:p>
    <w:p w14:paraId="004769F9" w14:textId="77777777" w:rsidR="00BD584C" w:rsidRPr="008D7EF0" w:rsidRDefault="00BD584C" w:rsidP="00BD584C">
      <w:pPr>
        <w:numPr>
          <w:ilvl w:val="0"/>
          <w:numId w:val="2"/>
        </w:numPr>
        <w:spacing w:line="240" w:lineRule="auto"/>
        <w:jc w:val="center"/>
        <w:rPr>
          <w:rFonts w:ascii="Arial" w:eastAsia="Times New Roman" w:hAnsi="Arial" w:cs="Arial"/>
          <w:b/>
          <w:bCs/>
          <w:caps/>
          <w:kern w:val="32"/>
          <w:sz w:val="24"/>
          <w:szCs w:val="24"/>
        </w:rPr>
      </w:pPr>
      <w:r w:rsidRPr="008D7EF0">
        <w:rPr>
          <w:rFonts w:ascii="Arial" w:eastAsia="Times New Roman" w:hAnsi="Arial" w:cs="Arial"/>
          <w:b/>
          <w:bCs/>
          <w:caps/>
          <w:kern w:val="32"/>
          <w:sz w:val="24"/>
          <w:szCs w:val="24"/>
        </w:rPr>
        <w:t>ANTECEDENTES</w:t>
      </w:r>
    </w:p>
    <w:p w14:paraId="4EB93033" w14:textId="77777777" w:rsidR="00BD584C" w:rsidRPr="008D7EF0" w:rsidRDefault="00BD584C" w:rsidP="00BD584C">
      <w:pPr>
        <w:keepNext/>
        <w:spacing w:line="240" w:lineRule="auto"/>
        <w:outlineLvl w:val="1"/>
        <w:rPr>
          <w:rFonts w:ascii="Arial" w:eastAsia="Times New Roman" w:hAnsi="Arial" w:cs="Arial"/>
          <w:b/>
          <w:bCs/>
          <w:iCs/>
          <w:sz w:val="24"/>
          <w:szCs w:val="24"/>
          <w:lang w:eastAsia="es-ES"/>
        </w:rPr>
      </w:pPr>
      <w:r w:rsidRPr="008D7EF0">
        <w:rPr>
          <w:rFonts w:ascii="Arial" w:eastAsia="Times New Roman" w:hAnsi="Arial" w:cs="Arial"/>
          <w:b/>
          <w:bCs/>
          <w:iCs/>
          <w:sz w:val="24"/>
          <w:szCs w:val="24"/>
          <w:lang w:eastAsia="es-ES"/>
        </w:rPr>
        <w:t>1.1. Solicitud de tutela</w:t>
      </w:r>
    </w:p>
    <w:p w14:paraId="100F2137" w14:textId="42ADC898" w:rsidR="00E7197F" w:rsidRPr="005B2A1A" w:rsidRDefault="00C66AE7" w:rsidP="00BD584C">
      <w:pPr>
        <w:tabs>
          <w:tab w:val="left" w:pos="1985"/>
        </w:tabs>
        <w:spacing w:line="240" w:lineRule="auto"/>
        <w:jc w:val="both"/>
        <w:rPr>
          <w:rFonts w:ascii="Arial" w:hAnsi="Arial" w:cs="Arial"/>
          <w:bCs/>
          <w:sz w:val="24"/>
          <w:szCs w:val="24"/>
          <w:lang w:val="es-ES"/>
        </w:rPr>
      </w:pPr>
      <w:r>
        <w:rPr>
          <w:rFonts w:ascii="Arial" w:hAnsi="Arial" w:cs="Arial"/>
          <w:bCs/>
          <w:sz w:val="24"/>
          <w:szCs w:val="24"/>
          <w:lang w:val="es-ES"/>
        </w:rPr>
        <w:t>Elkin Enrique Díaz Camacho</w:t>
      </w:r>
      <w:r w:rsidR="00B02539">
        <w:rPr>
          <w:rFonts w:ascii="Arial" w:hAnsi="Arial" w:cs="Arial"/>
          <w:bCs/>
          <w:sz w:val="24"/>
          <w:szCs w:val="24"/>
          <w:lang w:val="es-ES"/>
        </w:rPr>
        <w:t xml:space="preserve"> solicitó</w:t>
      </w:r>
      <w:r w:rsidR="00425616">
        <w:rPr>
          <w:rStyle w:val="Refdenotaalpie"/>
          <w:rFonts w:ascii="Arial" w:hAnsi="Arial" w:cs="Arial"/>
          <w:bCs/>
          <w:sz w:val="24"/>
          <w:szCs w:val="24"/>
          <w:lang w:val="es-ES"/>
        </w:rPr>
        <w:footnoteReference w:id="1"/>
      </w:r>
      <w:r>
        <w:rPr>
          <w:rFonts w:ascii="Arial" w:hAnsi="Arial" w:cs="Arial"/>
          <w:bCs/>
          <w:sz w:val="24"/>
          <w:szCs w:val="24"/>
          <w:lang w:val="es-ES"/>
        </w:rPr>
        <w:t xml:space="preserve"> el amparo de </w:t>
      </w:r>
      <w:r w:rsidRPr="005B2A1A">
        <w:rPr>
          <w:rFonts w:ascii="Arial" w:hAnsi="Arial" w:cs="Arial"/>
          <w:bCs/>
          <w:sz w:val="24"/>
          <w:szCs w:val="24"/>
          <w:lang w:val="es-ES"/>
        </w:rPr>
        <w:t>sus derechos fundamentales al debido proceso, a la seguridad jurídica, a la tutela judicial efectiva y de los principios de cos</w:t>
      </w:r>
      <w:r w:rsidR="00381AB9" w:rsidRPr="005B2A1A">
        <w:rPr>
          <w:rFonts w:ascii="Arial" w:hAnsi="Arial" w:cs="Arial"/>
          <w:bCs/>
          <w:sz w:val="24"/>
          <w:szCs w:val="24"/>
          <w:lang w:val="es-ES"/>
        </w:rPr>
        <w:t>a</w:t>
      </w:r>
      <w:r w:rsidRPr="005B2A1A">
        <w:rPr>
          <w:rFonts w:ascii="Arial" w:hAnsi="Arial" w:cs="Arial"/>
          <w:bCs/>
          <w:sz w:val="24"/>
          <w:szCs w:val="24"/>
          <w:lang w:val="es-ES"/>
        </w:rPr>
        <w:t xml:space="preserve"> juzgada y confianza legítima, que consideró fueron desconocidos por las Secciones Primera y Segunda-Subsección B del Consejo de Estado, </w:t>
      </w:r>
      <w:r w:rsidR="00A30A98">
        <w:rPr>
          <w:rFonts w:ascii="Arial" w:hAnsi="Arial" w:cs="Arial"/>
          <w:bCs/>
          <w:sz w:val="24"/>
          <w:szCs w:val="24"/>
          <w:lang w:val="es-ES"/>
        </w:rPr>
        <w:t xml:space="preserve">al dictar las providencias del 1 de diciembre de 2022 y del 9 de febrero de 2023, </w:t>
      </w:r>
      <w:r w:rsidR="00F73A4B">
        <w:rPr>
          <w:rFonts w:ascii="Arial" w:hAnsi="Arial" w:cs="Arial"/>
          <w:bCs/>
          <w:sz w:val="24"/>
          <w:szCs w:val="24"/>
          <w:lang w:val="es-ES"/>
        </w:rPr>
        <w:t xml:space="preserve">dentro del </w:t>
      </w:r>
      <w:r w:rsidR="00E7197F" w:rsidRPr="005B2A1A">
        <w:rPr>
          <w:rFonts w:ascii="Arial" w:hAnsi="Arial" w:cs="Arial"/>
          <w:bCs/>
          <w:sz w:val="24"/>
          <w:szCs w:val="24"/>
          <w:lang w:val="es-ES"/>
        </w:rPr>
        <w:t xml:space="preserve">medio de control de nulidad electoral </w:t>
      </w:r>
      <w:r w:rsidR="00F81834">
        <w:rPr>
          <w:rFonts w:ascii="Arial" w:hAnsi="Arial" w:cs="Arial"/>
          <w:bCs/>
          <w:sz w:val="24"/>
          <w:szCs w:val="24"/>
          <w:lang w:val="es-ES"/>
        </w:rPr>
        <w:t xml:space="preserve">identificado </w:t>
      </w:r>
      <w:r w:rsidR="00E7197F" w:rsidRPr="005B2A1A">
        <w:rPr>
          <w:rFonts w:ascii="Arial" w:hAnsi="Arial" w:cs="Arial"/>
          <w:bCs/>
          <w:sz w:val="24"/>
          <w:szCs w:val="24"/>
          <w:lang w:val="es-ES"/>
        </w:rPr>
        <w:t xml:space="preserve">al número de radicado </w:t>
      </w:r>
      <w:r w:rsidR="005B2A1A" w:rsidRPr="005B2A1A">
        <w:rPr>
          <w:rFonts w:ascii="Arial" w:hAnsi="Arial" w:cs="Arial"/>
          <w:sz w:val="24"/>
          <w:szCs w:val="24"/>
        </w:rPr>
        <w:t>70001-23-33-000-2020-00004-03 (185-2023)</w:t>
      </w:r>
      <w:r w:rsidR="005B2A1A">
        <w:rPr>
          <w:rFonts w:ascii="Arial" w:hAnsi="Arial" w:cs="Arial"/>
          <w:sz w:val="24"/>
          <w:szCs w:val="24"/>
        </w:rPr>
        <w:t xml:space="preserve">. </w:t>
      </w:r>
    </w:p>
    <w:p w14:paraId="566D514E" w14:textId="77777777" w:rsidR="00BD584C" w:rsidRDefault="00BD584C" w:rsidP="00BD584C">
      <w:pPr>
        <w:spacing w:line="240" w:lineRule="auto"/>
        <w:contextualSpacing/>
        <w:jc w:val="both"/>
        <w:rPr>
          <w:rFonts w:ascii="Arial" w:hAnsi="Arial" w:cs="Arial"/>
          <w:b/>
          <w:spacing w:val="4"/>
          <w:sz w:val="24"/>
          <w:szCs w:val="24"/>
          <w:lang w:eastAsia="es-CO"/>
        </w:rPr>
      </w:pPr>
      <w:r>
        <w:rPr>
          <w:rFonts w:ascii="Arial" w:eastAsia="Verdana" w:hAnsi="Arial" w:cs="Arial"/>
          <w:b/>
          <w:sz w:val="24"/>
          <w:szCs w:val="24"/>
        </w:rPr>
        <w:t xml:space="preserve">1.2. </w:t>
      </w:r>
      <w:r w:rsidRPr="008D7EF0">
        <w:rPr>
          <w:rFonts w:ascii="Arial" w:hAnsi="Arial" w:cs="Arial"/>
          <w:b/>
          <w:spacing w:val="4"/>
          <w:sz w:val="24"/>
          <w:szCs w:val="24"/>
          <w:lang w:eastAsia="es-CO"/>
        </w:rPr>
        <w:t xml:space="preserve">Hechos del proceso tramitado bajo </w:t>
      </w:r>
      <w:r>
        <w:rPr>
          <w:rFonts w:ascii="Arial" w:hAnsi="Arial" w:cs="Arial"/>
          <w:b/>
          <w:spacing w:val="4"/>
          <w:sz w:val="24"/>
          <w:szCs w:val="24"/>
          <w:lang w:eastAsia="es-CO"/>
        </w:rPr>
        <w:t xml:space="preserve">el medio de control de </w:t>
      </w:r>
      <w:r w:rsidR="009D5AC7">
        <w:rPr>
          <w:rFonts w:ascii="Arial" w:hAnsi="Arial" w:cs="Arial"/>
          <w:b/>
          <w:spacing w:val="4"/>
          <w:sz w:val="24"/>
          <w:szCs w:val="24"/>
          <w:lang w:eastAsia="es-CO"/>
        </w:rPr>
        <w:t xml:space="preserve">nulidad electoral </w:t>
      </w:r>
    </w:p>
    <w:p w14:paraId="307D71B6" w14:textId="77777777" w:rsidR="00D85112" w:rsidRDefault="00D85112" w:rsidP="00D85112">
      <w:pPr>
        <w:spacing w:line="240" w:lineRule="auto"/>
        <w:contextualSpacing/>
        <w:jc w:val="both"/>
        <w:rPr>
          <w:rFonts w:ascii="Arial" w:hAnsi="Arial" w:cs="Arial"/>
          <w:b/>
          <w:spacing w:val="4"/>
          <w:sz w:val="24"/>
          <w:szCs w:val="24"/>
          <w:lang w:eastAsia="es-CO"/>
        </w:rPr>
      </w:pPr>
    </w:p>
    <w:p w14:paraId="1A17E89F" w14:textId="177F8254" w:rsidR="00BD584C" w:rsidRDefault="00D85112" w:rsidP="00A42DB4">
      <w:pPr>
        <w:spacing w:after="0"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1.2.1. </w:t>
      </w:r>
      <w:r w:rsidR="00D845A8">
        <w:rPr>
          <w:rFonts w:ascii="Arial" w:hAnsi="Arial" w:cs="Arial"/>
          <w:spacing w:val="4"/>
          <w:sz w:val="24"/>
          <w:szCs w:val="24"/>
          <w:lang w:eastAsia="es-CO"/>
        </w:rPr>
        <w:t>El hoy accionante demand</w:t>
      </w:r>
      <w:r w:rsidR="00E63DEB">
        <w:rPr>
          <w:rFonts w:ascii="Arial" w:hAnsi="Arial" w:cs="Arial"/>
          <w:spacing w:val="4"/>
          <w:sz w:val="24"/>
          <w:szCs w:val="24"/>
          <w:lang w:eastAsia="es-CO"/>
        </w:rPr>
        <w:t>ó</w:t>
      </w:r>
      <w:r w:rsidR="00D845A8">
        <w:rPr>
          <w:rFonts w:ascii="Arial" w:hAnsi="Arial" w:cs="Arial"/>
          <w:spacing w:val="4"/>
          <w:sz w:val="24"/>
          <w:szCs w:val="24"/>
          <w:lang w:eastAsia="es-CO"/>
        </w:rPr>
        <w:t xml:space="preserve"> la nulidad del acto de elección de Andrés Eduardo Gómez Martínez, como alcalde de Sincelejo.</w:t>
      </w:r>
      <w:r w:rsidR="00934886">
        <w:rPr>
          <w:rFonts w:ascii="Arial" w:hAnsi="Arial" w:cs="Arial"/>
          <w:spacing w:val="4"/>
          <w:sz w:val="24"/>
          <w:szCs w:val="24"/>
          <w:lang w:eastAsia="es-CO"/>
        </w:rPr>
        <w:t xml:space="preserve"> Como causal refirió la doble militancia. </w:t>
      </w:r>
      <w:r w:rsidR="00D845A8">
        <w:rPr>
          <w:rFonts w:ascii="Arial" w:hAnsi="Arial" w:cs="Arial"/>
          <w:spacing w:val="4"/>
          <w:sz w:val="24"/>
          <w:szCs w:val="24"/>
          <w:lang w:eastAsia="es-CO"/>
        </w:rPr>
        <w:t xml:space="preserve"> </w:t>
      </w:r>
    </w:p>
    <w:p w14:paraId="314CF8EC" w14:textId="77777777" w:rsidR="00D85112" w:rsidRDefault="00D85112" w:rsidP="00A42DB4">
      <w:pPr>
        <w:spacing w:after="0" w:line="240" w:lineRule="auto"/>
        <w:contextualSpacing/>
        <w:jc w:val="both"/>
        <w:rPr>
          <w:rFonts w:ascii="Arial" w:hAnsi="Arial" w:cs="Arial"/>
          <w:spacing w:val="4"/>
          <w:sz w:val="24"/>
          <w:szCs w:val="24"/>
          <w:lang w:eastAsia="es-CO"/>
        </w:rPr>
      </w:pPr>
    </w:p>
    <w:p w14:paraId="20D38D6B" w14:textId="27F7A00D" w:rsidR="003C7E9B" w:rsidRDefault="00D85112" w:rsidP="00A42DB4">
      <w:pPr>
        <w:spacing w:after="0"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1.2.2. </w:t>
      </w:r>
      <w:r w:rsidR="00934886">
        <w:rPr>
          <w:rFonts w:ascii="Arial" w:hAnsi="Arial" w:cs="Arial"/>
          <w:spacing w:val="4"/>
          <w:sz w:val="24"/>
          <w:szCs w:val="24"/>
          <w:lang w:eastAsia="es-CO"/>
        </w:rPr>
        <w:t>Surtido el trámite procesal correspondiente, la Sección Quinta del Consejo de Estado</w:t>
      </w:r>
      <w:r w:rsidR="00512980">
        <w:rPr>
          <w:rFonts w:ascii="Arial" w:hAnsi="Arial" w:cs="Arial"/>
          <w:spacing w:val="4"/>
          <w:sz w:val="24"/>
          <w:szCs w:val="24"/>
          <w:lang w:eastAsia="es-CO"/>
        </w:rPr>
        <w:t xml:space="preserve"> -en adelante la Sección Quinta-</w:t>
      </w:r>
      <w:r w:rsidR="00E63DEB">
        <w:rPr>
          <w:rFonts w:ascii="Arial" w:hAnsi="Arial" w:cs="Arial"/>
          <w:spacing w:val="4"/>
          <w:sz w:val="24"/>
          <w:szCs w:val="24"/>
          <w:lang w:eastAsia="es-CO"/>
        </w:rPr>
        <w:t xml:space="preserve">, </w:t>
      </w:r>
      <w:r w:rsidR="00934886">
        <w:rPr>
          <w:rFonts w:ascii="Arial" w:hAnsi="Arial" w:cs="Arial"/>
          <w:spacing w:val="4"/>
          <w:sz w:val="24"/>
          <w:szCs w:val="24"/>
          <w:lang w:eastAsia="es-CO"/>
        </w:rPr>
        <w:t>como juez de segunda instancia</w:t>
      </w:r>
      <w:r w:rsidR="00F03BF8">
        <w:rPr>
          <w:rStyle w:val="Refdenotaalpie"/>
          <w:rFonts w:ascii="Arial" w:hAnsi="Arial" w:cs="Arial"/>
          <w:spacing w:val="4"/>
          <w:sz w:val="24"/>
          <w:szCs w:val="24"/>
          <w:lang w:eastAsia="es-CO"/>
        </w:rPr>
        <w:footnoteReference w:id="2"/>
      </w:r>
      <w:r w:rsidR="00934886">
        <w:rPr>
          <w:rFonts w:ascii="Arial" w:hAnsi="Arial" w:cs="Arial"/>
          <w:spacing w:val="4"/>
          <w:sz w:val="24"/>
          <w:szCs w:val="24"/>
          <w:lang w:eastAsia="es-CO"/>
        </w:rPr>
        <w:t xml:space="preserve">, </w:t>
      </w:r>
      <w:r w:rsidR="00CE0AC8">
        <w:rPr>
          <w:rFonts w:ascii="Arial" w:hAnsi="Arial" w:cs="Arial"/>
          <w:spacing w:val="4"/>
          <w:sz w:val="24"/>
          <w:szCs w:val="24"/>
          <w:lang w:eastAsia="es-CO"/>
        </w:rPr>
        <w:t xml:space="preserve">el 22 de junio de 2022 </w:t>
      </w:r>
      <w:r w:rsidR="00934886">
        <w:rPr>
          <w:rFonts w:ascii="Arial" w:hAnsi="Arial" w:cs="Arial"/>
          <w:spacing w:val="4"/>
          <w:sz w:val="24"/>
          <w:szCs w:val="24"/>
          <w:lang w:eastAsia="es-CO"/>
        </w:rPr>
        <w:t xml:space="preserve">revocó la sentencia que negó pretensiones y en su lugar </w:t>
      </w:r>
      <w:r w:rsidR="00934886">
        <w:rPr>
          <w:rFonts w:ascii="Arial" w:hAnsi="Arial" w:cs="Arial"/>
          <w:spacing w:val="4"/>
          <w:sz w:val="24"/>
          <w:szCs w:val="24"/>
          <w:lang w:eastAsia="es-CO"/>
        </w:rPr>
        <w:lastRenderedPageBreak/>
        <w:t xml:space="preserve">declaró la nulidad del acto de elección al encontrar </w:t>
      </w:r>
      <w:r w:rsidR="00B02539">
        <w:rPr>
          <w:rFonts w:ascii="Arial" w:hAnsi="Arial" w:cs="Arial"/>
          <w:spacing w:val="4"/>
          <w:sz w:val="24"/>
          <w:szCs w:val="24"/>
          <w:lang w:eastAsia="es-CO"/>
        </w:rPr>
        <w:t xml:space="preserve">probada </w:t>
      </w:r>
      <w:r w:rsidR="00934886">
        <w:rPr>
          <w:rFonts w:ascii="Arial" w:hAnsi="Arial" w:cs="Arial"/>
          <w:spacing w:val="4"/>
          <w:sz w:val="24"/>
          <w:szCs w:val="24"/>
          <w:lang w:eastAsia="es-CO"/>
        </w:rPr>
        <w:t xml:space="preserve">la causal </w:t>
      </w:r>
      <w:r w:rsidR="00B02539">
        <w:rPr>
          <w:rFonts w:ascii="Arial" w:hAnsi="Arial" w:cs="Arial"/>
          <w:spacing w:val="4"/>
          <w:sz w:val="24"/>
          <w:szCs w:val="24"/>
          <w:lang w:eastAsia="es-CO"/>
        </w:rPr>
        <w:t xml:space="preserve">de nulidad </w:t>
      </w:r>
      <w:r w:rsidR="00934886">
        <w:rPr>
          <w:rFonts w:ascii="Arial" w:hAnsi="Arial" w:cs="Arial"/>
          <w:spacing w:val="4"/>
          <w:sz w:val="24"/>
          <w:szCs w:val="24"/>
          <w:lang w:eastAsia="es-CO"/>
        </w:rPr>
        <w:t xml:space="preserve">alegada. </w:t>
      </w:r>
    </w:p>
    <w:p w14:paraId="6EE4FD96" w14:textId="77777777" w:rsidR="0071258C" w:rsidRPr="003941FF" w:rsidRDefault="0071258C" w:rsidP="00ED3223">
      <w:pPr>
        <w:spacing w:after="0" w:line="240" w:lineRule="auto"/>
        <w:contextualSpacing/>
        <w:jc w:val="both"/>
        <w:rPr>
          <w:rFonts w:ascii="Arial" w:hAnsi="Arial" w:cs="Arial"/>
          <w:spacing w:val="4"/>
          <w:sz w:val="24"/>
          <w:szCs w:val="24"/>
          <w:lang w:eastAsia="es-CO"/>
        </w:rPr>
      </w:pPr>
    </w:p>
    <w:p w14:paraId="61E15AC7" w14:textId="7B2390C3" w:rsidR="00934886" w:rsidRDefault="00A42DB4" w:rsidP="00A42DB4">
      <w:pPr>
        <w:spacing w:after="0"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1.2.3. </w:t>
      </w:r>
      <w:r w:rsidR="00934886">
        <w:rPr>
          <w:rFonts w:ascii="Arial" w:hAnsi="Arial" w:cs="Arial"/>
          <w:spacing w:val="4"/>
          <w:sz w:val="24"/>
          <w:szCs w:val="24"/>
          <w:lang w:eastAsia="es-CO"/>
        </w:rPr>
        <w:t xml:space="preserve">Notificado el demandado Gómez Martínez de la decisión de nulidad, </w:t>
      </w:r>
      <w:r w:rsidR="004E7379">
        <w:rPr>
          <w:rFonts w:ascii="Arial" w:hAnsi="Arial" w:cs="Arial"/>
          <w:spacing w:val="4"/>
          <w:sz w:val="24"/>
          <w:szCs w:val="24"/>
          <w:lang w:eastAsia="es-CO"/>
        </w:rPr>
        <w:t xml:space="preserve">su apoderado </w:t>
      </w:r>
      <w:r w:rsidR="00934886">
        <w:rPr>
          <w:rFonts w:ascii="Arial" w:hAnsi="Arial" w:cs="Arial"/>
          <w:spacing w:val="4"/>
          <w:sz w:val="24"/>
          <w:szCs w:val="24"/>
          <w:lang w:eastAsia="es-CO"/>
        </w:rPr>
        <w:t xml:space="preserve">solicitó </w:t>
      </w:r>
      <w:r w:rsidR="004E7379">
        <w:rPr>
          <w:rFonts w:ascii="Arial" w:hAnsi="Arial" w:cs="Arial"/>
          <w:spacing w:val="4"/>
          <w:sz w:val="24"/>
          <w:szCs w:val="24"/>
          <w:lang w:eastAsia="es-CO"/>
        </w:rPr>
        <w:t xml:space="preserve">la </w:t>
      </w:r>
      <w:r w:rsidR="00934886">
        <w:rPr>
          <w:rFonts w:ascii="Arial" w:hAnsi="Arial" w:cs="Arial"/>
          <w:spacing w:val="4"/>
          <w:sz w:val="24"/>
          <w:szCs w:val="24"/>
          <w:lang w:eastAsia="es-CO"/>
        </w:rPr>
        <w:t xml:space="preserve">aclaración </w:t>
      </w:r>
      <w:r w:rsidR="004E7379">
        <w:rPr>
          <w:rFonts w:ascii="Arial" w:hAnsi="Arial" w:cs="Arial"/>
          <w:spacing w:val="4"/>
          <w:sz w:val="24"/>
          <w:szCs w:val="24"/>
          <w:lang w:eastAsia="es-CO"/>
        </w:rPr>
        <w:t>de la sentencia</w:t>
      </w:r>
      <w:r w:rsidR="007529F5">
        <w:rPr>
          <w:rStyle w:val="Refdenotaalpie"/>
          <w:rFonts w:ascii="Arial" w:hAnsi="Arial" w:cs="Arial"/>
          <w:spacing w:val="4"/>
          <w:sz w:val="24"/>
          <w:szCs w:val="24"/>
          <w:lang w:eastAsia="es-CO"/>
        </w:rPr>
        <w:footnoteReference w:id="3"/>
      </w:r>
      <w:r w:rsidR="004E7379">
        <w:rPr>
          <w:rFonts w:ascii="Arial" w:hAnsi="Arial" w:cs="Arial"/>
          <w:spacing w:val="4"/>
          <w:sz w:val="24"/>
          <w:szCs w:val="24"/>
          <w:lang w:eastAsia="es-CO"/>
        </w:rPr>
        <w:t xml:space="preserve"> </w:t>
      </w:r>
      <w:r w:rsidR="00934886">
        <w:rPr>
          <w:rFonts w:ascii="Arial" w:hAnsi="Arial" w:cs="Arial"/>
          <w:spacing w:val="4"/>
          <w:sz w:val="24"/>
          <w:szCs w:val="24"/>
          <w:lang w:eastAsia="es-CO"/>
        </w:rPr>
        <w:t>que fue negada por improcedente en auto del 19 de ju</w:t>
      </w:r>
      <w:r w:rsidR="00FA2EEF">
        <w:rPr>
          <w:rFonts w:ascii="Arial" w:hAnsi="Arial" w:cs="Arial"/>
          <w:spacing w:val="4"/>
          <w:sz w:val="24"/>
          <w:szCs w:val="24"/>
          <w:lang w:eastAsia="es-CO"/>
        </w:rPr>
        <w:t>lio</w:t>
      </w:r>
      <w:r w:rsidR="00934886">
        <w:rPr>
          <w:rFonts w:ascii="Arial" w:hAnsi="Arial" w:cs="Arial"/>
          <w:spacing w:val="4"/>
          <w:sz w:val="24"/>
          <w:szCs w:val="24"/>
          <w:lang w:eastAsia="es-CO"/>
        </w:rPr>
        <w:t xml:space="preserve"> de 2022</w:t>
      </w:r>
      <w:r w:rsidR="0036405F">
        <w:rPr>
          <w:rStyle w:val="Refdenotaalpie"/>
          <w:rFonts w:ascii="Arial" w:hAnsi="Arial" w:cs="Arial"/>
          <w:spacing w:val="4"/>
          <w:sz w:val="24"/>
          <w:szCs w:val="24"/>
          <w:lang w:eastAsia="es-CO"/>
        </w:rPr>
        <w:footnoteReference w:id="4"/>
      </w:r>
      <w:r w:rsidR="00934886">
        <w:rPr>
          <w:rFonts w:ascii="Arial" w:hAnsi="Arial" w:cs="Arial"/>
          <w:spacing w:val="4"/>
          <w:sz w:val="24"/>
          <w:szCs w:val="24"/>
          <w:lang w:eastAsia="es-CO"/>
        </w:rPr>
        <w:t xml:space="preserve">. </w:t>
      </w:r>
      <w:r w:rsidR="00BF2BBD">
        <w:rPr>
          <w:rFonts w:ascii="Arial" w:hAnsi="Arial" w:cs="Arial"/>
          <w:spacing w:val="4"/>
          <w:sz w:val="24"/>
          <w:szCs w:val="24"/>
          <w:lang w:eastAsia="es-CO"/>
        </w:rPr>
        <w:t>Igual suerte corrió la solicitud de adición que radicó el demandado</w:t>
      </w:r>
      <w:r w:rsidR="00CE0AC8">
        <w:rPr>
          <w:rFonts w:ascii="Arial" w:hAnsi="Arial" w:cs="Arial"/>
          <w:spacing w:val="4"/>
          <w:sz w:val="24"/>
          <w:szCs w:val="24"/>
          <w:lang w:eastAsia="es-CO"/>
        </w:rPr>
        <w:t xml:space="preserve"> y que en auto del </w:t>
      </w:r>
      <w:r w:rsidR="005875BC">
        <w:rPr>
          <w:rFonts w:ascii="Arial" w:hAnsi="Arial" w:cs="Arial"/>
          <w:spacing w:val="4"/>
          <w:sz w:val="24"/>
          <w:szCs w:val="24"/>
          <w:lang w:eastAsia="es-CO"/>
        </w:rPr>
        <w:t xml:space="preserve">2 de agosto </w:t>
      </w:r>
      <w:r w:rsidR="00CE0AC8">
        <w:rPr>
          <w:rFonts w:ascii="Arial" w:hAnsi="Arial" w:cs="Arial"/>
          <w:spacing w:val="4"/>
          <w:sz w:val="24"/>
          <w:szCs w:val="24"/>
          <w:lang w:eastAsia="es-CO"/>
        </w:rPr>
        <w:t xml:space="preserve">fue rechazada </w:t>
      </w:r>
      <w:r w:rsidR="005875BC">
        <w:rPr>
          <w:rFonts w:ascii="Arial" w:hAnsi="Arial" w:cs="Arial"/>
          <w:spacing w:val="4"/>
          <w:sz w:val="24"/>
          <w:szCs w:val="24"/>
          <w:lang w:eastAsia="es-CO"/>
        </w:rPr>
        <w:t>por extemporánea</w:t>
      </w:r>
      <w:r w:rsidR="00816515">
        <w:rPr>
          <w:rStyle w:val="Refdenotaalpie"/>
          <w:rFonts w:ascii="Arial" w:hAnsi="Arial" w:cs="Arial"/>
          <w:spacing w:val="4"/>
          <w:sz w:val="24"/>
          <w:szCs w:val="24"/>
          <w:lang w:eastAsia="es-CO"/>
        </w:rPr>
        <w:footnoteReference w:id="5"/>
      </w:r>
      <w:r w:rsidR="00BF2BBD">
        <w:rPr>
          <w:rFonts w:ascii="Arial" w:hAnsi="Arial" w:cs="Arial"/>
          <w:spacing w:val="4"/>
          <w:sz w:val="24"/>
          <w:szCs w:val="24"/>
          <w:lang w:eastAsia="es-CO"/>
        </w:rPr>
        <w:t xml:space="preserve">. </w:t>
      </w:r>
    </w:p>
    <w:p w14:paraId="1D6464BA" w14:textId="77777777" w:rsidR="003C7E9B" w:rsidRDefault="003C7E9B" w:rsidP="00ED3223">
      <w:pPr>
        <w:pStyle w:val="Prrafodelista"/>
        <w:rPr>
          <w:rFonts w:ascii="Arial" w:hAnsi="Arial" w:cs="Arial"/>
          <w:spacing w:val="4"/>
          <w:lang w:eastAsia="es-CO"/>
        </w:rPr>
      </w:pPr>
    </w:p>
    <w:p w14:paraId="2F7904A5" w14:textId="25A2EA2E" w:rsidR="003C7E9B" w:rsidRDefault="00A42DB4" w:rsidP="00A42DB4">
      <w:pPr>
        <w:spacing w:after="0"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1.2.4. </w:t>
      </w:r>
      <w:r w:rsidR="00BF2BBD">
        <w:rPr>
          <w:rFonts w:ascii="Arial" w:hAnsi="Arial" w:cs="Arial"/>
          <w:spacing w:val="4"/>
          <w:sz w:val="24"/>
          <w:szCs w:val="24"/>
          <w:lang w:eastAsia="es-CO"/>
        </w:rPr>
        <w:t>Con un nuevo apoderado</w:t>
      </w:r>
      <w:r w:rsidR="000275D1">
        <w:rPr>
          <w:rFonts w:ascii="Arial" w:hAnsi="Arial" w:cs="Arial"/>
          <w:spacing w:val="4"/>
          <w:sz w:val="24"/>
          <w:szCs w:val="24"/>
          <w:lang w:eastAsia="es-CO"/>
        </w:rPr>
        <w:t>, el demandado,</w:t>
      </w:r>
      <w:r w:rsidR="00BF2BBD">
        <w:rPr>
          <w:rFonts w:ascii="Arial" w:hAnsi="Arial" w:cs="Arial"/>
          <w:spacing w:val="4"/>
          <w:sz w:val="24"/>
          <w:szCs w:val="24"/>
          <w:lang w:eastAsia="es-CO"/>
        </w:rPr>
        <w:t xml:space="preserve"> interpuso recurso de reposición y en subsidio súplica en contra del auto que rechaz</w:t>
      </w:r>
      <w:r w:rsidR="000275D1">
        <w:rPr>
          <w:rFonts w:ascii="Arial" w:hAnsi="Arial" w:cs="Arial"/>
          <w:spacing w:val="4"/>
          <w:sz w:val="24"/>
          <w:szCs w:val="24"/>
          <w:lang w:eastAsia="es-CO"/>
        </w:rPr>
        <w:t>ó</w:t>
      </w:r>
      <w:r w:rsidR="00BF2BBD">
        <w:rPr>
          <w:rFonts w:ascii="Arial" w:hAnsi="Arial" w:cs="Arial"/>
          <w:spacing w:val="4"/>
          <w:sz w:val="24"/>
          <w:szCs w:val="24"/>
          <w:lang w:eastAsia="es-CO"/>
        </w:rPr>
        <w:t xml:space="preserve"> la solicitud de adición de la sentencia</w:t>
      </w:r>
      <w:r w:rsidR="008D4A85">
        <w:rPr>
          <w:rStyle w:val="Refdenotaalpie"/>
          <w:rFonts w:ascii="Arial" w:hAnsi="Arial" w:cs="Arial"/>
          <w:spacing w:val="4"/>
          <w:sz w:val="24"/>
          <w:szCs w:val="24"/>
          <w:lang w:eastAsia="es-CO"/>
        </w:rPr>
        <w:footnoteReference w:id="6"/>
      </w:r>
      <w:r w:rsidR="00BF2BBD">
        <w:rPr>
          <w:rFonts w:ascii="Arial" w:hAnsi="Arial" w:cs="Arial"/>
          <w:spacing w:val="4"/>
          <w:sz w:val="24"/>
          <w:szCs w:val="24"/>
          <w:lang w:eastAsia="es-CO"/>
        </w:rPr>
        <w:t>. El 18 de agosto de 2022</w:t>
      </w:r>
      <w:r w:rsidR="00A2188E">
        <w:rPr>
          <w:rStyle w:val="Refdenotaalpie"/>
          <w:rFonts w:ascii="Arial" w:hAnsi="Arial" w:cs="Arial"/>
          <w:spacing w:val="4"/>
          <w:sz w:val="24"/>
          <w:szCs w:val="24"/>
          <w:lang w:eastAsia="es-CO"/>
        </w:rPr>
        <w:footnoteReference w:id="7"/>
      </w:r>
      <w:r w:rsidR="00BF2BBD">
        <w:rPr>
          <w:rFonts w:ascii="Arial" w:hAnsi="Arial" w:cs="Arial"/>
          <w:spacing w:val="4"/>
          <w:sz w:val="24"/>
          <w:szCs w:val="24"/>
          <w:lang w:eastAsia="es-CO"/>
        </w:rPr>
        <w:t xml:space="preserve"> la Sección Quinta negó la reposición y ordenó dar trámite al recurso de súplica. </w:t>
      </w:r>
    </w:p>
    <w:p w14:paraId="50B3F5F2" w14:textId="77777777" w:rsidR="00587B8A" w:rsidRDefault="00587B8A" w:rsidP="00ED3223">
      <w:pPr>
        <w:pStyle w:val="Prrafodelista"/>
        <w:rPr>
          <w:rFonts w:ascii="Arial" w:hAnsi="Arial" w:cs="Arial"/>
          <w:spacing w:val="4"/>
          <w:lang w:eastAsia="es-CO"/>
        </w:rPr>
      </w:pPr>
    </w:p>
    <w:p w14:paraId="22EF341C" w14:textId="6A52D9AC" w:rsidR="00587B8A" w:rsidRDefault="00A42DB4" w:rsidP="00A42DB4">
      <w:pPr>
        <w:spacing w:after="0"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1.2.5. </w:t>
      </w:r>
      <w:r w:rsidR="00587B8A">
        <w:rPr>
          <w:rFonts w:ascii="Arial" w:hAnsi="Arial" w:cs="Arial"/>
          <w:spacing w:val="4"/>
          <w:sz w:val="24"/>
          <w:szCs w:val="24"/>
          <w:lang w:eastAsia="es-CO"/>
        </w:rPr>
        <w:t xml:space="preserve">El </w:t>
      </w:r>
      <w:r w:rsidR="00ED6798">
        <w:rPr>
          <w:rFonts w:ascii="Arial" w:hAnsi="Arial" w:cs="Arial"/>
          <w:spacing w:val="4"/>
          <w:sz w:val="24"/>
          <w:szCs w:val="24"/>
          <w:lang w:eastAsia="es-CO"/>
        </w:rPr>
        <w:t>22</w:t>
      </w:r>
      <w:r w:rsidR="00587B8A">
        <w:rPr>
          <w:rFonts w:ascii="Arial" w:hAnsi="Arial" w:cs="Arial"/>
          <w:spacing w:val="4"/>
          <w:sz w:val="24"/>
          <w:szCs w:val="24"/>
          <w:lang w:eastAsia="es-CO"/>
        </w:rPr>
        <w:t xml:space="preserve"> de agosto de 2022</w:t>
      </w:r>
      <w:r w:rsidR="00ED6798">
        <w:rPr>
          <w:rStyle w:val="Refdenotaalpie"/>
          <w:rFonts w:ascii="Arial" w:hAnsi="Arial" w:cs="Arial"/>
          <w:spacing w:val="4"/>
          <w:sz w:val="24"/>
          <w:szCs w:val="24"/>
          <w:lang w:eastAsia="es-CO"/>
        </w:rPr>
        <w:footnoteReference w:id="8"/>
      </w:r>
      <w:r w:rsidR="00587B8A">
        <w:rPr>
          <w:rFonts w:ascii="Arial" w:hAnsi="Arial" w:cs="Arial"/>
          <w:spacing w:val="4"/>
          <w:sz w:val="24"/>
          <w:szCs w:val="24"/>
          <w:lang w:eastAsia="es-CO"/>
        </w:rPr>
        <w:t xml:space="preserve"> la abogada del demandado recusó a la totalidad de los miembros de la Sección Quinta que no fue aceptada por sus integrantes</w:t>
      </w:r>
      <w:r w:rsidR="00672EFA">
        <w:rPr>
          <w:rFonts w:ascii="Arial" w:hAnsi="Arial" w:cs="Arial"/>
          <w:spacing w:val="4"/>
          <w:sz w:val="24"/>
          <w:szCs w:val="24"/>
          <w:lang w:eastAsia="es-CO"/>
        </w:rPr>
        <w:t>,</w:t>
      </w:r>
      <w:r w:rsidR="004A4083">
        <w:rPr>
          <w:rStyle w:val="Refdenotaalpie"/>
          <w:rFonts w:ascii="Arial" w:hAnsi="Arial" w:cs="Arial"/>
          <w:spacing w:val="4"/>
          <w:sz w:val="24"/>
          <w:szCs w:val="24"/>
          <w:lang w:eastAsia="es-CO"/>
        </w:rPr>
        <w:footnoteReference w:id="9"/>
      </w:r>
      <w:r w:rsidR="00587B8A">
        <w:rPr>
          <w:rFonts w:ascii="Arial" w:hAnsi="Arial" w:cs="Arial"/>
          <w:spacing w:val="4"/>
          <w:sz w:val="24"/>
          <w:szCs w:val="24"/>
          <w:lang w:eastAsia="es-CO"/>
        </w:rPr>
        <w:t xml:space="preserve"> quienes remitieron la actuación a la Sección Primera</w:t>
      </w:r>
      <w:r w:rsidR="00512980">
        <w:rPr>
          <w:rFonts w:ascii="Arial" w:hAnsi="Arial" w:cs="Arial"/>
          <w:spacing w:val="4"/>
          <w:sz w:val="24"/>
          <w:szCs w:val="24"/>
          <w:lang w:eastAsia="es-CO"/>
        </w:rPr>
        <w:t xml:space="preserve"> de esta Corporación -en adelante la Sección Primera-</w:t>
      </w:r>
      <w:r w:rsidR="00587B8A">
        <w:rPr>
          <w:rFonts w:ascii="Arial" w:hAnsi="Arial" w:cs="Arial"/>
          <w:spacing w:val="4"/>
          <w:sz w:val="24"/>
          <w:szCs w:val="24"/>
          <w:lang w:eastAsia="es-CO"/>
        </w:rPr>
        <w:t xml:space="preserve"> para que decidiera lo pertinente</w:t>
      </w:r>
      <w:r w:rsidR="00A8392C">
        <w:rPr>
          <w:rStyle w:val="Refdenotaalpie"/>
          <w:rFonts w:ascii="Arial" w:hAnsi="Arial" w:cs="Arial"/>
          <w:spacing w:val="4"/>
          <w:sz w:val="24"/>
          <w:szCs w:val="24"/>
          <w:lang w:eastAsia="es-CO"/>
        </w:rPr>
        <w:footnoteReference w:id="10"/>
      </w:r>
      <w:r w:rsidR="00587B8A">
        <w:rPr>
          <w:rFonts w:ascii="Arial" w:hAnsi="Arial" w:cs="Arial"/>
          <w:spacing w:val="4"/>
          <w:sz w:val="24"/>
          <w:szCs w:val="24"/>
          <w:lang w:eastAsia="es-CO"/>
        </w:rPr>
        <w:t xml:space="preserve">. </w:t>
      </w:r>
      <w:r w:rsidR="00FA033B">
        <w:rPr>
          <w:rFonts w:ascii="Arial" w:hAnsi="Arial" w:cs="Arial"/>
          <w:spacing w:val="4"/>
          <w:sz w:val="24"/>
          <w:szCs w:val="24"/>
          <w:lang w:eastAsia="es-CO"/>
        </w:rPr>
        <w:t>Al interior de dicho trámite, Elkin Enrique Díaz Camacho</w:t>
      </w:r>
      <w:r w:rsidR="000F152E">
        <w:rPr>
          <w:rFonts w:ascii="Arial" w:hAnsi="Arial" w:cs="Arial"/>
          <w:spacing w:val="4"/>
          <w:sz w:val="24"/>
          <w:szCs w:val="24"/>
          <w:lang w:eastAsia="es-CO"/>
        </w:rPr>
        <w:t xml:space="preserve"> solicitó el rechazo de plano de la recusación en aplicación del literal segundo del artículo 142 del Código General del Proceso -CGP-</w:t>
      </w:r>
      <w:r w:rsidR="003B722A">
        <w:rPr>
          <w:rStyle w:val="Refdenotaalpie"/>
          <w:rFonts w:ascii="Arial" w:hAnsi="Arial" w:cs="Arial"/>
          <w:spacing w:val="4"/>
          <w:sz w:val="24"/>
          <w:szCs w:val="24"/>
          <w:lang w:eastAsia="es-CO"/>
        </w:rPr>
        <w:footnoteReference w:id="11"/>
      </w:r>
      <w:r w:rsidR="000F152E">
        <w:rPr>
          <w:rFonts w:ascii="Arial" w:hAnsi="Arial" w:cs="Arial"/>
          <w:spacing w:val="4"/>
          <w:sz w:val="24"/>
          <w:szCs w:val="24"/>
          <w:lang w:eastAsia="es-CO"/>
        </w:rPr>
        <w:t xml:space="preserve">. </w:t>
      </w:r>
    </w:p>
    <w:p w14:paraId="4DAEDEED" w14:textId="77777777" w:rsidR="00587B8A" w:rsidRDefault="00587B8A" w:rsidP="00ED3223">
      <w:pPr>
        <w:pStyle w:val="Prrafodelista"/>
        <w:rPr>
          <w:rFonts w:ascii="Arial" w:hAnsi="Arial" w:cs="Arial"/>
          <w:spacing w:val="4"/>
          <w:lang w:eastAsia="es-CO"/>
        </w:rPr>
      </w:pPr>
    </w:p>
    <w:p w14:paraId="48AB123F" w14:textId="2F0C6EA5" w:rsidR="00587B8A" w:rsidRDefault="00A42DB4" w:rsidP="00A42DB4">
      <w:pPr>
        <w:spacing w:after="0"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1.2.6. </w:t>
      </w:r>
      <w:r w:rsidR="00587B8A">
        <w:rPr>
          <w:rFonts w:ascii="Arial" w:hAnsi="Arial" w:cs="Arial"/>
          <w:spacing w:val="4"/>
          <w:sz w:val="24"/>
          <w:szCs w:val="24"/>
          <w:lang w:eastAsia="es-CO"/>
        </w:rPr>
        <w:t>La Sección Primera</w:t>
      </w:r>
      <w:r w:rsidR="00672EFA">
        <w:rPr>
          <w:rFonts w:ascii="Arial" w:hAnsi="Arial" w:cs="Arial"/>
          <w:spacing w:val="4"/>
          <w:sz w:val="24"/>
          <w:szCs w:val="24"/>
          <w:lang w:eastAsia="es-CO"/>
        </w:rPr>
        <w:t xml:space="preserve">, </w:t>
      </w:r>
      <w:r w:rsidR="00587B8A">
        <w:rPr>
          <w:rFonts w:ascii="Arial" w:hAnsi="Arial" w:cs="Arial"/>
          <w:spacing w:val="4"/>
          <w:sz w:val="24"/>
          <w:szCs w:val="24"/>
          <w:lang w:eastAsia="es-CO"/>
        </w:rPr>
        <w:t>por auto del 29 de septiembre de 2022</w:t>
      </w:r>
      <w:r w:rsidR="00945E95">
        <w:rPr>
          <w:rStyle w:val="Refdenotaalpie"/>
          <w:rFonts w:ascii="Arial" w:hAnsi="Arial" w:cs="Arial"/>
          <w:spacing w:val="4"/>
          <w:sz w:val="24"/>
          <w:szCs w:val="24"/>
          <w:lang w:eastAsia="es-CO"/>
        </w:rPr>
        <w:footnoteReference w:id="12"/>
      </w:r>
      <w:r w:rsidR="00672EFA">
        <w:rPr>
          <w:rFonts w:ascii="Arial" w:hAnsi="Arial" w:cs="Arial"/>
          <w:spacing w:val="4"/>
          <w:sz w:val="24"/>
          <w:szCs w:val="24"/>
          <w:lang w:eastAsia="es-CO"/>
        </w:rPr>
        <w:t xml:space="preserve">, </w:t>
      </w:r>
      <w:r w:rsidR="00587B8A">
        <w:rPr>
          <w:rFonts w:ascii="Arial" w:hAnsi="Arial" w:cs="Arial"/>
          <w:spacing w:val="4"/>
          <w:sz w:val="24"/>
          <w:szCs w:val="24"/>
          <w:lang w:eastAsia="es-CO"/>
        </w:rPr>
        <w:t>declaró infundada la recusación y ordenó devolver el expediente a</w:t>
      </w:r>
      <w:r w:rsidR="001E4419">
        <w:rPr>
          <w:rFonts w:ascii="Arial" w:hAnsi="Arial" w:cs="Arial"/>
          <w:spacing w:val="4"/>
          <w:sz w:val="24"/>
          <w:szCs w:val="24"/>
          <w:lang w:eastAsia="es-CO"/>
        </w:rPr>
        <w:t xml:space="preserve"> la</w:t>
      </w:r>
      <w:r w:rsidR="00587B8A">
        <w:rPr>
          <w:rFonts w:ascii="Arial" w:hAnsi="Arial" w:cs="Arial"/>
          <w:spacing w:val="4"/>
          <w:sz w:val="24"/>
          <w:szCs w:val="24"/>
          <w:lang w:eastAsia="es-CO"/>
        </w:rPr>
        <w:t xml:space="preserve"> Sección Quinta para que continuara con el trámite.</w:t>
      </w:r>
      <w:r w:rsidR="00672EFA">
        <w:rPr>
          <w:rFonts w:ascii="Arial" w:hAnsi="Arial" w:cs="Arial"/>
          <w:spacing w:val="4"/>
          <w:sz w:val="24"/>
          <w:szCs w:val="24"/>
          <w:lang w:eastAsia="es-CO"/>
        </w:rPr>
        <w:t xml:space="preserve"> </w:t>
      </w:r>
    </w:p>
    <w:p w14:paraId="65E7E728" w14:textId="77777777" w:rsidR="00587B8A" w:rsidRDefault="00587B8A" w:rsidP="003941FF">
      <w:pPr>
        <w:pStyle w:val="Prrafodelista"/>
        <w:rPr>
          <w:rFonts w:ascii="Arial" w:hAnsi="Arial" w:cs="Arial"/>
          <w:spacing w:val="4"/>
          <w:lang w:eastAsia="es-CO"/>
        </w:rPr>
      </w:pPr>
    </w:p>
    <w:p w14:paraId="0C9BD56E" w14:textId="2331357C" w:rsidR="002A555D" w:rsidRDefault="00A42DB4" w:rsidP="00A42DB4">
      <w:pPr>
        <w:spacing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1.2.7. </w:t>
      </w:r>
      <w:r w:rsidR="00587B8A">
        <w:rPr>
          <w:rFonts w:ascii="Arial" w:hAnsi="Arial" w:cs="Arial"/>
          <w:spacing w:val="4"/>
          <w:sz w:val="24"/>
          <w:szCs w:val="24"/>
          <w:lang w:eastAsia="es-CO"/>
        </w:rPr>
        <w:t>El 20 de octubre de 2022</w:t>
      </w:r>
      <w:r w:rsidR="00312C2A">
        <w:rPr>
          <w:rStyle w:val="Refdenotaalpie"/>
          <w:rFonts w:ascii="Arial" w:hAnsi="Arial" w:cs="Arial"/>
          <w:spacing w:val="4"/>
          <w:sz w:val="24"/>
          <w:szCs w:val="24"/>
          <w:lang w:eastAsia="es-CO"/>
        </w:rPr>
        <w:footnoteReference w:id="13"/>
      </w:r>
      <w:r w:rsidR="00587B8A">
        <w:rPr>
          <w:rFonts w:ascii="Arial" w:hAnsi="Arial" w:cs="Arial"/>
          <w:spacing w:val="4"/>
          <w:sz w:val="24"/>
          <w:szCs w:val="24"/>
          <w:lang w:eastAsia="es-CO"/>
        </w:rPr>
        <w:t xml:space="preserve"> </w:t>
      </w:r>
      <w:r w:rsidR="0036108E">
        <w:rPr>
          <w:rFonts w:ascii="Arial" w:hAnsi="Arial" w:cs="Arial"/>
          <w:spacing w:val="4"/>
          <w:sz w:val="24"/>
          <w:szCs w:val="24"/>
          <w:lang w:eastAsia="es-CO"/>
        </w:rPr>
        <w:t xml:space="preserve">la Sección Quinta </w:t>
      </w:r>
      <w:r w:rsidR="00587B8A">
        <w:rPr>
          <w:rFonts w:ascii="Arial" w:hAnsi="Arial" w:cs="Arial"/>
          <w:spacing w:val="4"/>
          <w:sz w:val="24"/>
          <w:szCs w:val="24"/>
          <w:lang w:eastAsia="es-CO"/>
        </w:rPr>
        <w:t>rechazó por improcedente el recurso de súplica</w:t>
      </w:r>
      <w:r w:rsidR="00A7178B">
        <w:rPr>
          <w:rFonts w:ascii="Arial" w:hAnsi="Arial" w:cs="Arial"/>
          <w:spacing w:val="4"/>
          <w:sz w:val="24"/>
          <w:szCs w:val="24"/>
          <w:lang w:eastAsia="es-CO"/>
        </w:rPr>
        <w:t xml:space="preserve"> y</w:t>
      </w:r>
      <w:r w:rsidR="00587B8A">
        <w:rPr>
          <w:rFonts w:ascii="Arial" w:hAnsi="Arial" w:cs="Arial"/>
          <w:spacing w:val="4"/>
          <w:sz w:val="24"/>
          <w:szCs w:val="24"/>
          <w:lang w:eastAsia="es-CO"/>
        </w:rPr>
        <w:t xml:space="preserve"> el 21 de octubre de 2022</w:t>
      </w:r>
      <w:r w:rsidR="000D52BF">
        <w:rPr>
          <w:rStyle w:val="Refdenotaalpie"/>
          <w:rFonts w:ascii="Arial" w:hAnsi="Arial" w:cs="Arial"/>
          <w:spacing w:val="4"/>
          <w:sz w:val="24"/>
          <w:szCs w:val="24"/>
          <w:lang w:eastAsia="es-CO"/>
        </w:rPr>
        <w:footnoteReference w:id="14"/>
      </w:r>
      <w:r w:rsidR="00587B8A">
        <w:rPr>
          <w:rFonts w:ascii="Arial" w:hAnsi="Arial" w:cs="Arial"/>
          <w:spacing w:val="4"/>
          <w:sz w:val="24"/>
          <w:szCs w:val="24"/>
          <w:lang w:eastAsia="es-CO"/>
        </w:rPr>
        <w:t xml:space="preserve"> la abogada del demandado propuso la nulidad de la sentencia del 23 de junio de 2022</w:t>
      </w:r>
      <w:r w:rsidR="002A555D">
        <w:rPr>
          <w:rFonts w:ascii="Arial" w:hAnsi="Arial" w:cs="Arial"/>
          <w:spacing w:val="4"/>
          <w:sz w:val="24"/>
          <w:szCs w:val="24"/>
          <w:lang w:eastAsia="es-CO"/>
        </w:rPr>
        <w:t xml:space="preserve"> y formuló nuevamente recusación contra los integrantes de la Sala de Decisión de la Sección Quinta</w:t>
      </w:r>
      <w:r w:rsidR="00C04081">
        <w:rPr>
          <w:rStyle w:val="Refdenotaalpie"/>
          <w:rFonts w:ascii="Arial" w:hAnsi="Arial" w:cs="Arial"/>
          <w:spacing w:val="4"/>
          <w:sz w:val="24"/>
          <w:szCs w:val="24"/>
          <w:lang w:eastAsia="es-CO"/>
        </w:rPr>
        <w:footnoteReference w:id="15"/>
      </w:r>
      <w:r w:rsidR="002A555D">
        <w:rPr>
          <w:rFonts w:ascii="Arial" w:hAnsi="Arial" w:cs="Arial"/>
          <w:spacing w:val="4"/>
          <w:sz w:val="24"/>
          <w:szCs w:val="24"/>
          <w:lang w:eastAsia="es-CO"/>
        </w:rPr>
        <w:t>, que tampoco fue aceptada</w:t>
      </w:r>
      <w:r w:rsidR="00F828D5">
        <w:rPr>
          <w:rStyle w:val="Refdenotaalpie"/>
          <w:rFonts w:ascii="Arial" w:hAnsi="Arial" w:cs="Arial"/>
          <w:spacing w:val="4"/>
          <w:sz w:val="24"/>
          <w:szCs w:val="24"/>
          <w:lang w:eastAsia="es-CO"/>
        </w:rPr>
        <w:footnoteReference w:id="16"/>
      </w:r>
      <w:r w:rsidR="002A555D">
        <w:rPr>
          <w:rFonts w:ascii="Arial" w:hAnsi="Arial" w:cs="Arial"/>
          <w:spacing w:val="4"/>
          <w:sz w:val="24"/>
          <w:szCs w:val="24"/>
          <w:lang w:eastAsia="es-CO"/>
        </w:rPr>
        <w:t>.</w:t>
      </w:r>
      <w:r w:rsidR="00B245A3">
        <w:rPr>
          <w:rFonts w:ascii="Arial" w:hAnsi="Arial" w:cs="Arial"/>
          <w:spacing w:val="4"/>
          <w:sz w:val="24"/>
          <w:szCs w:val="24"/>
          <w:lang w:eastAsia="es-CO"/>
        </w:rPr>
        <w:t xml:space="preserve"> La apoderada en comento también radicó recurso de reposición y en subsidio queja contra la providencia que rechazó por improcedente el recurso de súplica</w:t>
      </w:r>
      <w:r w:rsidR="007B7775">
        <w:rPr>
          <w:rStyle w:val="Refdenotaalpie"/>
          <w:rFonts w:ascii="Arial" w:hAnsi="Arial" w:cs="Arial"/>
          <w:spacing w:val="4"/>
          <w:sz w:val="24"/>
          <w:szCs w:val="24"/>
          <w:lang w:eastAsia="es-CO"/>
        </w:rPr>
        <w:footnoteReference w:id="17"/>
      </w:r>
      <w:r w:rsidR="00B245A3">
        <w:rPr>
          <w:rFonts w:ascii="Arial" w:hAnsi="Arial" w:cs="Arial"/>
          <w:spacing w:val="4"/>
          <w:sz w:val="24"/>
          <w:szCs w:val="24"/>
          <w:lang w:eastAsia="es-CO"/>
        </w:rPr>
        <w:t>.</w:t>
      </w:r>
      <w:r w:rsidR="002A555D">
        <w:rPr>
          <w:rFonts w:ascii="Arial" w:hAnsi="Arial" w:cs="Arial"/>
          <w:spacing w:val="4"/>
          <w:sz w:val="24"/>
          <w:szCs w:val="24"/>
          <w:lang w:eastAsia="es-CO"/>
        </w:rPr>
        <w:t xml:space="preserve"> </w:t>
      </w:r>
      <w:r w:rsidR="00EF73C4">
        <w:rPr>
          <w:rFonts w:ascii="Arial" w:hAnsi="Arial" w:cs="Arial"/>
          <w:spacing w:val="4"/>
          <w:sz w:val="24"/>
          <w:szCs w:val="24"/>
          <w:lang w:eastAsia="es-CO"/>
        </w:rPr>
        <w:t>E</w:t>
      </w:r>
      <w:r w:rsidR="00A53CFC">
        <w:rPr>
          <w:rFonts w:ascii="Arial" w:hAnsi="Arial" w:cs="Arial"/>
          <w:spacing w:val="4"/>
          <w:sz w:val="24"/>
          <w:szCs w:val="24"/>
          <w:lang w:eastAsia="es-CO"/>
        </w:rPr>
        <w:t>l señor Díaz Camacho</w:t>
      </w:r>
      <w:r w:rsidR="00512980">
        <w:rPr>
          <w:rFonts w:ascii="Arial" w:hAnsi="Arial" w:cs="Arial"/>
          <w:spacing w:val="4"/>
          <w:sz w:val="24"/>
          <w:szCs w:val="24"/>
          <w:lang w:eastAsia="es-CO"/>
        </w:rPr>
        <w:t xml:space="preserve"> </w:t>
      </w:r>
      <w:r w:rsidR="00A53CFC">
        <w:rPr>
          <w:rFonts w:ascii="Arial" w:hAnsi="Arial" w:cs="Arial"/>
          <w:spacing w:val="4"/>
          <w:sz w:val="24"/>
          <w:szCs w:val="24"/>
          <w:lang w:eastAsia="es-CO"/>
        </w:rPr>
        <w:t>solicitó</w:t>
      </w:r>
      <w:r w:rsidR="00D35135">
        <w:rPr>
          <w:rFonts w:ascii="Arial" w:hAnsi="Arial" w:cs="Arial"/>
          <w:spacing w:val="4"/>
          <w:sz w:val="24"/>
          <w:szCs w:val="24"/>
          <w:lang w:eastAsia="es-CO"/>
        </w:rPr>
        <w:t>, entre otras, no dar trámite a la temeraria recusación que se presentó contra la totalidad de los magistrados integrantes de la Sección Quinta</w:t>
      </w:r>
      <w:r w:rsidR="00D35135">
        <w:rPr>
          <w:rStyle w:val="Refdenotaalpie"/>
          <w:rFonts w:ascii="Arial" w:hAnsi="Arial" w:cs="Arial"/>
          <w:spacing w:val="4"/>
          <w:sz w:val="24"/>
          <w:szCs w:val="24"/>
          <w:lang w:eastAsia="es-CO"/>
        </w:rPr>
        <w:footnoteReference w:id="18"/>
      </w:r>
      <w:r w:rsidR="00D35135">
        <w:rPr>
          <w:rFonts w:ascii="Arial" w:hAnsi="Arial" w:cs="Arial"/>
          <w:spacing w:val="4"/>
          <w:sz w:val="24"/>
          <w:szCs w:val="24"/>
          <w:lang w:eastAsia="es-CO"/>
        </w:rPr>
        <w:t xml:space="preserve">. </w:t>
      </w:r>
      <w:r w:rsidR="00EF73C4">
        <w:rPr>
          <w:rFonts w:ascii="Arial" w:hAnsi="Arial" w:cs="Arial"/>
          <w:spacing w:val="4"/>
          <w:sz w:val="24"/>
          <w:szCs w:val="24"/>
          <w:lang w:eastAsia="es-CO"/>
        </w:rPr>
        <w:t>Recibido el expediente por la Sección Primera para resolver la recusación, por auto del 11 de noviembre de 2022</w:t>
      </w:r>
      <w:r w:rsidR="00EF73C4">
        <w:rPr>
          <w:rStyle w:val="Refdenotaalpie"/>
          <w:rFonts w:ascii="Arial" w:hAnsi="Arial" w:cs="Arial"/>
          <w:spacing w:val="4"/>
          <w:sz w:val="24"/>
          <w:szCs w:val="24"/>
          <w:lang w:eastAsia="es-CO"/>
        </w:rPr>
        <w:footnoteReference w:id="19"/>
      </w:r>
      <w:r w:rsidR="00EF73C4">
        <w:rPr>
          <w:rFonts w:ascii="Arial" w:hAnsi="Arial" w:cs="Arial"/>
          <w:spacing w:val="4"/>
          <w:sz w:val="24"/>
          <w:szCs w:val="24"/>
          <w:lang w:eastAsia="es-CO"/>
        </w:rPr>
        <w:t xml:space="preserve"> la declaró infundada, por lo que ordenó la remisión inmediata del expediente al despacho sustanciador de la Sección Quinta, para que continuara con el trámite correspondiente. </w:t>
      </w:r>
    </w:p>
    <w:p w14:paraId="5157A604" w14:textId="77777777" w:rsidR="009322D9" w:rsidRPr="009322D9" w:rsidRDefault="009322D9" w:rsidP="009322D9">
      <w:pPr>
        <w:spacing w:line="240" w:lineRule="auto"/>
        <w:contextualSpacing/>
        <w:jc w:val="both"/>
        <w:rPr>
          <w:rFonts w:ascii="Arial" w:hAnsi="Arial" w:cs="Arial"/>
          <w:spacing w:val="4"/>
          <w:sz w:val="24"/>
          <w:szCs w:val="24"/>
          <w:lang w:eastAsia="es-CO"/>
        </w:rPr>
      </w:pPr>
    </w:p>
    <w:p w14:paraId="5849DB37" w14:textId="08DC4444" w:rsidR="00E41870" w:rsidRDefault="003C69D2" w:rsidP="003C69D2">
      <w:pPr>
        <w:spacing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1.2.8. </w:t>
      </w:r>
      <w:r w:rsidR="002A555D" w:rsidRPr="008A008E">
        <w:rPr>
          <w:rFonts w:ascii="Arial" w:hAnsi="Arial" w:cs="Arial"/>
          <w:spacing w:val="4"/>
          <w:sz w:val="24"/>
          <w:szCs w:val="24"/>
          <w:lang w:eastAsia="es-CO"/>
        </w:rPr>
        <w:t>La apoderad</w:t>
      </w:r>
      <w:r w:rsidR="00703670">
        <w:rPr>
          <w:rFonts w:ascii="Arial" w:hAnsi="Arial" w:cs="Arial"/>
          <w:spacing w:val="4"/>
          <w:sz w:val="24"/>
          <w:szCs w:val="24"/>
          <w:lang w:eastAsia="es-CO"/>
        </w:rPr>
        <w:t>a</w:t>
      </w:r>
      <w:r w:rsidR="00B02539">
        <w:rPr>
          <w:rFonts w:ascii="Arial" w:hAnsi="Arial" w:cs="Arial"/>
          <w:spacing w:val="4"/>
          <w:sz w:val="24"/>
          <w:szCs w:val="24"/>
          <w:lang w:eastAsia="es-CO"/>
        </w:rPr>
        <w:t>,</w:t>
      </w:r>
      <w:r w:rsidR="002A555D" w:rsidRPr="008A008E">
        <w:rPr>
          <w:rFonts w:ascii="Arial" w:hAnsi="Arial" w:cs="Arial"/>
          <w:spacing w:val="4"/>
          <w:sz w:val="24"/>
          <w:szCs w:val="24"/>
          <w:lang w:eastAsia="es-CO"/>
        </w:rPr>
        <w:t xml:space="preserve"> </w:t>
      </w:r>
      <w:r w:rsidR="00B02539">
        <w:rPr>
          <w:rFonts w:ascii="Arial" w:hAnsi="Arial" w:cs="Arial"/>
          <w:spacing w:val="4"/>
          <w:sz w:val="24"/>
          <w:szCs w:val="24"/>
          <w:lang w:eastAsia="es-CO"/>
        </w:rPr>
        <w:t xml:space="preserve">del demandado en el proceso electoral, </w:t>
      </w:r>
      <w:r w:rsidR="002A555D" w:rsidRPr="008A008E">
        <w:rPr>
          <w:rFonts w:ascii="Arial" w:hAnsi="Arial" w:cs="Arial"/>
          <w:spacing w:val="4"/>
          <w:sz w:val="24"/>
          <w:szCs w:val="24"/>
          <w:lang w:eastAsia="es-CO"/>
        </w:rPr>
        <w:t>radicó el 15 de noviembre de 2022 recusación en contra de la totalidad de los magistrados que integran la Sección Primer</w:t>
      </w:r>
      <w:r w:rsidR="008A008E" w:rsidRPr="008A008E">
        <w:rPr>
          <w:rFonts w:ascii="Arial" w:hAnsi="Arial" w:cs="Arial"/>
          <w:spacing w:val="4"/>
          <w:sz w:val="24"/>
          <w:szCs w:val="24"/>
          <w:lang w:eastAsia="es-CO"/>
        </w:rPr>
        <w:t xml:space="preserve">a. El 1 de diciembre de 2022 </w:t>
      </w:r>
      <w:r w:rsidR="00672EFA">
        <w:rPr>
          <w:rFonts w:ascii="Arial" w:hAnsi="Arial" w:cs="Arial"/>
          <w:spacing w:val="4"/>
          <w:sz w:val="24"/>
          <w:szCs w:val="24"/>
          <w:lang w:eastAsia="es-CO"/>
        </w:rPr>
        <w:t xml:space="preserve">esta última </w:t>
      </w:r>
      <w:r w:rsidR="008A008E" w:rsidRPr="008A008E">
        <w:rPr>
          <w:rFonts w:ascii="Arial" w:hAnsi="Arial" w:cs="Arial"/>
          <w:spacing w:val="4"/>
          <w:sz w:val="24"/>
          <w:szCs w:val="24"/>
          <w:lang w:eastAsia="es-CO"/>
        </w:rPr>
        <w:t xml:space="preserve">no aceptó los </w:t>
      </w:r>
      <w:r w:rsidR="00B02539">
        <w:rPr>
          <w:rFonts w:ascii="Arial" w:hAnsi="Arial" w:cs="Arial"/>
          <w:spacing w:val="4"/>
          <w:sz w:val="24"/>
          <w:szCs w:val="24"/>
          <w:lang w:eastAsia="es-CO"/>
        </w:rPr>
        <w:t>argumento</w:t>
      </w:r>
      <w:r w:rsidR="008A008E" w:rsidRPr="008A008E">
        <w:rPr>
          <w:rFonts w:ascii="Arial" w:hAnsi="Arial" w:cs="Arial"/>
          <w:spacing w:val="4"/>
          <w:sz w:val="24"/>
          <w:szCs w:val="24"/>
          <w:lang w:eastAsia="es-CO"/>
        </w:rPr>
        <w:t>s de la recusación</w:t>
      </w:r>
      <w:r w:rsidR="00A01F24">
        <w:rPr>
          <w:rStyle w:val="Refdenotaalpie"/>
          <w:rFonts w:ascii="Arial" w:hAnsi="Arial" w:cs="Arial"/>
          <w:spacing w:val="4"/>
          <w:sz w:val="24"/>
          <w:szCs w:val="24"/>
          <w:lang w:eastAsia="es-CO"/>
        </w:rPr>
        <w:footnoteReference w:id="20"/>
      </w:r>
      <w:r w:rsidR="008D1C41">
        <w:rPr>
          <w:rFonts w:ascii="Arial" w:hAnsi="Arial" w:cs="Arial"/>
          <w:spacing w:val="4"/>
          <w:sz w:val="24"/>
          <w:szCs w:val="24"/>
          <w:lang w:eastAsia="es-CO"/>
        </w:rPr>
        <w:t xml:space="preserve"> al considerar que la misma era improcedente</w:t>
      </w:r>
      <w:r w:rsidR="00481C9E">
        <w:rPr>
          <w:rFonts w:ascii="Arial" w:hAnsi="Arial" w:cs="Arial"/>
          <w:spacing w:val="4"/>
          <w:sz w:val="24"/>
          <w:szCs w:val="24"/>
          <w:lang w:eastAsia="es-CO"/>
        </w:rPr>
        <w:t xml:space="preserve"> </w:t>
      </w:r>
      <w:r w:rsidR="00CE0AC8">
        <w:rPr>
          <w:rFonts w:ascii="Arial" w:hAnsi="Arial" w:cs="Arial"/>
          <w:spacing w:val="4"/>
          <w:sz w:val="24"/>
          <w:szCs w:val="24"/>
          <w:lang w:eastAsia="es-CO"/>
        </w:rPr>
        <w:t xml:space="preserve">con fundamento en lo </w:t>
      </w:r>
      <w:r w:rsidR="00481C9E">
        <w:rPr>
          <w:rFonts w:ascii="Arial" w:hAnsi="Arial" w:cs="Arial"/>
          <w:spacing w:val="4"/>
          <w:sz w:val="24"/>
          <w:szCs w:val="24"/>
          <w:lang w:eastAsia="es-CO"/>
        </w:rPr>
        <w:t>dispuesto en el artículo 142 del CGP,</w:t>
      </w:r>
      <w:r w:rsidR="008A008E" w:rsidRPr="008A008E">
        <w:rPr>
          <w:rFonts w:ascii="Arial" w:hAnsi="Arial" w:cs="Arial"/>
          <w:spacing w:val="4"/>
          <w:sz w:val="24"/>
          <w:szCs w:val="24"/>
          <w:lang w:eastAsia="es-CO"/>
        </w:rPr>
        <w:t xml:space="preserve"> y ordenó remitir el expediente a la Sección Segunda</w:t>
      </w:r>
      <w:r w:rsidR="00512980">
        <w:rPr>
          <w:rFonts w:ascii="Arial" w:hAnsi="Arial" w:cs="Arial"/>
          <w:spacing w:val="4"/>
          <w:sz w:val="24"/>
          <w:szCs w:val="24"/>
          <w:lang w:eastAsia="es-CO"/>
        </w:rPr>
        <w:t xml:space="preserve"> del Consejo de Estado</w:t>
      </w:r>
      <w:r w:rsidR="008A008E" w:rsidRPr="008A008E">
        <w:rPr>
          <w:rFonts w:ascii="Arial" w:hAnsi="Arial" w:cs="Arial"/>
          <w:spacing w:val="4"/>
          <w:sz w:val="24"/>
          <w:szCs w:val="24"/>
          <w:lang w:eastAsia="es-CO"/>
        </w:rPr>
        <w:t xml:space="preserve"> para que la decidiera</w:t>
      </w:r>
      <w:r w:rsidR="00E41870">
        <w:rPr>
          <w:rFonts w:ascii="Arial" w:hAnsi="Arial" w:cs="Arial"/>
          <w:spacing w:val="4"/>
          <w:sz w:val="24"/>
          <w:szCs w:val="24"/>
          <w:lang w:eastAsia="es-CO"/>
        </w:rPr>
        <w:t xml:space="preserve">. </w:t>
      </w:r>
    </w:p>
    <w:p w14:paraId="26C2B280" w14:textId="1646A60E" w:rsidR="00E41870" w:rsidRDefault="00E41870" w:rsidP="003C69D2">
      <w:pPr>
        <w:spacing w:line="240" w:lineRule="auto"/>
        <w:contextualSpacing/>
        <w:jc w:val="both"/>
        <w:rPr>
          <w:rFonts w:ascii="Arial" w:hAnsi="Arial" w:cs="Arial"/>
          <w:spacing w:val="4"/>
          <w:sz w:val="24"/>
          <w:szCs w:val="24"/>
          <w:lang w:eastAsia="es-CO"/>
        </w:rPr>
      </w:pPr>
    </w:p>
    <w:p w14:paraId="08F0D19C" w14:textId="6765A3A9" w:rsidR="00672EFA" w:rsidRDefault="0043156C" w:rsidP="00672EFA">
      <w:pPr>
        <w:spacing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En virtud de lo anterior</w:t>
      </w:r>
      <w:r w:rsidR="00E41870">
        <w:rPr>
          <w:rFonts w:ascii="Arial" w:hAnsi="Arial" w:cs="Arial"/>
          <w:spacing w:val="4"/>
          <w:sz w:val="24"/>
          <w:szCs w:val="24"/>
          <w:lang w:eastAsia="es-CO"/>
        </w:rPr>
        <w:t xml:space="preserve">, </w:t>
      </w:r>
      <w:r w:rsidR="00672EFA">
        <w:rPr>
          <w:rFonts w:ascii="Arial" w:hAnsi="Arial" w:cs="Arial"/>
          <w:spacing w:val="4"/>
          <w:sz w:val="24"/>
          <w:szCs w:val="24"/>
          <w:lang w:eastAsia="es-CO"/>
        </w:rPr>
        <w:t>la apoderada del demandado, el 24 de enero de 2023, recusó a la totalidad de los magistrados integrantes de la Subsección B de la Sección Segunda</w:t>
      </w:r>
      <w:r w:rsidR="00512980">
        <w:rPr>
          <w:rFonts w:ascii="Arial" w:hAnsi="Arial" w:cs="Arial"/>
          <w:spacing w:val="4"/>
          <w:sz w:val="24"/>
          <w:szCs w:val="24"/>
          <w:lang w:eastAsia="es-CO"/>
        </w:rPr>
        <w:t xml:space="preserve"> de esta Corporación- en adelante la Subsección B de la Sección Segunda-</w:t>
      </w:r>
      <w:r w:rsidR="00672EFA">
        <w:rPr>
          <w:rFonts w:ascii="Arial" w:hAnsi="Arial" w:cs="Arial"/>
          <w:spacing w:val="4"/>
          <w:sz w:val="24"/>
          <w:szCs w:val="24"/>
          <w:lang w:eastAsia="es-CO"/>
        </w:rPr>
        <w:t xml:space="preserve">, para impedir que conocieran del incidente de recusación que presentó en el proceso electoral contra los magistrados de la Sección </w:t>
      </w:r>
      <w:r w:rsidR="00512980">
        <w:rPr>
          <w:rFonts w:ascii="Arial" w:hAnsi="Arial" w:cs="Arial"/>
          <w:spacing w:val="4"/>
          <w:sz w:val="24"/>
          <w:szCs w:val="24"/>
          <w:lang w:eastAsia="es-CO"/>
        </w:rPr>
        <w:t xml:space="preserve">Quinta. </w:t>
      </w:r>
    </w:p>
    <w:p w14:paraId="42D76E96" w14:textId="77777777" w:rsidR="00672EFA" w:rsidRDefault="00672EFA" w:rsidP="003C69D2">
      <w:pPr>
        <w:spacing w:line="240" w:lineRule="auto"/>
        <w:contextualSpacing/>
        <w:jc w:val="both"/>
        <w:rPr>
          <w:rFonts w:ascii="Arial" w:hAnsi="Arial" w:cs="Arial"/>
          <w:spacing w:val="4"/>
          <w:sz w:val="24"/>
          <w:szCs w:val="24"/>
          <w:lang w:eastAsia="es-CO"/>
        </w:rPr>
      </w:pPr>
    </w:p>
    <w:p w14:paraId="1C9DB437" w14:textId="5599FBA5" w:rsidR="00A931B2" w:rsidRDefault="00672EFA" w:rsidP="003C69D2">
      <w:pPr>
        <w:spacing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Por su parte, </w:t>
      </w:r>
      <w:r w:rsidR="00E41870">
        <w:rPr>
          <w:rFonts w:ascii="Arial" w:hAnsi="Arial" w:cs="Arial"/>
          <w:spacing w:val="4"/>
          <w:sz w:val="24"/>
          <w:szCs w:val="24"/>
          <w:lang w:eastAsia="es-CO"/>
        </w:rPr>
        <w:t>Elkin Enrique Díaz Camacho radicó memorial el 25 de enero de 2023</w:t>
      </w:r>
      <w:r w:rsidR="00450E32">
        <w:rPr>
          <w:rStyle w:val="Refdenotaalpie"/>
          <w:rFonts w:ascii="Arial" w:hAnsi="Arial" w:cs="Arial"/>
          <w:spacing w:val="4"/>
          <w:sz w:val="24"/>
          <w:szCs w:val="24"/>
          <w:lang w:eastAsia="es-CO"/>
        </w:rPr>
        <w:footnoteReference w:id="21"/>
      </w:r>
      <w:r w:rsidR="00E41870">
        <w:rPr>
          <w:rFonts w:ascii="Arial" w:hAnsi="Arial" w:cs="Arial"/>
          <w:spacing w:val="4"/>
          <w:sz w:val="24"/>
          <w:szCs w:val="24"/>
          <w:lang w:eastAsia="es-CO"/>
        </w:rPr>
        <w:t>, en el que le solicitó a la Subsección B de la Sección Segunda</w:t>
      </w:r>
      <w:r w:rsidR="00512980">
        <w:rPr>
          <w:rFonts w:ascii="Arial" w:hAnsi="Arial" w:cs="Arial"/>
          <w:spacing w:val="4"/>
          <w:sz w:val="24"/>
          <w:szCs w:val="24"/>
          <w:lang w:eastAsia="es-CO"/>
        </w:rPr>
        <w:t xml:space="preserve"> </w:t>
      </w:r>
      <w:r w:rsidR="00E41870">
        <w:rPr>
          <w:rFonts w:ascii="Arial" w:hAnsi="Arial" w:cs="Arial"/>
          <w:spacing w:val="4"/>
          <w:sz w:val="24"/>
          <w:szCs w:val="24"/>
          <w:lang w:eastAsia="es-CO"/>
        </w:rPr>
        <w:t>que rechazara, mediante auto de cúmplase, la recusación que presentó la parte demandada y, en consecuencia, ordenara el envío con carácter inmediato del expediente a la Sección Quinta</w:t>
      </w:r>
      <w:r w:rsidR="00871403">
        <w:rPr>
          <w:rFonts w:ascii="Arial" w:hAnsi="Arial" w:cs="Arial"/>
          <w:spacing w:val="4"/>
          <w:sz w:val="24"/>
          <w:szCs w:val="24"/>
          <w:lang w:eastAsia="es-CO"/>
        </w:rPr>
        <w:t xml:space="preserve">, de acuerdo con lo previsto </w:t>
      </w:r>
      <w:r w:rsidR="00EC2242">
        <w:rPr>
          <w:rFonts w:ascii="Arial" w:hAnsi="Arial" w:cs="Arial"/>
          <w:spacing w:val="4"/>
          <w:sz w:val="24"/>
          <w:szCs w:val="24"/>
          <w:lang w:eastAsia="es-CO"/>
        </w:rPr>
        <w:t xml:space="preserve">en los numerales </w:t>
      </w:r>
      <w:r w:rsidR="00871403">
        <w:rPr>
          <w:rFonts w:ascii="Arial" w:hAnsi="Arial" w:cs="Arial"/>
          <w:spacing w:val="4"/>
          <w:sz w:val="24"/>
          <w:szCs w:val="24"/>
          <w:lang w:eastAsia="es-CO"/>
        </w:rPr>
        <w:t xml:space="preserve">3 del artículo 132 del </w:t>
      </w:r>
      <w:r>
        <w:rPr>
          <w:rFonts w:ascii="Arial" w:hAnsi="Arial" w:cs="Arial"/>
          <w:spacing w:val="4"/>
          <w:sz w:val="24"/>
          <w:szCs w:val="24"/>
          <w:lang w:eastAsia="es-CO"/>
        </w:rPr>
        <w:t>Código de Procedimiento Administrativo y de lo Contencioso Administrativo -</w:t>
      </w:r>
      <w:r w:rsidR="00871403">
        <w:rPr>
          <w:rFonts w:ascii="Arial" w:hAnsi="Arial" w:cs="Arial"/>
          <w:spacing w:val="4"/>
          <w:sz w:val="24"/>
          <w:szCs w:val="24"/>
          <w:lang w:eastAsia="es-CO"/>
        </w:rPr>
        <w:t>CPACA</w:t>
      </w:r>
      <w:r>
        <w:rPr>
          <w:rFonts w:ascii="Arial" w:hAnsi="Arial" w:cs="Arial"/>
          <w:spacing w:val="4"/>
          <w:sz w:val="24"/>
          <w:szCs w:val="24"/>
          <w:lang w:eastAsia="es-CO"/>
        </w:rPr>
        <w:t>-</w:t>
      </w:r>
      <w:r w:rsidR="001E3D1C">
        <w:rPr>
          <w:rFonts w:ascii="Arial" w:hAnsi="Arial" w:cs="Arial"/>
          <w:spacing w:val="4"/>
          <w:sz w:val="24"/>
          <w:szCs w:val="24"/>
          <w:lang w:eastAsia="es-CO"/>
        </w:rPr>
        <w:t xml:space="preserve"> y </w:t>
      </w:r>
      <w:r w:rsidR="00EC2242">
        <w:rPr>
          <w:rFonts w:ascii="Arial" w:hAnsi="Arial" w:cs="Arial"/>
          <w:spacing w:val="4"/>
          <w:sz w:val="24"/>
          <w:szCs w:val="24"/>
          <w:lang w:eastAsia="es-CO"/>
        </w:rPr>
        <w:t xml:space="preserve">4 del </w:t>
      </w:r>
      <w:r w:rsidR="001E3D1C">
        <w:rPr>
          <w:rFonts w:ascii="Arial" w:hAnsi="Arial" w:cs="Arial"/>
          <w:spacing w:val="4"/>
          <w:sz w:val="24"/>
          <w:szCs w:val="24"/>
          <w:lang w:eastAsia="es-CO"/>
        </w:rPr>
        <w:t>artículo 142 del CGP</w:t>
      </w:r>
      <w:r w:rsidR="00871403">
        <w:rPr>
          <w:rFonts w:ascii="Arial" w:hAnsi="Arial" w:cs="Arial"/>
          <w:spacing w:val="4"/>
          <w:sz w:val="24"/>
          <w:szCs w:val="24"/>
          <w:lang w:eastAsia="es-CO"/>
        </w:rPr>
        <w:t>. Así pues, consideró que no eran admisibles mayores dilaciones, recursos</w:t>
      </w:r>
      <w:r>
        <w:rPr>
          <w:rFonts w:ascii="Arial" w:hAnsi="Arial" w:cs="Arial"/>
          <w:spacing w:val="4"/>
          <w:sz w:val="24"/>
          <w:szCs w:val="24"/>
          <w:lang w:eastAsia="es-CO"/>
        </w:rPr>
        <w:t xml:space="preserve">, </w:t>
      </w:r>
      <w:r w:rsidR="00871403">
        <w:rPr>
          <w:rFonts w:ascii="Arial" w:hAnsi="Arial" w:cs="Arial"/>
          <w:spacing w:val="4"/>
          <w:sz w:val="24"/>
          <w:szCs w:val="24"/>
          <w:lang w:eastAsia="es-CO"/>
        </w:rPr>
        <w:t>ni la interposición de nuevas recusaciones</w:t>
      </w:r>
      <w:r w:rsidR="00F1784F">
        <w:rPr>
          <w:rFonts w:ascii="Arial" w:hAnsi="Arial" w:cs="Arial"/>
          <w:spacing w:val="4"/>
          <w:sz w:val="24"/>
          <w:szCs w:val="24"/>
          <w:lang w:eastAsia="es-CO"/>
        </w:rPr>
        <w:t xml:space="preserve"> temerarias,</w:t>
      </w:r>
      <w:r w:rsidR="006533C9">
        <w:rPr>
          <w:rFonts w:ascii="Arial" w:hAnsi="Arial" w:cs="Arial"/>
          <w:spacing w:val="4"/>
          <w:sz w:val="24"/>
          <w:szCs w:val="24"/>
          <w:lang w:eastAsia="es-CO"/>
        </w:rPr>
        <w:t xml:space="preserve"> pues la decisión del 11 de noviembre de 2022 fue de plano</w:t>
      </w:r>
      <w:r w:rsidR="00F1784F">
        <w:rPr>
          <w:rFonts w:ascii="Arial" w:hAnsi="Arial" w:cs="Arial"/>
          <w:spacing w:val="4"/>
          <w:sz w:val="24"/>
          <w:szCs w:val="24"/>
          <w:lang w:eastAsia="es-CO"/>
        </w:rPr>
        <w:t xml:space="preserve">. </w:t>
      </w:r>
    </w:p>
    <w:p w14:paraId="5518E7DA" w14:textId="77777777" w:rsidR="00E41870" w:rsidRDefault="00E41870" w:rsidP="003C69D2">
      <w:pPr>
        <w:spacing w:line="240" w:lineRule="auto"/>
        <w:contextualSpacing/>
        <w:jc w:val="both"/>
        <w:rPr>
          <w:rFonts w:ascii="Arial" w:hAnsi="Arial" w:cs="Arial"/>
          <w:spacing w:val="4"/>
          <w:sz w:val="24"/>
          <w:szCs w:val="24"/>
          <w:lang w:eastAsia="es-CO"/>
        </w:rPr>
      </w:pPr>
    </w:p>
    <w:p w14:paraId="2535ADA0" w14:textId="797E6B4C" w:rsidR="003B4D27" w:rsidRDefault="001B2483" w:rsidP="003C69D2">
      <w:pPr>
        <w:spacing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1.2.9. La Subsección B de la Sección Segunda, </w:t>
      </w:r>
      <w:r w:rsidR="00665BDA">
        <w:rPr>
          <w:rFonts w:ascii="Arial" w:hAnsi="Arial" w:cs="Arial"/>
          <w:spacing w:val="4"/>
          <w:sz w:val="24"/>
          <w:szCs w:val="24"/>
          <w:lang w:eastAsia="es-CO"/>
        </w:rPr>
        <w:t>el 9 de febrero de 2023</w:t>
      </w:r>
      <w:r w:rsidR="00214A48">
        <w:rPr>
          <w:rStyle w:val="Refdenotaalpie"/>
          <w:rFonts w:ascii="Arial" w:hAnsi="Arial" w:cs="Arial"/>
          <w:spacing w:val="4"/>
          <w:sz w:val="24"/>
          <w:szCs w:val="24"/>
          <w:lang w:eastAsia="es-CO"/>
        </w:rPr>
        <w:footnoteReference w:id="22"/>
      </w:r>
      <w:r w:rsidR="00665BDA">
        <w:rPr>
          <w:rFonts w:ascii="Arial" w:hAnsi="Arial" w:cs="Arial"/>
          <w:spacing w:val="4"/>
          <w:sz w:val="24"/>
          <w:szCs w:val="24"/>
          <w:lang w:eastAsia="es-CO"/>
        </w:rPr>
        <w:t xml:space="preserve"> </w:t>
      </w:r>
      <w:r w:rsidR="000B38A6">
        <w:rPr>
          <w:rFonts w:ascii="Arial" w:hAnsi="Arial" w:cs="Arial"/>
          <w:spacing w:val="4"/>
          <w:sz w:val="24"/>
          <w:szCs w:val="24"/>
          <w:lang w:eastAsia="es-CO"/>
        </w:rPr>
        <w:t>decidió rechazar de plano, por improcedente, la recusa</w:t>
      </w:r>
      <w:r w:rsidR="008F24EF">
        <w:rPr>
          <w:rFonts w:ascii="Arial" w:hAnsi="Arial" w:cs="Arial"/>
          <w:spacing w:val="4"/>
          <w:sz w:val="24"/>
          <w:szCs w:val="24"/>
          <w:lang w:eastAsia="es-CO"/>
        </w:rPr>
        <w:t>ción</w:t>
      </w:r>
      <w:r w:rsidR="00CE0AC8">
        <w:rPr>
          <w:rFonts w:ascii="Arial" w:hAnsi="Arial" w:cs="Arial"/>
          <w:spacing w:val="4"/>
          <w:sz w:val="24"/>
          <w:szCs w:val="24"/>
          <w:lang w:eastAsia="es-CO"/>
        </w:rPr>
        <w:t xml:space="preserve">. Precisó que </w:t>
      </w:r>
      <w:r w:rsidR="00474F7F">
        <w:rPr>
          <w:rFonts w:ascii="Arial" w:hAnsi="Arial" w:cs="Arial"/>
          <w:spacing w:val="4"/>
          <w:sz w:val="24"/>
          <w:szCs w:val="24"/>
          <w:lang w:eastAsia="es-CO"/>
        </w:rPr>
        <w:t>el asunto ya fue resuelto por la Sección Primera en decisión que se notificó el 18 de noviembre de 2022</w:t>
      </w:r>
      <w:r w:rsidR="0007776F">
        <w:rPr>
          <w:rFonts w:ascii="Arial" w:hAnsi="Arial" w:cs="Arial"/>
          <w:spacing w:val="4"/>
          <w:sz w:val="24"/>
          <w:szCs w:val="24"/>
          <w:lang w:eastAsia="es-CO"/>
        </w:rPr>
        <w:t>, y</w:t>
      </w:r>
      <w:r w:rsidR="003B4D27">
        <w:rPr>
          <w:rFonts w:ascii="Arial" w:hAnsi="Arial" w:cs="Arial"/>
          <w:spacing w:val="4"/>
          <w:sz w:val="24"/>
          <w:szCs w:val="24"/>
          <w:lang w:eastAsia="es-CO"/>
        </w:rPr>
        <w:t xml:space="preserve"> además</w:t>
      </w:r>
      <w:r w:rsidR="00E56488">
        <w:rPr>
          <w:rFonts w:ascii="Arial" w:hAnsi="Arial" w:cs="Arial"/>
          <w:spacing w:val="4"/>
          <w:sz w:val="24"/>
          <w:szCs w:val="24"/>
          <w:lang w:eastAsia="es-CO"/>
        </w:rPr>
        <w:t xml:space="preserve">, </w:t>
      </w:r>
      <w:r w:rsidR="0007776F">
        <w:rPr>
          <w:rFonts w:ascii="Arial" w:hAnsi="Arial" w:cs="Arial"/>
          <w:spacing w:val="4"/>
          <w:sz w:val="24"/>
          <w:szCs w:val="24"/>
          <w:lang w:eastAsia="es-CO"/>
        </w:rPr>
        <w:t>la solicitud es confusa</w:t>
      </w:r>
      <w:r w:rsidR="00103391">
        <w:rPr>
          <w:rFonts w:ascii="Arial" w:hAnsi="Arial" w:cs="Arial"/>
          <w:spacing w:val="4"/>
          <w:sz w:val="24"/>
          <w:szCs w:val="24"/>
          <w:lang w:eastAsia="es-CO"/>
        </w:rPr>
        <w:t xml:space="preserve"> -pues hace referencia al conocimiento de la recusación contra los magistrados de la Sección Quinta, pero a su vez advierte la ausencia de imparcialidad de los magistrados integrantes de la Sección Primera del Consejo de Estado-,</w:t>
      </w:r>
      <w:r w:rsidR="0007776F">
        <w:rPr>
          <w:rFonts w:ascii="Arial" w:hAnsi="Arial" w:cs="Arial"/>
          <w:spacing w:val="4"/>
          <w:sz w:val="24"/>
          <w:szCs w:val="24"/>
          <w:lang w:eastAsia="es-CO"/>
        </w:rPr>
        <w:t xml:space="preserve"> </w:t>
      </w:r>
      <w:r w:rsidR="003B4D27">
        <w:rPr>
          <w:rFonts w:ascii="Arial" w:hAnsi="Arial" w:cs="Arial"/>
          <w:spacing w:val="4"/>
          <w:sz w:val="24"/>
          <w:szCs w:val="24"/>
          <w:lang w:eastAsia="es-CO"/>
        </w:rPr>
        <w:t xml:space="preserve">razón por la que consideró que transgredía lo dispuesto en el artículo </w:t>
      </w:r>
      <w:r w:rsidR="0007776F">
        <w:rPr>
          <w:rFonts w:ascii="Arial" w:hAnsi="Arial" w:cs="Arial"/>
          <w:spacing w:val="4"/>
          <w:sz w:val="24"/>
          <w:szCs w:val="24"/>
          <w:lang w:eastAsia="es-CO"/>
        </w:rPr>
        <w:t>142 del CGP</w:t>
      </w:r>
      <w:r w:rsidR="003B4D27">
        <w:rPr>
          <w:rFonts w:ascii="Arial" w:hAnsi="Arial" w:cs="Arial"/>
          <w:spacing w:val="4"/>
          <w:sz w:val="24"/>
          <w:szCs w:val="24"/>
          <w:lang w:eastAsia="es-CO"/>
        </w:rPr>
        <w:t>, pues tiene a su cargo resolver la recusación, de modo que</w:t>
      </w:r>
      <w:r w:rsidR="00D339C1">
        <w:rPr>
          <w:rFonts w:ascii="Arial" w:hAnsi="Arial" w:cs="Arial"/>
          <w:spacing w:val="4"/>
          <w:sz w:val="24"/>
          <w:szCs w:val="24"/>
          <w:lang w:eastAsia="es-CO"/>
        </w:rPr>
        <w:t xml:space="preserve"> la solicitud</w:t>
      </w:r>
      <w:r w:rsidR="003B4D27">
        <w:rPr>
          <w:rFonts w:ascii="Arial" w:hAnsi="Arial" w:cs="Arial"/>
          <w:spacing w:val="4"/>
          <w:sz w:val="24"/>
          <w:szCs w:val="24"/>
          <w:lang w:eastAsia="es-CO"/>
        </w:rPr>
        <w:t xml:space="preserve"> es manifiestamente dilatoria del proceso electoral </w:t>
      </w:r>
      <w:r w:rsidR="00E56488">
        <w:rPr>
          <w:rFonts w:ascii="Arial" w:hAnsi="Arial" w:cs="Arial"/>
          <w:spacing w:val="4"/>
          <w:sz w:val="24"/>
          <w:szCs w:val="24"/>
          <w:lang w:eastAsia="es-CO"/>
        </w:rPr>
        <w:t xml:space="preserve">e impide la ejecutoria de la decisión del 23 de junio de 2022. </w:t>
      </w:r>
    </w:p>
    <w:p w14:paraId="5555C45B" w14:textId="77777777" w:rsidR="003B4D27" w:rsidRDefault="003B4D27" w:rsidP="003C69D2">
      <w:pPr>
        <w:spacing w:line="240" w:lineRule="auto"/>
        <w:contextualSpacing/>
        <w:jc w:val="both"/>
        <w:rPr>
          <w:rFonts w:ascii="Arial" w:hAnsi="Arial" w:cs="Arial"/>
          <w:spacing w:val="4"/>
          <w:sz w:val="24"/>
          <w:szCs w:val="24"/>
          <w:lang w:eastAsia="es-CO"/>
        </w:rPr>
      </w:pPr>
    </w:p>
    <w:p w14:paraId="2A88C51D" w14:textId="78468344" w:rsidR="00665BDA" w:rsidRDefault="00BA1213" w:rsidP="003C69D2">
      <w:pPr>
        <w:spacing w:line="240" w:lineRule="auto"/>
        <w:contextualSpacing/>
        <w:jc w:val="both"/>
        <w:rPr>
          <w:rFonts w:ascii="Arial" w:hAnsi="Arial" w:cs="Arial"/>
          <w:spacing w:val="4"/>
          <w:sz w:val="24"/>
          <w:szCs w:val="24"/>
          <w:lang w:eastAsia="es-CO"/>
        </w:rPr>
      </w:pPr>
      <w:r>
        <w:rPr>
          <w:rFonts w:ascii="Arial" w:hAnsi="Arial" w:cs="Arial"/>
          <w:spacing w:val="4"/>
          <w:sz w:val="24"/>
          <w:szCs w:val="24"/>
          <w:lang w:eastAsia="es-CO"/>
        </w:rPr>
        <w:t xml:space="preserve">Así pues, </w:t>
      </w:r>
      <w:r w:rsidR="006E0891">
        <w:rPr>
          <w:rFonts w:ascii="Arial" w:hAnsi="Arial" w:cs="Arial"/>
          <w:spacing w:val="4"/>
          <w:sz w:val="24"/>
          <w:szCs w:val="24"/>
          <w:lang w:eastAsia="es-CO"/>
        </w:rPr>
        <w:t xml:space="preserve">dictó la </w:t>
      </w:r>
      <w:r w:rsidR="00D339C1">
        <w:rPr>
          <w:rFonts w:ascii="Arial" w:hAnsi="Arial" w:cs="Arial"/>
          <w:spacing w:val="4"/>
          <w:sz w:val="24"/>
          <w:szCs w:val="24"/>
          <w:lang w:eastAsia="es-CO"/>
        </w:rPr>
        <w:t xml:space="preserve">providencia </w:t>
      </w:r>
      <w:r>
        <w:rPr>
          <w:rFonts w:ascii="Arial" w:hAnsi="Arial" w:cs="Arial"/>
          <w:spacing w:val="4"/>
          <w:sz w:val="24"/>
          <w:szCs w:val="24"/>
          <w:lang w:eastAsia="es-CO"/>
        </w:rPr>
        <w:t xml:space="preserve">en aplicación de lo </w:t>
      </w:r>
      <w:r w:rsidR="003B4D27">
        <w:rPr>
          <w:rFonts w:ascii="Arial" w:hAnsi="Arial" w:cs="Arial"/>
          <w:spacing w:val="4"/>
          <w:sz w:val="24"/>
          <w:szCs w:val="24"/>
          <w:lang w:eastAsia="es-CO"/>
        </w:rPr>
        <w:t xml:space="preserve">previsto </w:t>
      </w:r>
      <w:r>
        <w:rPr>
          <w:rFonts w:ascii="Arial" w:hAnsi="Arial" w:cs="Arial"/>
          <w:spacing w:val="4"/>
          <w:sz w:val="24"/>
          <w:szCs w:val="24"/>
          <w:lang w:eastAsia="es-CO"/>
        </w:rPr>
        <w:t>en los artículos</w:t>
      </w:r>
      <w:r w:rsidR="006E0891">
        <w:rPr>
          <w:rFonts w:ascii="Arial" w:hAnsi="Arial" w:cs="Arial"/>
          <w:spacing w:val="4"/>
          <w:sz w:val="24"/>
          <w:szCs w:val="24"/>
          <w:lang w:eastAsia="es-CO"/>
        </w:rPr>
        <w:t xml:space="preserve"> 132 y</w:t>
      </w:r>
      <w:r>
        <w:rPr>
          <w:rFonts w:ascii="Arial" w:hAnsi="Arial" w:cs="Arial"/>
          <w:spacing w:val="4"/>
          <w:sz w:val="24"/>
          <w:szCs w:val="24"/>
          <w:lang w:eastAsia="es-CO"/>
        </w:rPr>
        <w:t xml:space="preserve"> 295 del CPACA</w:t>
      </w:r>
      <w:r w:rsidR="007E3F73">
        <w:rPr>
          <w:rFonts w:ascii="Arial" w:hAnsi="Arial" w:cs="Arial"/>
          <w:spacing w:val="4"/>
          <w:sz w:val="24"/>
          <w:szCs w:val="24"/>
          <w:lang w:eastAsia="es-CO"/>
        </w:rPr>
        <w:t xml:space="preserve">, 33 de la Ley 1123 de 2007 </w:t>
      </w:r>
      <w:r>
        <w:rPr>
          <w:rFonts w:ascii="Arial" w:hAnsi="Arial" w:cs="Arial"/>
          <w:spacing w:val="4"/>
          <w:sz w:val="24"/>
          <w:szCs w:val="24"/>
          <w:lang w:eastAsia="es-CO"/>
        </w:rPr>
        <w:t xml:space="preserve">y 29 de la Constitución Política de Colombia, </w:t>
      </w:r>
      <w:r w:rsidR="006E0891">
        <w:rPr>
          <w:rFonts w:ascii="Arial" w:hAnsi="Arial" w:cs="Arial"/>
          <w:spacing w:val="4"/>
          <w:sz w:val="24"/>
          <w:szCs w:val="24"/>
          <w:lang w:eastAsia="es-CO"/>
        </w:rPr>
        <w:t xml:space="preserve">y </w:t>
      </w:r>
      <w:r>
        <w:rPr>
          <w:rFonts w:ascii="Arial" w:hAnsi="Arial" w:cs="Arial"/>
          <w:spacing w:val="4"/>
          <w:sz w:val="24"/>
          <w:szCs w:val="24"/>
          <w:lang w:eastAsia="es-CO"/>
        </w:rPr>
        <w:t xml:space="preserve">ordenó que por conducto de la </w:t>
      </w:r>
      <w:r w:rsidR="008F24EF">
        <w:rPr>
          <w:rFonts w:ascii="Arial" w:hAnsi="Arial" w:cs="Arial"/>
          <w:spacing w:val="4"/>
          <w:sz w:val="24"/>
          <w:szCs w:val="24"/>
          <w:lang w:eastAsia="es-CO"/>
        </w:rPr>
        <w:t>secretaría se enviara copia del proceso a la Comisión Seccional de Disciplina Judicial de Sucre, con el fin de que se investigaran las faltas cometidas contra la recta y leal administración de justicia</w:t>
      </w:r>
      <w:r w:rsidR="00D339C1">
        <w:rPr>
          <w:rFonts w:ascii="Arial" w:hAnsi="Arial" w:cs="Arial"/>
          <w:spacing w:val="4"/>
          <w:sz w:val="24"/>
          <w:szCs w:val="24"/>
          <w:lang w:eastAsia="es-CO"/>
        </w:rPr>
        <w:t>. También ordenó</w:t>
      </w:r>
      <w:r w:rsidR="008F24EF">
        <w:rPr>
          <w:rFonts w:ascii="Arial" w:hAnsi="Arial" w:cs="Arial"/>
          <w:spacing w:val="4"/>
          <w:sz w:val="24"/>
          <w:szCs w:val="24"/>
          <w:lang w:eastAsia="es-CO"/>
        </w:rPr>
        <w:t xml:space="preserve"> </w:t>
      </w:r>
      <w:r w:rsidR="006E0891">
        <w:rPr>
          <w:rFonts w:ascii="Arial" w:hAnsi="Arial" w:cs="Arial"/>
          <w:spacing w:val="4"/>
          <w:sz w:val="24"/>
          <w:szCs w:val="24"/>
          <w:lang w:eastAsia="es-CO"/>
        </w:rPr>
        <w:t>la devolución del</w:t>
      </w:r>
      <w:r w:rsidR="00B02539">
        <w:rPr>
          <w:rFonts w:ascii="Arial" w:hAnsi="Arial" w:cs="Arial"/>
          <w:spacing w:val="4"/>
          <w:sz w:val="24"/>
          <w:szCs w:val="24"/>
          <w:lang w:eastAsia="es-CO"/>
        </w:rPr>
        <w:t xml:space="preserve"> expediente </w:t>
      </w:r>
      <w:r w:rsidR="008F24EF">
        <w:rPr>
          <w:rFonts w:ascii="Arial" w:hAnsi="Arial" w:cs="Arial"/>
          <w:spacing w:val="4"/>
          <w:sz w:val="24"/>
          <w:szCs w:val="24"/>
          <w:lang w:eastAsia="es-CO"/>
        </w:rPr>
        <w:t xml:space="preserve">al despacho sustanciador de la Sección Quinta para que continuara con las actuaciones a las que había lugar. </w:t>
      </w:r>
    </w:p>
    <w:p w14:paraId="5BFEC552" w14:textId="77777777" w:rsidR="00BC7247" w:rsidRDefault="00BC7247" w:rsidP="00BC7247">
      <w:pPr>
        <w:spacing w:line="240" w:lineRule="auto"/>
        <w:contextualSpacing/>
        <w:jc w:val="both"/>
        <w:rPr>
          <w:rFonts w:ascii="Arial" w:hAnsi="Arial" w:cs="Arial"/>
          <w:spacing w:val="4"/>
          <w:sz w:val="24"/>
          <w:szCs w:val="24"/>
          <w:lang w:eastAsia="es-CO"/>
        </w:rPr>
      </w:pPr>
    </w:p>
    <w:p w14:paraId="57E4C82F" w14:textId="36338E22" w:rsidR="00BC7247" w:rsidRPr="004A1DB4" w:rsidRDefault="003C69D2" w:rsidP="003C69D2">
      <w:pPr>
        <w:spacing w:line="240" w:lineRule="auto"/>
        <w:contextualSpacing/>
        <w:jc w:val="both"/>
        <w:rPr>
          <w:rFonts w:ascii="Arial" w:hAnsi="Arial" w:cs="Arial"/>
          <w:color w:val="000000" w:themeColor="text1"/>
          <w:spacing w:val="4"/>
          <w:sz w:val="24"/>
          <w:szCs w:val="24"/>
          <w:lang w:eastAsia="es-CO"/>
        </w:rPr>
      </w:pPr>
      <w:r>
        <w:rPr>
          <w:rFonts w:ascii="Arial" w:hAnsi="Arial" w:cs="Arial"/>
          <w:spacing w:val="4"/>
          <w:sz w:val="24"/>
          <w:szCs w:val="24"/>
          <w:lang w:eastAsia="es-CO"/>
        </w:rPr>
        <w:t>1.2.</w:t>
      </w:r>
      <w:r w:rsidR="008A1F2C">
        <w:rPr>
          <w:rFonts w:ascii="Arial" w:hAnsi="Arial" w:cs="Arial"/>
          <w:spacing w:val="4"/>
          <w:sz w:val="24"/>
          <w:szCs w:val="24"/>
          <w:lang w:eastAsia="es-CO"/>
        </w:rPr>
        <w:t>10</w:t>
      </w:r>
      <w:r>
        <w:rPr>
          <w:rFonts w:ascii="Arial" w:hAnsi="Arial" w:cs="Arial"/>
          <w:spacing w:val="4"/>
          <w:sz w:val="24"/>
          <w:szCs w:val="24"/>
          <w:lang w:eastAsia="es-CO"/>
        </w:rPr>
        <w:t xml:space="preserve">. </w:t>
      </w:r>
      <w:r w:rsidR="00BC7247">
        <w:rPr>
          <w:rFonts w:ascii="Arial" w:hAnsi="Arial" w:cs="Arial"/>
          <w:spacing w:val="4"/>
          <w:sz w:val="24"/>
          <w:szCs w:val="24"/>
          <w:lang w:eastAsia="es-CO"/>
        </w:rPr>
        <w:t xml:space="preserve">La apoderada del demandado radicó incidente nulidad </w:t>
      </w:r>
      <w:r w:rsidR="005F5AE8">
        <w:rPr>
          <w:rFonts w:ascii="Arial" w:hAnsi="Arial" w:cs="Arial"/>
          <w:spacing w:val="4"/>
          <w:sz w:val="24"/>
          <w:szCs w:val="24"/>
          <w:lang w:eastAsia="es-CO"/>
        </w:rPr>
        <w:t>el 18 de febrero de 2023</w:t>
      </w:r>
      <w:r w:rsidR="005F5AE8">
        <w:rPr>
          <w:rStyle w:val="Refdenotaalpie"/>
          <w:rFonts w:ascii="Arial" w:hAnsi="Arial" w:cs="Arial"/>
          <w:spacing w:val="4"/>
          <w:sz w:val="24"/>
          <w:szCs w:val="24"/>
          <w:lang w:eastAsia="es-CO"/>
        </w:rPr>
        <w:footnoteReference w:id="23"/>
      </w:r>
      <w:r w:rsidR="00B91912">
        <w:rPr>
          <w:rFonts w:ascii="Arial" w:hAnsi="Arial" w:cs="Arial"/>
          <w:spacing w:val="4"/>
          <w:sz w:val="24"/>
          <w:szCs w:val="24"/>
          <w:lang w:eastAsia="es-CO"/>
        </w:rPr>
        <w:t>, así como recurso de reposición y en subsidio súplica</w:t>
      </w:r>
      <w:r w:rsidR="00087EA5">
        <w:rPr>
          <w:rStyle w:val="Refdenotaalpie"/>
          <w:rFonts w:ascii="Arial" w:hAnsi="Arial" w:cs="Arial"/>
          <w:spacing w:val="4"/>
          <w:sz w:val="24"/>
          <w:szCs w:val="24"/>
          <w:lang w:eastAsia="es-CO"/>
        </w:rPr>
        <w:footnoteReference w:id="24"/>
      </w:r>
      <w:r w:rsidR="00B91912">
        <w:rPr>
          <w:rFonts w:ascii="Arial" w:hAnsi="Arial" w:cs="Arial"/>
          <w:spacing w:val="4"/>
          <w:sz w:val="24"/>
          <w:szCs w:val="24"/>
          <w:lang w:eastAsia="es-CO"/>
        </w:rPr>
        <w:t xml:space="preserve"> contra el proveído anterior</w:t>
      </w:r>
      <w:r w:rsidR="005565F5">
        <w:rPr>
          <w:rFonts w:ascii="Arial" w:hAnsi="Arial" w:cs="Arial"/>
          <w:spacing w:val="4"/>
          <w:sz w:val="24"/>
          <w:szCs w:val="24"/>
          <w:lang w:eastAsia="es-CO"/>
        </w:rPr>
        <w:t>. Posteriormente, el 20 de febrero siguiente, radicó recusación</w:t>
      </w:r>
      <w:r w:rsidR="003F3906">
        <w:rPr>
          <w:rStyle w:val="Refdenotaalpie"/>
          <w:rFonts w:ascii="Arial" w:hAnsi="Arial" w:cs="Arial"/>
          <w:spacing w:val="4"/>
          <w:sz w:val="24"/>
          <w:szCs w:val="24"/>
          <w:lang w:eastAsia="es-CO"/>
        </w:rPr>
        <w:footnoteReference w:id="25"/>
      </w:r>
      <w:r w:rsidR="005565F5">
        <w:rPr>
          <w:rFonts w:ascii="Arial" w:hAnsi="Arial" w:cs="Arial"/>
          <w:spacing w:val="4"/>
          <w:sz w:val="24"/>
          <w:szCs w:val="24"/>
          <w:lang w:eastAsia="es-CO"/>
        </w:rPr>
        <w:t xml:space="preserve"> en contra </w:t>
      </w:r>
      <w:r w:rsidR="005565F5" w:rsidRPr="004A1DB4">
        <w:rPr>
          <w:rFonts w:ascii="Arial" w:hAnsi="Arial" w:cs="Arial"/>
          <w:color w:val="000000" w:themeColor="text1"/>
          <w:spacing w:val="4"/>
          <w:sz w:val="24"/>
          <w:szCs w:val="24"/>
          <w:lang w:eastAsia="es-CO"/>
        </w:rPr>
        <w:t>de la totalidad de los magistrados integrantes de la Subsección B de la Sección Segunda para conocer del recurso de reposición e incidente de nulidad antes citado</w:t>
      </w:r>
      <w:r w:rsidR="00332D68" w:rsidRPr="004A1DB4">
        <w:rPr>
          <w:rFonts w:ascii="Arial" w:hAnsi="Arial" w:cs="Arial"/>
          <w:color w:val="000000" w:themeColor="text1"/>
          <w:spacing w:val="4"/>
          <w:sz w:val="24"/>
          <w:szCs w:val="24"/>
          <w:lang w:eastAsia="es-CO"/>
        </w:rPr>
        <w:t>. Luego, esto es, el 24 de febrero siguiente</w:t>
      </w:r>
      <w:r w:rsidR="00794A67" w:rsidRPr="004A1DB4">
        <w:rPr>
          <w:rStyle w:val="Refdenotaalpie"/>
          <w:rFonts w:ascii="Arial" w:hAnsi="Arial" w:cs="Arial"/>
          <w:color w:val="000000" w:themeColor="text1"/>
          <w:spacing w:val="4"/>
          <w:sz w:val="24"/>
          <w:szCs w:val="24"/>
          <w:lang w:eastAsia="es-CO"/>
        </w:rPr>
        <w:footnoteReference w:id="26"/>
      </w:r>
      <w:r w:rsidR="00332D68" w:rsidRPr="004A1DB4">
        <w:rPr>
          <w:rFonts w:ascii="Arial" w:hAnsi="Arial" w:cs="Arial"/>
          <w:color w:val="000000" w:themeColor="text1"/>
          <w:spacing w:val="4"/>
          <w:sz w:val="24"/>
          <w:szCs w:val="24"/>
          <w:lang w:eastAsia="es-CO"/>
        </w:rPr>
        <w:t>, la misma apoderada de la parte demandada allegó</w:t>
      </w:r>
      <w:r w:rsidR="000702AB" w:rsidRPr="004A1DB4">
        <w:rPr>
          <w:rFonts w:ascii="Arial" w:hAnsi="Arial" w:cs="Arial"/>
          <w:color w:val="000000" w:themeColor="text1"/>
          <w:spacing w:val="4"/>
          <w:sz w:val="24"/>
          <w:szCs w:val="24"/>
          <w:lang w:eastAsia="es-CO"/>
        </w:rPr>
        <w:t xml:space="preserve"> solicitud de nulidad del auto del 9 de febrero de 2023</w:t>
      </w:r>
      <w:r w:rsidR="00794A67" w:rsidRPr="004A1DB4">
        <w:rPr>
          <w:rFonts w:ascii="Arial" w:hAnsi="Arial" w:cs="Arial"/>
          <w:color w:val="000000" w:themeColor="text1"/>
          <w:spacing w:val="4"/>
          <w:sz w:val="24"/>
          <w:szCs w:val="24"/>
          <w:lang w:eastAsia="es-CO"/>
        </w:rPr>
        <w:t xml:space="preserve">. </w:t>
      </w:r>
    </w:p>
    <w:p w14:paraId="7EE09467" w14:textId="77777777" w:rsidR="00F45596" w:rsidRPr="004A1DB4" w:rsidRDefault="00F45596" w:rsidP="00F45596">
      <w:pPr>
        <w:spacing w:line="240" w:lineRule="auto"/>
        <w:contextualSpacing/>
        <w:jc w:val="both"/>
        <w:rPr>
          <w:rFonts w:ascii="Arial" w:hAnsi="Arial" w:cs="Arial"/>
          <w:color w:val="000000" w:themeColor="text1"/>
          <w:spacing w:val="4"/>
          <w:sz w:val="24"/>
          <w:szCs w:val="24"/>
          <w:lang w:eastAsia="es-CO"/>
        </w:rPr>
      </w:pPr>
    </w:p>
    <w:p w14:paraId="19FE3871" w14:textId="39DE37AE" w:rsidR="00CF2ADD" w:rsidRPr="001B1119" w:rsidRDefault="003C69D2" w:rsidP="00665BDA">
      <w:pPr>
        <w:spacing w:line="240" w:lineRule="auto"/>
        <w:contextualSpacing/>
        <w:jc w:val="both"/>
        <w:rPr>
          <w:rFonts w:ascii="Arial" w:hAnsi="Arial" w:cs="Arial"/>
          <w:color w:val="000000" w:themeColor="text1"/>
          <w:spacing w:val="4"/>
          <w:sz w:val="24"/>
          <w:szCs w:val="24"/>
          <w:lang w:eastAsia="es-CO"/>
        </w:rPr>
      </w:pPr>
      <w:r>
        <w:rPr>
          <w:rFonts w:ascii="Arial" w:hAnsi="Arial" w:cs="Arial"/>
          <w:color w:val="000000" w:themeColor="text1"/>
          <w:spacing w:val="4"/>
          <w:sz w:val="24"/>
          <w:szCs w:val="24"/>
          <w:lang w:eastAsia="es-CO"/>
        </w:rPr>
        <w:t>1.2.1</w:t>
      </w:r>
      <w:r w:rsidR="008A1F2C">
        <w:rPr>
          <w:rFonts w:ascii="Arial" w:hAnsi="Arial" w:cs="Arial"/>
          <w:color w:val="000000" w:themeColor="text1"/>
          <w:spacing w:val="4"/>
          <w:sz w:val="24"/>
          <w:szCs w:val="24"/>
          <w:lang w:eastAsia="es-CO"/>
        </w:rPr>
        <w:t>1</w:t>
      </w:r>
      <w:r>
        <w:rPr>
          <w:rFonts w:ascii="Arial" w:hAnsi="Arial" w:cs="Arial"/>
          <w:color w:val="000000" w:themeColor="text1"/>
          <w:spacing w:val="4"/>
          <w:sz w:val="24"/>
          <w:szCs w:val="24"/>
          <w:lang w:eastAsia="es-CO"/>
        </w:rPr>
        <w:t xml:space="preserve">. </w:t>
      </w:r>
      <w:r w:rsidR="004F41B6" w:rsidRPr="001B1119">
        <w:rPr>
          <w:rFonts w:ascii="Arial" w:hAnsi="Arial" w:cs="Arial"/>
          <w:color w:val="000000" w:themeColor="text1"/>
          <w:spacing w:val="4"/>
          <w:sz w:val="24"/>
          <w:szCs w:val="24"/>
          <w:lang w:eastAsia="es-CO"/>
        </w:rPr>
        <w:t>La Subsección B de la Sección Segunda dictó auto el 23 de marzo de 2023</w:t>
      </w:r>
      <w:r w:rsidR="00014264" w:rsidRPr="001B1119">
        <w:rPr>
          <w:rStyle w:val="Refdenotaalpie"/>
          <w:rFonts w:ascii="Arial" w:hAnsi="Arial" w:cs="Arial"/>
          <w:color w:val="000000" w:themeColor="text1"/>
          <w:spacing w:val="4"/>
          <w:sz w:val="24"/>
          <w:szCs w:val="24"/>
          <w:lang w:eastAsia="es-CO"/>
        </w:rPr>
        <w:footnoteReference w:id="27"/>
      </w:r>
      <w:r w:rsidR="00B503D5">
        <w:rPr>
          <w:rFonts w:ascii="Arial" w:hAnsi="Arial" w:cs="Arial"/>
          <w:color w:val="000000" w:themeColor="text1"/>
          <w:spacing w:val="4"/>
          <w:sz w:val="24"/>
          <w:szCs w:val="24"/>
          <w:lang w:eastAsia="es-CO"/>
        </w:rPr>
        <w:t xml:space="preserve"> </w:t>
      </w:r>
      <w:r w:rsidR="004F41B6" w:rsidRPr="001B1119">
        <w:rPr>
          <w:rFonts w:ascii="Arial" w:hAnsi="Arial" w:cs="Arial"/>
          <w:color w:val="000000" w:themeColor="text1"/>
          <w:spacing w:val="4"/>
          <w:sz w:val="24"/>
          <w:szCs w:val="24"/>
          <w:lang w:eastAsia="es-CO"/>
        </w:rPr>
        <w:t xml:space="preserve">en el que rechazó de plano, por improcedente, la recusación contra los consejeros de estado integrantes de la </w:t>
      </w:r>
      <w:r w:rsidR="00B503D5">
        <w:rPr>
          <w:rFonts w:ascii="Arial" w:hAnsi="Arial" w:cs="Arial"/>
          <w:color w:val="000000" w:themeColor="text1"/>
          <w:spacing w:val="4"/>
          <w:sz w:val="24"/>
          <w:szCs w:val="24"/>
          <w:lang w:eastAsia="es-CO"/>
        </w:rPr>
        <w:t>S</w:t>
      </w:r>
      <w:r w:rsidR="004F41B6" w:rsidRPr="001B1119">
        <w:rPr>
          <w:rFonts w:ascii="Arial" w:hAnsi="Arial" w:cs="Arial"/>
          <w:color w:val="000000" w:themeColor="text1"/>
          <w:spacing w:val="4"/>
          <w:sz w:val="24"/>
          <w:szCs w:val="24"/>
          <w:lang w:eastAsia="es-CO"/>
        </w:rPr>
        <w:t xml:space="preserve">ubsección, así como la solicitud de nulidad que se presentó contra la decisión del 9 de febrero de 2023. Pidió enviar copia del presente proceso a la Comisión Seccional de Disciplina Judicial de Sucre para que investigara las eventuales faltas contra la administración de justicia, y devolvió el expediente al despacho sustanciador de la Sección Quinta. </w:t>
      </w:r>
    </w:p>
    <w:p w14:paraId="5214EA47" w14:textId="77777777" w:rsidR="00CF2ADD" w:rsidRPr="001B1119" w:rsidRDefault="00CF2ADD" w:rsidP="00665BDA">
      <w:pPr>
        <w:spacing w:line="240" w:lineRule="auto"/>
        <w:contextualSpacing/>
        <w:jc w:val="both"/>
        <w:rPr>
          <w:rFonts w:ascii="Arial" w:hAnsi="Arial" w:cs="Arial"/>
          <w:color w:val="000000" w:themeColor="text1"/>
          <w:spacing w:val="4"/>
          <w:sz w:val="24"/>
          <w:szCs w:val="24"/>
          <w:lang w:eastAsia="es-CO"/>
        </w:rPr>
      </w:pPr>
    </w:p>
    <w:p w14:paraId="55D8CF88" w14:textId="38AEF4F7" w:rsidR="00CF2ADD" w:rsidRPr="001B1119" w:rsidRDefault="00CF2ADD" w:rsidP="00665BDA">
      <w:pPr>
        <w:spacing w:line="240" w:lineRule="auto"/>
        <w:contextualSpacing/>
        <w:jc w:val="both"/>
        <w:rPr>
          <w:rFonts w:ascii="Arial" w:hAnsi="Arial" w:cs="Arial"/>
          <w:color w:val="000000" w:themeColor="text1"/>
          <w:spacing w:val="4"/>
          <w:sz w:val="24"/>
          <w:szCs w:val="24"/>
          <w:lang w:eastAsia="es-CO"/>
        </w:rPr>
      </w:pPr>
      <w:r w:rsidRPr="001B1119">
        <w:rPr>
          <w:rFonts w:ascii="Arial" w:hAnsi="Arial" w:cs="Arial"/>
          <w:color w:val="000000" w:themeColor="text1"/>
          <w:spacing w:val="4"/>
          <w:sz w:val="24"/>
          <w:szCs w:val="24"/>
          <w:lang w:eastAsia="es-CO"/>
        </w:rPr>
        <w:t>1.2.1</w:t>
      </w:r>
      <w:r w:rsidR="008A1F2C">
        <w:rPr>
          <w:rFonts w:ascii="Arial" w:hAnsi="Arial" w:cs="Arial"/>
          <w:color w:val="000000" w:themeColor="text1"/>
          <w:spacing w:val="4"/>
          <w:sz w:val="24"/>
          <w:szCs w:val="24"/>
          <w:lang w:eastAsia="es-CO"/>
        </w:rPr>
        <w:t>2</w:t>
      </w:r>
      <w:r w:rsidRPr="001B1119">
        <w:rPr>
          <w:rFonts w:ascii="Arial" w:hAnsi="Arial" w:cs="Arial"/>
          <w:color w:val="000000" w:themeColor="text1"/>
          <w:spacing w:val="4"/>
          <w:sz w:val="24"/>
          <w:szCs w:val="24"/>
          <w:lang w:eastAsia="es-CO"/>
        </w:rPr>
        <w:t xml:space="preserve">. La apoderada del demandado, el </w:t>
      </w:r>
      <w:r w:rsidR="000163FC" w:rsidRPr="001B1119">
        <w:rPr>
          <w:rFonts w:ascii="Arial" w:hAnsi="Arial" w:cs="Arial"/>
          <w:color w:val="000000" w:themeColor="text1"/>
          <w:spacing w:val="4"/>
          <w:sz w:val="24"/>
          <w:szCs w:val="24"/>
          <w:lang w:eastAsia="es-CO"/>
        </w:rPr>
        <w:t>19</w:t>
      </w:r>
      <w:r w:rsidRPr="001B1119">
        <w:rPr>
          <w:rFonts w:ascii="Arial" w:hAnsi="Arial" w:cs="Arial"/>
          <w:color w:val="000000" w:themeColor="text1"/>
          <w:spacing w:val="4"/>
          <w:sz w:val="24"/>
          <w:szCs w:val="24"/>
          <w:lang w:eastAsia="es-CO"/>
        </w:rPr>
        <w:t xml:space="preserve"> de abril de 2023</w:t>
      </w:r>
      <w:r w:rsidRPr="001B1119">
        <w:rPr>
          <w:rStyle w:val="Refdenotaalpie"/>
          <w:rFonts w:ascii="Arial" w:hAnsi="Arial" w:cs="Arial"/>
          <w:color w:val="000000" w:themeColor="text1"/>
          <w:spacing w:val="4"/>
          <w:sz w:val="24"/>
          <w:szCs w:val="24"/>
          <w:lang w:eastAsia="es-CO"/>
        </w:rPr>
        <w:footnoteReference w:id="28"/>
      </w:r>
      <w:r w:rsidRPr="001B1119">
        <w:rPr>
          <w:rFonts w:ascii="Arial" w:hAnsi="Arial" w:cs="Arial"/>
          <w:color w:val="000000" w:themeColor="text1"/>
          <w:spacing w:val="4"/>
          <w:sz w:val="24"/>
          <w:szCs w:val="24"/>
          <w:lang w:eastAsia="es-CO"/>
        </w:rPr>
        <w:t>, presentó recurso de reposición y en subsidio súplica contra la decisión del 23 de marzo del mismo año</w:t>
      </w:r>
      <w:r w:rsidR="000163FC" w:rsidRPr="001B1119">
        <w:rPr>
          <w:rFonts w:ascii="Arial" w:hAnsi="Arial" w:cs="Arial"/>
          <w:color w:val="000000" w:themeColor="text1"/>
          <w:spacing w:val="4"/>
          <w:sz w:val="24"/>
          <w:szCs w:val="24"/>
          <w:lang w:eastAsia="es-CO"/>
        </w:rPr>
        <w:t xml:space="preserve"> y, consecuentemente, el 20 de abril de 2023</w:t>
      </w:r>
      <w:r w:rsidR="009706CD" w:rsidRPr="001B1119">
        <w:rPr>
          <w:rStyle w:val="Refdenotaalpie"/>
          <w:rFonts w:ascii="Arial" w:hAnsi="Arial" w:cs="Arial"/>
          <w:color w:val="000000" w:themeColor="text1"/>
          <w:spacing w:val="4"/>
          <w:sz w:val="24"/>
          <w:szCs w:val="24"/>
          <w:lang w:eastAsia="es-CO"/>
        </w:rPr>
        <w:footnoteReference w:id="29"/>
      </w:r>
      <w:r w:rsidR="000163FC" w:rsidRPr="001B1119">
        <w:rPr>
          <w:rFonts w:ascii="Arial" w:hAnsi="Arial" w:cs="Arial"/>
          <w:color w:val="000000" w:themeColor="text1"/>
          <w:spacing w:val="4"/>
          <w:sz w:val="24"/>
          <w:szCs w:val="24"/>
          <w:lang w:eastAsia="es-CO"/>
        </w:rPr>
        <w:t xml:space="preserve"> radicó recusación contra la totalidad de los magistrados de la Subsección B de la Sección Segunda </w:t>
      </w:r>
      <w:r w:rsidR="00642226">
        <w:rPr>
          <w:rFonts w:ascii="Arial" w:hAnsi="Arial" w:cs="Arial"/>
          <w:color w:val="000000" w:themeColor="text1"/>
          <w:spacing w:val="4"/>
          <w:sz w:val="24"/>
          <w:szCs w:val="24"/>
          <w:lang w:eastAsia="es-CO"/>
        </w:rPr>
        <w:t>para impedir su conocimiento del recurso previamente interpuesto</w:t>
      </w:r>
      <w:r w:rsidR="000163FC" w:rsidRPr="001B1119">
        <w:rPr>
          <w:rFonts w:ascii="Arial" w:hAnsi="Arial" w:cs="Arial"/>
          <w:color w:val="000000" w:themeColor="text1"/>
          <w:spacing w:val="4"/>
          <w:sz w:val="24"/>
          <w:szCs w:val="24"/>
          <w:lang w:eastAsia="es-CO"/>
        </w:rPr>
        <w:t xml:space="preserve">. </w:t>
      </w:r>
      <w:r w:rsidR="000574F2" w:rsidRPr="001B1119">
        <w:rPr>
          <w:rFonts w:ascii="Arial" w:hAnsi="Arial" w:cs="Arial"/>
          <w:color w:val="000000" w:themeColor="text1"/>
          <w:spacing w:val="4"/>
          <w:sz w:val="24"/>
          <w:szCs w:val="24"/>
          <w:lang w:eastAsia="es-CO"/>
        </w:rPr>
        <w:t>Luego, el 24 del mismo mes y año</w:t>
      </w:r>
      <w:r w:rsidR="00D35FC0" w:rsidRPr="001B1119">
        <w:rPr>
          <w:rStyle w:val="Refdenotaalpie"/>
          <w:rFonts w:ascii="Arial" w:hAnsi="Arial" w:cs="Arial"/>
          <w:color w:val="000000" w:themeColor="text1"/>
          <w:spacing w:val="4"/>
          <w:sz w:val="24"/>
          <w:szCs w:val="24"/>
          <w:lang w:eastAsia="es-CO"/>
        </w:rPr>
        <w:footnoteReference w:id="30"/>
      </w:r>
      <w:r w:rsidR="000574F2" w:rsidRPr="001B1119">
        <w:rPr>
          <w:rFonts w:ascii="Arial" w:hAnsi="Arial" w:cs="Arial"/>
          <w:color w:val="000000" w:themeColor="text1"/>
          <w:spacing w:val="4"/>
          <w:sz w:val="24"/>
          <w:szCs w:val="24"/>
          <w:lang w:eastAsia="es-CO"/>
        </w:rPr>
        <w:t xml:space="preserve">, la apoderada en comento radicó </w:t>
      </w:r>
      <w:r w:rsidR="00B02539">
        <w:rPr>
          <w:rFonts w:ascii="Arial" w:hAnsi="Arial" w:cs="Arial"/>
          <w:color w:val="000000" w:themeColor="text1"/>
          <w:spacing w:val="4"/>
          <w:sz w:val="24"/>
          <w:szCs w:val="24"/>
          <w:lang w:eastAsia="es-CO"/>
        </w:rPr>
        <w:t xml:space="preserve">solicitud </w:t>
      </w:r>
      <w:r w:rsidR="000574F2" w:rsidRPr="001B1119">
        <w:rPr>
          <w:rFonts w:ascii="Arial" w:hAnsi="Arial" w:cs="Arial"/>
          <w:color w:val="000000" w:themeColor="text1"/>
          <w:spacing w:val="4"/>
          <w:sz w:val="24"/>
          <w:szCs w:val="24"/>
          <w:lang w:eastAsia="es-CO"/>
        </w:rPr>
        <w:t xml:space="preserve">de nulidad de la providencia del 23 de marzo de 2023. </w:t>
      </w:r>
    </w:p>
    <w:p w14:paraId="21BA0250" w14:textId="77777777" w:rsidR="004A0877" w:rsidRPr="001B1119" w:rsidRDefault="004A0877" w:rsidP="00665BDA">
      <w:pPr>
        <w:spacing w:line="240" w:lineRule="auto"/>
        <w:contextualSpacing/>
        <w:jc w:val="both"/>
        <w:rPr>
          <w:rFonts w:ascii="Arial" w:hAnsi="Arial" w:cs="Arial"/>
          <w:color w:val="000000" w:themeColor="text1"/>
          <w:spacing w:val="4"/>
          <w:sz w:val="24"/>
          <w:szCs w:val="24"/>
          <w:lang w:eastAsia="es-CO"/>
        </w:rPr>
      </w:pPr>
    </w:p>
    <w:p w14:paraId="2559E031" w14:textId="1D40F0A3" w:rsidR="00037BAC" w:rsidRDefault="004A0877" w:rsidP="00476711">
      <w:pPr>
        <w:spacing w:line="240" w:lineRule="auto"/>
        <w:contextualSpacing/>
        <w:jc w:val="both"/>
        <w:rPr>
          <w:rFonts w:ascii="Arial" w:hAnsi="Arial" w:cs="Arial"/>
          <w:color w:val="000000" w:themeColor="text1"/>
          <w:spacing w:val="4"/>
          <w:sz w:val="24"/>
          <w:szCs w:val="24"/>
          <w:lang w:eastAsia="es-CO"/>
        </w:rPr>
      </w:pPr>
      <w:r w:rsidRPr="001B1119">
        <w:rPr>
          <w:rFonts w:ascii="Arial" w:hAnsi="Arial" w:cs="Arial"/>
          <w:color w:val="000000" w:themeColor="text1"/>
          <w:spacing w:val="4"/>
          <w:sz w:val="24"/>
          <w:szCs w:val="24"/>
          <w:lang w:eastAsia="es-CO"/>
        </w:rPr>
        <w:t>1.2.1</w:t>
      </w:r>
      <w:r w:rsidR="008A1F2C">
        <w:rPr>
          <w:rFonts w:ascii="Arial" w:hAnsi="Arial" w:cs="Arial"/>
          <w:color w:val="000000" w:themeColor="text1"/>
          <w:spacing w:val="4"/>
          <w:sz w:val="24"/>
          <w:szCs w:val="24"/>
          <w:lang w:eastAsia="es-CO"/>
        </w:rPr>
        <w:t>3</w:t>
      </w:r>
      <w:r w:rsidRPr="001B1119">
        <w:rPr>
          <w:rFonts w:ascii="Arial" w:hAnsi="Arial" w:cs="Arial"/>
          <w:color w:val="000000" w:themeColor="text1"/>
          <w:spacing w:val="4"/>
          <w:sz w:val="24"/>
          <w:szCs w:val="24"/>
          <w:lang w:eastAsia="es-CO"/>
        </w:rPr>
        <w:t xml:space="preserve">. La Sección Segunda, el 2 de mayo de 2023, fijó en lista los recursos interpuestos y el incidente de nulidad </w:t>
      </w:r>
      <w:r w:rsidR="00CE0AC8">
        <w:rPr>
          <w:rFonts w:ascii="Arial" w:hAnsi="Arial" w:cs="Arial"/>
          <w:color w:val="000000" w:themeColor="text1"/>
          <w:spacing w:val="4"/>
          <w:sz w:val="24"/>
          <w:szCs w:val="24"/>
          <w:lang w:eastAsia="es-CO"/>
        </w:rPr>
        <w:t>propuesto</w:t>
      </w:r>
      <w:r w:rsidRPr="001B1119">
        <w:rPr>
          <w:rFonts w:ascii="Arial" w:hAnsi="Arial" w:cs="Arial"/>
          <w:color w:val="000000" w:themeColor="text1"/>
          <w:spacing w:val="4"/>
          <w:sz w:val="24"/>
          <w:szCs w:val="24"/>
          <w:lang w:eastAsia="es-CO"/>
        </w:rPr>
        <w:t xml:space="preserve">. </w:t>
      </w:r>
      <w:r w:rsidR="00476711" w:rsidRPr="001B1119">
        <w:rPr>
          <w:rFonts w:ascii="Arial" w:hAnsi="Arial" w:cs="Arial"/>
          <w:color w:val="000000" w:themeColor="text1"/>
          <w:spacing w:val="4"/>
          <w:sz w:val="24"/>
          <w:szCs w:val="24"/>
          <w:lang w:eastAsia="es-CO"/>
        </w:rPr>
        <w:t>La apoderada de la parte demandada realizó requerimiento para el cumplimiento de términos judiciales</w:t>
      </w:r>
      <w:r w:rsidR="00476711" w:rsidRPr="001B1119">
        <w:rPr>
          <w:rStyle w:val="Refdenotaalpie"/>
          <w:rFonts w:ascii="Arial" w:hAnsi="Arial" w:cs="Arial"/>
          <w:color w:val="000000" w:themeColor="text1"/>
          <w:spacing w:val="4"/>
          <w:sz w:val="24"/>
          <w:szCs w:val="24"/>
          <w:lang w:eastAsia="es-CO"/>
        </w:rPr>
        <w:footnoteReference w:id="31"/>
      </w:r>
      <w:r w:rsidR="00476711" w:rsidRPr="001B1119">
        <w:rPr>
          <w:rFonts w:ascii="Arial" w:hAnsi="Arial" w:cs="Arial"/>
          <w:color w:val="000000" w:themeColor="text1"/>
          <w:spacing w:val="4"/>
          <w:sz w:val="24"/>
          <w:szCs w:val="24"/>
          <w:lang w:eastAsia="es-CO"/>
        </w:rPr>
        <w:t xml:space="preserve">. </w:t>
      </w:r>
      <w:r w:rsidR="008A008E" w:rsidRPr="001B1119">
        <w:rPr>
          <w:rFonts w:ascii="Arial" w:hAnsi="Arial" w:cs="Arial"/>
          <w:color w:val="000000" w:themeColor="text1"/>
          <w:spacing w:val="4"/>
          <w:sz w:val="24"/>
          <w:szCs w:val="24"/>
          <w:lang w:eastAsia="es-CO"/>
        </w:rPr>
        <w:t xml:space="preserve"> </w:t>
      </w:r>
    </w:p>
    <w:p w14:paraId="48F7C314" w14:textId="6403AFF4" w:rsidR="00916263" w:rsidRDefault="00916263" w:rsidP="00476711">
      <w:pPr>
        <w:spacing w:line="240" w:lineRule="auto"/>
        <w:contextualSpacing/>
        <w:jc w:val="both"/>
        <w:rPr>
          <w:rFonts w:ascii="Arial" w:hAnsi="Arial" w:cs="Arial"/>
          <w:color w:val="000000" w:themeColor="text1"/>
          <w:spacing w:val="4"/>
          <w:sz w:val="24"/>
          <w:szCs w:val="24"/>
          <w:lang w:eastAsia="es-CO"/>
        </w:rPr>
      </w:pPr>
    </w:p>
    <w:p w14:paraId="7C820DBC" w14:textId="7C27F1F5" w:rsidR="00916263" w:rsidRPr="001B1119" w:rsidRDefault="00916263" w:rsidP="00476711">
      <w:pPr>
        <w:spacing w:line="240" w:lineRule="auto"/>
        <w:contextualSpacing/>
        <w:jc w:val="both"/>
        <w:rPr>
          <w:rFonts w:ascii="Arial" w:hAnsi="Arial" w:cs="Arial"/>
          <w:color w:val="000000" w:themeColor="text1"/>
          <w:spacing w:val="4"/>
          <w:sz w:val="24"/>
          <w:szCs w:val="24"/>
          <w:lang w:eastAsia="es-CO"/>
        </w:rPr>
      </w:pPr>
      <w:r>
        <w:rPr>
          <w:rFonts w:ascii="Arial" w:hAnsi="Arial" w:cs="Arial"/>
          <w:color w:val="000000" w:themeColor="text1"/>
          <w:spacing w:val="4"/>
          <w:sz w:val="24"/>
          <w:szCs w:val="24"/>
          <w:lang w:eastAsia="es-CO"/>
        </w:rPr>
        <w:t xml:space="preserve">1.2.14. Elkin Enrique Díaz Camacho presentó solicitudes de vigilancia administrativa </w:t>
      </w:r>
      <w:r w:rsidR="009D2FF8">
        <w:rPr>
          <w:rFonts w:ascii="Arial" w:hAnsi="Arial" w:cs="Arial"/>
          <w:color w:val="000000" w:themeColor="text1"/>
          <w:spacing w:val="4"/>
          <w:sz w:val="24"/>
          <w:szCs w:val="24"/>
          <w:lang w:eastAsia="es-CO"/>
        </w:rPr>
        <w:t>ante el Consejo Seccional de la Judicatura de Cundinamarca</w:t>
      </w:r>
      <w:r w:rsidR="00AA5742">
        <w:rPr>
          <w:rStyle w:val="Refdenotaalpie"/>
          <w:rFonts w:ascii="Arial" w:hAnsi="Arial" w:cs="Arial"/>
          <w:color w:val="000000" w:themeColor="text1"/>
          <w:spacing w:val="4"/>
          <w:sz w:val="24"/>
          <w:szCs w:val="24"/>
          <w:lang w:eastAsia="es-CO"/>
        </w:rPr>
        <w:footnoteReference w:id="32"/>
      </w:r>
      <w:r w:rsidR="009D2FF8">
        <w:rPr>
          <w:rFonts w:ascii="Arial" w:hAnsi="Arial" w:cs="Arial"/>
          <w:color w:val="000000" w:themeColor="text1"/>
          <w:spacing w:val="4"/>
          <w:sz w:val="24"/>
          <w:szCs w:val="24"/>
          <w:lang w:eastAsia="es-CO"/>
        </w:rPr>
        <w:t xml:space="preserve">, </w:t>
      </w:r>
      <w:r w:rsidR="00AA1F3F">
        <w:rPr>
          <w:rFonts w:ascii="Arial" w:hAnsi="Arial" w:cs="Arial"/>
          <w:color w:val="000000" w:themeColor="text1"/>
          <w:spacing w:val="4"/>
          <w:sz w:val="24"/>
          <w:szCs w:val="24"/>
          <w:lang w:eastAsia="es-CO"/>
        </w:rPr>
        <w:t xml:space="preserve">pues consideró </w:t>
      </w:r>
      <w:r w:rsidR="009D2FF8">
        <w:rPr>
          <w:rFonts w:ascii="Arial" w:hAnsi="Arial" w:cs="Arial"/>
          <w:color w:val="000000" w:themeColor="text1"/>
          <w:spacing w:val="4"/>
          <w:sz w:val="24"/>
          <w:szCs w:val="24"/>
          <w:lang w:eastAsia="es-CO"/>
        </w:rPr>
        <w:t xml:space="preserve">que la secretaría de la Sección Segunda </w:t>
      </w:r>
      <w:r w:rsidR="00B02539">
        <w:rPr>
          <w:rFonts w:ascii="Arial" w:hAnsi="Arial" w:cs="Arial"/>
          <w:color w:val="000000" w:themeColor="text1"/>
          <w:spacing w:val="4"/>
          <w:sz w:val="24"/>
          <w:szCs w:val="24"/>
          <w:lang w:eastAsia="es-CO"/>
        </w:rPr>
        <w:t xml:space="preserve">omitió </w:t>
      </w:r>
      <w:r w:rsidR="009D2FF8">
        <w:rPr>
          <w:rFonts w:ascii="Arial" w:hAnsi="Arial" w:cs="Arial"/>
          <w:color w:val="000000" w:themeColor="text1"/>
          <w:spacing w:val="4"/>
          <w:sz w:val="24"/>
          <w:szCs w:val="24"/>
          <w:lang w:eastAsia="es-CO"/>
        </w:rPr>
        <w:t xml:space="preserve">dar cabal cumplimiento a la orden contenida en la providencia del 9 de febrero de 2023, relativa al envío del expediente al sustanciador de la Sección Quinta. </w:t>
      </w:r>
    </w:p>
    <w:p w14:paraId="03FA746C" w14:textId="77777777" w:rsidR="00037BAC" w:rsidRPr="008D7EF0" w:rsidRDefault="00037BAC" w:rsidP="00037BAC">
      <w:pPr>
        <w:spacing w:line="240" w:lineRule="auto"/>
        <w:contextualSpacing/>
        <w:rPr>
          <w:rFonts w:ascii="Arial" w:eastAsia="Verdana" w:hAnsi="Arial" w:cs="Arial"/>
          <w:bCs/>
          <w:sz w:val="24"/>
          <w:szCs w:val="24"/>
        </w:rPr>
      </w:pPr>
    </w:p>
    <w:p w14:paraId="3A5104B0" w14:textId="77777777" w:rsidR="00037BAC" w:rsidRDefault="00620B8B" w:rsidP="00620B8B">
      <w:pPr>
        <w:overflowPunct w:val="0"/>
        <w:autoSpaceDE w:val="0"/>
        <w:autoSpaceDN w:val="0"/>
        <w:adjustRightInd w:val="0"/>
        <w:spacing w:line="240" w:lineRule="auto"/>
        <w:contextualSpacing/>
        <w:rPr>
          <w:rFonts w:ascii="Arial" w:eastAsia="Times New Roman" w:hAnsi="Arial" w:cs="Arial"/>
          <w:b/>
          <w:sz w:val="24"/>
          <w:szCs w:val="24"/>
          <w:lang w:eastAsia="es-ES"/>
        </w:rPr>
      </w:pPr>
      <w:r>
        <w:rPr>
          <w:rFonts w:ascii="Arial" w:eastAsia="Times New Roman" w:hAnsi="Arial" w:cs="Arial"/>
          <w:b/>
          <w:sz w:val="24"/>
          <w:szCs w:val="24"/>
          <w:lang w:eastAsia="es-ES"/>
        </w:rPr>
        <w:t xml:space="preserve">1.3. </w:t>
      </w:r>
      <w:r w:rsidR="00037BAC">
        <w:rPr>
          <w:rFonts w:ascii="Arial" w:eastAsia="Times New Roman" w:hAnsi="Arial" w:cs="Arial"/>
          <w:b/>
          <w:sz w:val="24"/>
          <w:szCs w:val="24"/>
          <w:lang w:eastAsia="es-ES"/>
        </w:rPr>
        <w:t xml:space="preserve">Pretensiones </w:t>
      </w:r>
      <w:r w:rsidR="00710037">
        <w:rPr>
          <w:rFonts w:ascii="Arial" w:eastAsia="Times New Roman" w:hAnsi="Arial" w:cs="Arial"/>
          <w:b/>
          <w:sz w:val="24"/>
          <w:szCs w:val="24"/>
          <w:lang w:eastAsia="es-ES"/>
        </w:rPr>
        <w:t xml:space="preserve">y argumentos de la solicitud </w:t>
      </w:r>
      <w:r w:rsidR="00037BAC">
        <w:rPr>
          <w:rFonts w:ascii="Arial" w:eastAsia="Times New Roman" w:hAnsi="Arial" w:cs="Arial"/>
          <w:b/>
          <w:sz w:val="24"/>
          <w:szCs w:val="24"/>
          <w:lang w:eastAsia="es-ES"/>
        </w:rPr>
        <w:t>de tutela</w:t>
      </w:r>
    </w:p>
    <w:p w14:paraId="512DA948" w14:textId="77777777" w:rsidR="00037BAC" w:rsidRPr="0009048C" w:rsidRDefault="00037BAC" w:rsidP="00037BAC">
      <w:pPr>
        <w:overflowPunct w:val="0"/>
        <w:autoSpaceDE w:val="0"/>
        <w:autoSpaceDN w:val="0"/>
        <w:adjustRightInd w:val="0"/>
        <w:spacing w:line="240" w:lineRule="auto"/>
        <w:ind w:left="1080"/>
        <w:contextualSpacing/>
        <w:rPr>
          <w:rFonts w:ascii="Arial" w:eastAsia="Times New Roman" w:hAnsi="Arial" w:cs="Arial"/>
          <w:b/>
          <w:sz w:val="24"/>
          <w:szCs w:val="24"/>
          <w:lang w:eastAsia="es-ES"/>
        </w:rPr>
      </w:pPr>
    </w:p>
    <w:p w14:paraId="5FC404B9" w14:textId="2322BDA9" w:rsidR="00037BAC" w:rsidRDefault="00037BAC" w:rsidP="00037BAC">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El accionante solicitó declarar que las autoridades accionadas en las providencias del 1 de diciembre de 2022 y </w:t>
      </w:r>
      <w:r w:rsidRPr="00FD3FED">
        <w:rPr>
          <w:rFonts w:ascii="Arial" w:eastAsia="Arial Unicode MS" w:hAnsi="Arial" w:cs="Arial"/>
          <w:sz w:val="24"/>
          <w:szCs w:val="24"/>
        </w:rPr>
        <w:t xml:space="preserve">del 9 de </w:t>
      </w:r>
      <w:r w:rsidR="00FD3FED" w:rsidRPr="00FD3FED">
        <w:rPr>
          <w:rFonts w:ascii="Arial" w:eastAsia="Arial Unicode MS" w:hAnsi="Arial" w:cs="Arial"/>
          <w:sz w:val="24"/>
          <w:szCs w:val="24"/>
        </w:rPr>
        <w:t xml:space="preserve">febrero </w:t>
      </w:r>
      <w:r w:rsidRPr="00FD3FED">
        <w:rPr>
          <w:rFonts w:ascii="Arial" w:eastAsia="Arial Unicode MS" w:hAnsi="Arial" w:cs="Arial"/>
          <w:sz w:val="24"/>
          <w:szCs w:val="24"/>
        </w:rPr>
        <w:t xml:space="preserve">de 2023, desconocieron sus derechos fundamentales al debido proceso, </w:t>
      </w:r>
      <w:r w:rsidR="00E92D70">
        <w:rPr>
          <w:rFonts w:ascii="Arial" w:eastAsia="Arial Unicode MS" w:hAnsi="Arial" w:cs="Arial"/>
          <w:sz w:val="24"/>
          <w:szCs w:val="24"/>
        </w:rPr>
        <w:t xml:space="preserve">a la </w:t>
      </w:r>
      <w:r w:rsidRPr="00FD3FED">
        <w:rPr>
          <w:rFonts w:ascii="Arial" w:eastAsia="Arial Unicode MS" w:hAnsi="Arial" w:cs="Arial"/>
          <w:sz w:val="24"/>
          <w:szCs w:val="24"/>
        </w:rPr>
        <w:t xml:space="preserve">cosa juzgada, </w:t>
      </w:r>
      <w:r w:rsidR="00E92D70">
        <w:rPr>
          <w:rFonts w:ascii="Arial" w:eastAsia="Arial Unicode MS" w:hAnsi="Arial" w:cs="Arial"/>
          <w:sz w:val="24"/>
          <w:szCs w:val="24"/>
        </w:rPr>
        <w:t xml:space="preserve">a la </w:t>
      </w:r>
      <w:r w:rsidRPr="00FD3FED">
        <w:rPr>
          <w:rFonts w:ascii="Arial" w:eastAsia="Arial Unicode MS" w:hAnsi="Arial" w:cs="Arial"/>
          <w:sz w:val="24"/>
          <w:szCs w:val="24"/>
        </w:rPr>
        <w:t>seguridad</w:t>
      </w:r>
      <w:r>
        <w:rPr>
          <w:rFonts w:ascii="Arial" w:eastAsia="Arial Unicode MS" w:hAnsi="Arial" w:cs="Arial"/>
          <w:sz w:val="24"/>
          <w:szCs w:val="24"/>
        </w:rPr>
        <w:t xml:space="preserve"> jurídica, </w:t>
      </w:r>
      <w:r w:rsidR="00E92D70">
        <w:rPr>
          <w:rFonts w:ascii="Arial" w:eastAsia="Arial Unicode MS" w:hAnsi="Arial" w:cs="Arial"/>
          <w:sz w:val="24"/>
          <w:szCs w:val="24"/>
        </w:rPr>
        <w:t xml:space="preserve">a la </w:t>
      </w:r>
      <w:r>
        <w:rPr>
          <w:rFonts w:ascii="Arial" w:eastAsia="Arial Unicode MS" w:hAnsi="Arial" w:cs="Arial"/>
          <w:sz w:val="24"/>
          <w:szCs w:val="24"/>
        </w:rPr>
        <w:t xml:space="preserve">confianza legítima y </w:t>
      </w:r>
      <w:r w:rsidR="00E92D70">
        <w:rPr>
          <w:rFonts w:ascii="Arial" w:eastAsia="Arial Unicode MS" w:hAnsi="Arial" w:cs="Arial"/>
          <w:sz w:val="24"/>
          <w:szCs w:val="24"/>
        </w:rPr>
        <w:t xml:space="preserve">a la </w:t>
      </w:r>
      <w:r>
        <w:rPr>
          <w:rFonts w:ascii="Arial" w:eastAsia="Arial Unicode MS" w:hAnsi="Arial" w:cs="Arial"/>
          <w:sz w:val="24"/>
          <w:szCs w:val="24"/>
        </w:rPr>
        <w:t>tutela efectiva, por dar trámite a las recusaciones que presentó el demandado Andrés Gómez Martínez</w:t>
      </w:r>
      <w:r w:rsidR="00E92D70">
        <w:rPr>
          <w:rFonts w:ascii="Arial" w:eastAsia="Arial Unicode MS" w:hAnsi="Arial" w:cs="Arial"/>
          <w:sz w:val="24"/>
          <w:szCs w:val="24"/>
        </w:rPr>
        <w:t xml:space="preserve"> </w:t>
      </w:r>
      <w:r>
        <w:rPr>
          <w:rFonts w:ascii="Arial" w:eastAsia="Arial Unicode MS" w:hAnsi="Arial" w:cs="Arial"/>
          <w:sz w:val="24"/>
          <w:szCs w:val="24"/>
        </w:rPr>
        <w:t xml:space="preserve">después de haber quedado en firme la decisión de cierre del 11 de noviembre de 2022 dictada por la Sección Primera. </w:t>
      </w:r>
    </w:p>
    <w:p w14:paraId="7DF617AD" w14:textId="77777777" w:rsidR="00C20647" w:rsidRDefault="00C20647" w:rsidP="00037BAC">
      <w:pPr>
        <w:overflowPunct w:val="0"/>
        <w:autoSpaceDE w:val="0"/>
        <w:autoSpaceDN w:val="0"/>
        <w:adjustRightInd w:val="0"/>
        <w:spacing w:line="240" w:lineRule="auto"/>
        <w:contextualSpacing/>
        <w:jc w:val="both"/>
        <w:rPr>
          <w:rFonts w:ascii="Arial" w:eastAsia="Arial Unicode MS" w:hAnsi="Arial" w:cs="Arial"/>
          <w:sz w:val="24"/>
          <w:szCs w:val="24"/>
        </w:rPr>
      </w:pPr>
    </w:p>
    <w:p w14:paraId="212ABE86" w14:textId="77777777" w:rsidR="00B02539" w:rsidRDefault="00C20647" w:rsidP="00037BAC">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Así pues, que</w:t>
      </w:r>
      <w:r w:rsidR="001057FC">
        <w:rPr>
          <w:rFonts w:ascii="Arial" w:eastAsia="Arial Unicode MS" w:hAnsi="Arial" w:cs="Arial"/>
          <w:sz w:val="24"/>
          <w:szCs w:val="24"/>
        </w:rPr>
        <w:t xml:space="preserve">, </w:t>
      </w:r>
      <w:r>
        <w:rPr>
          <w:rFonts w:ascii="Arial" w:eastAsia="Arial Unicode MS" w:hAnsi="Arial" w:cs="Arial"/>
          <w:sz w:val="24"/>
          <w:szCs w:val="24"/>
        </w:rPr>
        <w:t>como consecuencia de lo anterior</w:t>
      </w:r>
      <w:r w:rsidR="001057FC">
        <w:rPr>
          <w:rFonts w:ascii="Arial" w:eastAsia="Arial Unicode MS" w:hAnsi="Arial" w:cs="Arial"/>
          <w:sz w:val="24"/>
          <w:szCs w:val="24"/>
        </w:rPr>
        <w:t xml:space="preserve">, </w:t>
      </w:r>
      <w:r>
        <w:rPr>
          <w:rFonts w:ascii="Arial" w:eastAsia="Arial Unicode MS" w:hAnsi="Arial" w:cs="Arial"/>
          <w:sz w:val="24"/>
          <w:szCs w:val="24"/>
        </w:rPr>
        <w:t xml:space="preserve">el juez de tutela </w:t>
      </w:r>
      <w:r w:rsidR="00331F1A">
        <w:rPr>
          <w:rFonts w:ascii="Arial" w:eastAsia="Arial Unicode MS" w:hAnsi="Arial" w:cs="Arial"/>
          <w:sz w:val="24"/>
          <w:szCs w:val="24"/>
        </w:rPr>
        <w:t xml:space="preserve">debe ordenar </w:t>
      </w:r>
      <w:r>
        <w:rPr>
          <w:rFonts w:ascii="Arial" w:eastAsia="Arial Unicode MS" w:hAnsi="Arial" w:cs="Arial"/>
          <w:sz w:val="24"/>
          <w:szCs w:val="24"/>
        </w:rPr>
        <w:t>a la Subsección B de la Sección Segunda cesar el trámite de las recusaciones que cursan ante la autoridad, con el fin de devolver inmediatamente el expediente al consejero de Estado Carlos Enrique Moreno Rubio de la Sección Quinta, para que</w:t>
      </w:r>
      <w:r w:rsidR="00331F1A">
        <w:rPr>
          <w:rFonts w:ascii="Arial" w:eastAsia="Arial Unicode MS" w:hAnsi="Arial" w:cs="Arial"/>
          <w:sz w:val="24"/>
          <w:szCs w:val="24"/>
        </w:rPr>
        <w:t>, como ponente,</w:t>
      </w:r>
      <w:r>
        <w:rPr>
          <w:rFonts w:ascii="Arial" w:eastAsia="Arial Unicode MS" w:hAnsi="Arial" w:cs="Arial"/>
          <w:sz w:val="24"/>
          <w:szCs w:val="24"/>
        </w:rPr>
        <w:t xml:space="preserve"> continúe con el </w:t>
      </w:r>
      <w:r w:rsidR="001057FC">
        <w:rPr>
          <w:rFonts w:ascii="Arial" w:eastAsia="Arial Unicode MS" w:hAnsi="Arial" w:cs="Arial"/>
          <w:sz w:val="24"/>
          <w:szCs w:val="24"/>
        </w:rPr>
        <w:t xml:space="preserve">curso del </w:t>
      </w:r>
      <w:r>
        <w:rPr>
          <w:rFonts w:ascii="Arial" w:eastAsia="Arial Unicode MS" w:hAnsi="Arial" w:cs="Arial"/>
          <w:sz w:val="24"/>
          <w:szCs w:val="24"/>
        </w:rPr>
        <w:t xml:space="preserve">proceso electoral conforme se ordenó en providencia del 11 de noviembre de 2022. </w:t>
      </w:r>
    </w:p>
    <w:p w14:paraId="2F2A3E93" w14:textId="77777777" w:rsidR="00B02539" w:rsidRDefault="00B02539" w:rsidP="00037BAC">
      <w:pPr>
        <w:overflowPunct w:val="0"/>
        <w:autoSpaceDE w:val="0"/>
        <w:autoSpaceDN w:val="0"/>
        <w:adjustRightInd w:val="0"/>
        <w:spacing w:line="240" w:lineRule="auto"/>
        <w:contextualSpacing/>
        <w:jc w:val="both"/>
        <w:rPr>
          <w:rFonts w:ascii="Arial" w:eastAsia="Arial Unicode MS" w:hAnsi="Arial" w:cs="Arial"/>
          <w:sz w:val="24"/>
          <w:szCs w:val="24"/>
        </w:rPr>
      </w:pPr>
    </w:p>
    <w:p w14:paraId="3C8E4BD9" w14:textId="7117F95D" w:rsidR="003F1D75" w:rsidRDefault="00B02539" w:rsidP="00037BAC">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El accionante p</w:t>
      </w:r>
      <w:r w:rsidR="003F1D75">
        <w:rPr>
          <w:rFonts w:ascii="Arial" w:eastAsia="Arial Unicode MS" w:hAnsi="Arial" w:cs="Arial"/>
          <w:sz w:val="24"/>
          <w:szCs w:val="24"/>
        </w:rPr>
        <w:t xml:space="preserve">resentó los siguientes argumentos que esta </w:t>
      </w:r>
      <w:r w:rsidR="00CB70AF">
        <w:rPr>
          <w:rFonts w:ascii="Arial" w:eastAsia="Arial Unicode MS" w:hAnsi="Arial" w:cs="Arial"/>
          <w:sz w:val="24"/>
          <w:szCs w:val="24"/>
        </w:rPr>
        <w:t xml:space="preserve">Sala </w:t>
      </w:r>
      <w:r w:rsidR="003F1D75">
        <w:rPr>
          <w:rFonts w:ascii="Arial" w:eastAsia="Arial Unicode MS" w:hAnsi="Arial" w:cs="Arial"/>
          <w:sz w:val="24"/>
          <w:szCs w:val="24"/>
        </w:rPr>
        <w:t>procede a dividir de conformidad con las autoridades accionadas:</w:t>
      </w:r>
      <w:r w:rsidR="00050FAB">
        <w:rPr>
          <w:rFonts w:ascii="Arial" w:eastAsia="Arial Unicode MS" w:hAnsi="Arial" w:cs="Arial"/>
          <w:sz w:val="24"/>
          <w:szCs w:val="24"/>
        </w:rPr>
        <w:t xml:space="preserve"> </w:t>
      </w:r>
    </w:p>
    <w:p w14:paraId="3A00A790" w14:textId="77777777" w:rsidR="00053F33" w:rsidRDefault="00053F33" w:rsidP="00037BAC">
      <w:pPr>
        <w:overflowPunct w:val="0"/>
        <w:autoSpaceDE w:val="0"/>
        <w:autoSpaceDN w:val="0"/>
        <w:adjustRightInd w:val="0"/>
        <w:spacing w:line="240" w:lineRule="auto"/>
        <w:contextualSpacing/>
        <w:jc w:val="both"/>
        <w:rPr>
          <w:rFonts w:ascii="Arial" w:eastAsia="Arial Unicode MS" w:hAnsi="Arial" w:cs="Arial"/>
          <w:sz w:val="24"/>
          <w:szCs w:val="24"/>
        </w:rPr>
      </w:pPr>
    </w:p>
    <w:p w14:paraId="46291016" w14:textId="2F330157" w:rsidR="00037BAC" w:rsidRDefault="003F1D75" w:rsidP="00037BAC">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1. </w:t>
      </w:r>
      <w:r w:rsidRPr="00331F1A">
        <w:rPr>
          <w:rFonts w:ascii="Arial" w:eastAsia="Arial Unicode MS" w:hAnsi="Arial" w:cs="Arial"/>
          <w:b/>
          <w:sz w:val="24"/>
          <w:szCs w:val="24"/>
        </w:rPr>
        <w:t>Sección Primera</w:t>
      </w:r>
      <w:r>
        <w:rPr>
          <w:rFonts w:ascii="Arial" w:eastAsia="Arial Unicode MS" w:hAnsi="Arial" w:cs="Arial"/>
          <w:sz w:val="24"/>
          <w:szCs w:val="24"/>
        </w:rPr>
        <w:t xml:space="preserve">: la parte actora adujo que </w:t>
      </w:r>
      <w:r w:rsidR="00FF0521">
        <w:rPr>
          <w:rFonts w:ascii="Arial" w:eastAsia="Arial Unicode MS" w:hAnsi="Arial" w:cs="Arial"/>
          <w:sz w:val="24"/>
          <w:szCs w:val="24"/>
        </w:rPr>
        <w:t xml:space="preserve">la decisión que la Sección Primera dictó el 11 de noviembre de 2022 fue de cierre, en la que declaró infundada la recusación que se presentó </w:t>
      </w:r>
      <w:r w:rsidR="007C6BCE">
        <w:rPr>
          <w:rFonts w:ascii="Arial" w:eastAsia="Arial Unicode MS" w:hAnsi="Arial" w:cs="Arial"/>
          <w:sz w:val="24"/>
          <w:szCs w:val="24"/>
        </w:rPr>
        <w:t xml:space="preserve">en </w:t>
      </w:r>
      <w:r w:rsidR="00FF0521">
        <w:rPr>
          <w:rFonts w:ascii="Arial" w:eastAsia="Arial Unicode MS" w:hAnsi="Arial" w:cs="Arial"/>
          <w:sz w:val="24"/>
          <w:szCs w:val="24"/>
        </w:rPr>
        <w:t>contra los consejeros de Estado de la Sección Quinta Pedro Pablo Vanegas Gil, Luis Alberto Álvarez Parra, Rocío Araujo Oñate y Carlos Enrique Moreno Rubio, de modo que, a pesar de que la apoderada del demandado Andrés Gómez Martínez presentó nueva recusación el 15 de noviembre del mismo año</w:t>
      </w:r>
      <w:r w:rsidR="00812B35">
        <w:rPr>
          <w:rStyle w:val="Refdenotaalpie"/>
          <w:rFonts w:ascii="Arial" w:eastAsia="Arial Unicode MS" w:hAnsi="Arial" w:cs="Arial"/>
          <w:sz w:val="24"/>
          <w:szCs w:val="24"/>
        </w:rPr>
        <w:footnoteReference w:id="33"/>
      </w:r>
      <w:r w:rsidR="00FF0521">
        <w:rPr>
          <w:rFonts w:ascii="Arial" w:eastAsia="Arial Unicode MS" w:hAnsi="Arial" w:cs="Arial"/>
          <w:sz w:val="24"/>
          <w:szCs w:val="24"/>
        </w:rPr>
        <w:t xml:space="preserve">, esta vez contra la totalidad de los magistrados de la Sección Primera, esta última debió haber devuelto el expediente a la Sección Quinta para continuar con el trámite electoral. </w:t>
      </w:r>
    </w:p>
    <w:p w14:paraId="305AEE7D" w14:textId="77777777" w:rsidR="00FF0521" w:rsidRDefault="00FF0521" w:rsidP="00037BAC">
      <w:pPr>
        <w:overflowPunct w:val="0"/>
        <w:autoSpaceDE w:val="0"/>
        <w:autoSpaceDN w:val="0"/>
        <w:adjustRightInd w:val="0"/>
        <w:spacing w:line="240" w:lineRule="auto"/>
        <w:contextualSpacing/>
        <w:jc w:val="both"/>
        <w:rPr>
          <w:rFonts w:ascii="Arial" w:eastAsia="Arial Unicode MS" w:hAnsi="Arial" w:cs="Arial"/>
          <w:sz w:val="24"/>
          <w:szCs w:val="24"/>
        </w:rPr>
      </w:pPr>
    </w:p>
    <w:p w14:paraId="2B7C0ABA" w14:textId="21559777" w:rsidR="00FF0521" w:rsidRPr="000E6E3A" w:rsidRDefault="00FF0521" w:rsidP="00037BAC">
      <w:pPr>
        <w:overflowPunct w:val="0"/>
        <w:autoSpaceDE w:val="0"/>
        <w:autoSpaceDN w:val="0"/>
        <w:adjustRightInd w:val="0"/>
        <w:spacing w:line="240" w:lineRule="auto"/>
        <w:contextualSpacing/>
        <w:jc w:val="both"/>
        <w:rPr>
          <w:rFonts w:ascii="Arial" w:eastAsia="Arial Unicode MS" w:hAnsi="Arial" w:cs="Arial"/>
          <w:color w:val="000000" w:themeColor="text1"/>
          <w:sz w:val="24"/>
          <w:szCs w:val="24"/>
        </w:rPr>
      </w:pPr>
      <w:r>
        <w:rPr>
          <w:rFonts w:ascii="Arial" w:eastAsia="Arial Unicode MS" w:hAnsi="Arial" w:cs="Arial"/>
          <w:sz w:val="24"/>
          <w:szCs w:val="24"/>
        </w:rPr>
        <w:t xml:space="preserve">En contraposición, puso de presente que la </w:t>
      </w:r>
      <w:r w:rsidRPr="00B00891">
        <w:rPr>
          <w:rFonts w:ascii="Arial" w:eastAsia="Arial Unicode MS" w:hAnsi="Arial" w:cs="Arial"/>
          <w:color w:val="000000" w:themeColor="text1"/>
          <w:sz w:val="24"/>
          <w:szCs w:val="24"/>
        </w:rPr>
        <w:t>Sección Primera le dio trámite a la solicitud de recusación</w:t>
      </w:r>
      <w:r w:rsidR="00375436" w:rsidRPr="00B00891">
        <w:rPr>
          <w:rFonts w:ascii="Arial" w:eastAsia="Arial Unicode MS" w:hAnsi="Arial" w:cs="Arial"/>
          <w:color w:val="000000" w:themeColor="text1"/>
          <w:sz w:val="24"/>
          <w:szCs w:val="24"/>
        </w:rPr>
        <w:t xml:space="preserve"> y dictó providencia el 1 de diciembre de 2022</w:t>
      </w:r>
      <w:r w:rsidRPr="00B00891">
        <w:rPr>
          <w:rFonts w:ascii="Arial" w:eastAsia="Arial Unicode MS" w:hAnsi="Arial" w:cs="Arial"/>
          <w:color w:val="000000" w:themeColor="text1"/>
          <w:sz w:val="24"/>
          <w:szCs w:val="24"/>
        </w:rPr>
        <w:t xml:space="preserve">, en abierta </w:t>
      </w:r>
      <w:r w:rsidR="001057FC">
        <w:rPr>
          <w:rFonts w:ascii="Arial" w:eastAsia="Arial Unicode MS" w:hAnsi="Arial" w:cs="Arial"/>
          <w:color w:val="000000" w:themeColor="text1"/>
          <w:sz w:val="24"/>
          <w:szCs w:val="24"/>
        </w:rPr>
        <w:t xml:space="preserve">contravención </w:t>
      </w:r>
      <w:r w:rsidRPr="00B00891">
        <w:rPr>
          <w:rFonts w:ascii="Arial" w:eastAsia="Arial Unicode MS" w:hAnsi="Arial" w:cs="Arial"/>
          <w:color w:val="000000" w:themeColor="text1"/>
          <w:sz w:val="24"/>
          <w:szCs w:val="24"/>
        </w:rPr>
        <w:t xml:space="preserve">al contenido del numeral 3 del artículo 132 </w:t>
      </w:r>
      <w:r w:rsidR="001057FC">
        <w:rPr>
          <w:rFonts w:ascii="Arial" w:eastAsia="Arial Unicode MS" w:hAnsi="Arial" w:cs="Arial"/>
          <w:color w:val="000000" w:themeColor="text1"/>
          <w:sz w:val="24"/>
          <w:szCs w:val="24"/>
        </w:rPr>
        <w:t xml:space="preserve">del </w:t>
      </w:r>
      <w:r w:rsidRPr="00B00891">
        <w:rPr>
          <w:rFonts w:ascii="Arial" w:eastAsia="Arial Unicode MS" w:hAnsi="Arial" w:cs="Arial"/>
          <w:color w:val="000000" w:themeColor="text1"/>
          <w:sz w:val="24"/>
          <w:szCs w:val="24"/>
        </w:rPr>
        <w:t>CPACA</w:t>
      </w:r>
      <w:r w:rsidR="00B4201D" w:rsidRPr="00B00891">
        <w:rPr>
          <w:rStyle w:val="Refdenotaalpie"/>
          <w:rFonts w:ascii="Arial" w:eastAsia="Arial Unicode MS" w:hAnsi="Arial" w:cs="Arial"/>
          <w:color w:val="000000" w:themeColor="text1"/>
          <w:sz w:val="24"/>
          <w:szCs w:val="24"/>
        </w:rPr>
        <w:footnoteReference w:id="34"/>
      </w:r>
      <w:r w:rsidRPr="00B00891">
        <w:rPr>
          <w:rFonts w:ascii="Arial" w:eastAsia="Arial Unicode MS" w:hAnsi="Arial" w:cs="Arial"/>
          <w:color w:val="000000" w:themeColor="text1"/>
          <w:sz w:val="24"/>
          <w:szCs w:val="24"/>
        </w:rPr>
        <w:t xml:space="preserve">, que establece que: </w:t>
      </w:r>
    </w:p>
    <w:p w14:paraId="50B448D4" w14:textId="77777777" w:rsidR="00FF0521" w:rsidRPr="000E6E3A" w:rsidRDefault="00FF0521" w:rsidP="00037BAC">
      <w:pPr>
        <w:overflowPunct w:val="0"/>
        <w:autoSpaceDE w:val="0"/>
        <w:autoSpaceDN w:val="0"/>
        <w:adjustRightInd w:val="0"/>
        <w:spacing w:line="240" w:lineRule="auto"/>
        <w:contextualSpacing/>
        <w:jc w:val="both"/>
        <w:rPr>
          <w:rFonts w:ascii="Arial" w:eastAsia="Arial Unicode MS" w:hAnsi="Arial" w:cs="Arial"/>
          <w:color w:val="000000" w:themeColor="text1"/>
          <w:sz w:val="24"/>
          <w:szCs w:val="24"/>
        </w:rPr>
      </w:pPr>
    </w:p>
    <w:p w14:paraId="2F5ABCE4" w14:textId="77777777" w:rsidR="00FF0521" w:rsidRDefault="00FF0521" w:rsidP="00FF0521">
      <w:pPr>
        <w:overflowPunct w:val="0"/>
        <w:autoSpaceDE w:val="0"/>
        <w:autoSpaceDN w:val="0"/>
        <w:adjustRightInd w:val="0"/>
        <w:spacing w:line="240" w:lineRule="auto"/>
        <w:ind w:left="708"/>
        <w:contextualSpacing/>
        <w:jc w:val="both"/>
        <w:rPr>
          <w:rFonts w:ascii="Arial" w:hAnsi="Arial" w:cs="Arial"/>
        </w:rPr>
      </w:pPr>
      <w:r w:rsidRPr="000E6E3A">
        <w:rPr>
          <w:rFonts w:ascii="Arial" w:hAnsi="Arial" w:cs="Arial"/>
          <w:color w:val="000000" w:themeColor="text1"/>
        </w:rPr>
        <w:t xml:space="preserve">“4.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expediente para que la misma sección </w:t>
      </w:r>
      <w:r w:rsidRPr="00FF0521">
        <w:rPr>
          <w:rFonts w:ascii="Arial" w:hAnsi="Arial" w:cs="Arial"/>
        </w:rPr>
        <w:t xml:space="preserve">o subsección continúe el trámite del mismo”. </w:t>
      </w:r>
    </w:p>
    <w:p w14:paraId="470D426E" w14:textId="77777777" w:rsidR="00984190" w:rsidRDefault="00984190" w:rsidP="00FF0521">
      <w:pPr>
        <w:overflowPunct w:val="0"/>
        <w:autoSpaceDE w:val="0"/>
        <w:autoSpaceDN w:val="0"/>
        <w:adjustRightInd w:val="0"/>
        <w:spacing w:line="240" w:lineRule="auto"/>
        <w:ind w:left="708"/>
        <w:contextualSpacing/>
        <w:jc w:val="both"/>
        <w:rPr>
          <w:rFonts w:ascii="Arial" w:eastAsia="Arial Unicode MS" w:hAnsi="Arial" w:cs="Arial"/>
          <w:sz w:val="24"/>
          <w:szCs w:val="24"/>
        </w:rPr>
      </w:pPr>
    </w:p>
    <w:p w14:paraId="62BA5A5D" w14:textId="76798E2F" w:rsidR="00984190" w:rsidRDefault="00984190" w:rsidP="00984190">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Lo anterior, en la medida en que la norma citada a juicio del accionante es clara en precisar que la decisión que se emite es de plano, de modo que no admite la interposición de nuevos recursos o insistentes </w:t>
      </w:r>
      <w:r w:rsidR="007C6BCE">
        <w:rPr>
          <w:rFonts w:ascii="Arial" w:eastAsia="Arial Unicode MS" w:hAnsi="Arial" w:cs="Arial"/>
          <w:sz w:val="24"/>
          <w:szCs w:val="24"/>
        </w:rPr>
        <w:t xml:space="preserve">de </w:t>
      </w:r>
      <w:r>
        <w:rPr>
          <w:rFonts w:ascii="Arial" w:eastAsia="Arial Unicode MS" w:hAnsi="Arial" w:cs="Arial"/>
          <w:sz w:val="24"/>
          <w:szCs w:val="24"/>
        </w:rPr>
        <w:t>recusaci</w:t>
      </w:r>
      <w:r w:rsidR="007C6BCE">
        <w:rPr>
          <w:rFonts w:ascii="Arial" w:eastAsia="Arial Unicode MS" w:hAnsi="Arial" w:cs="Arial"/>
          <w:sz w:val="24"/>
          <w:szCs w:val="24"/>
        </w:rPr>
        <w:t>ón</w:t>
      </w:r>
      <w:r>
        <w:rPr>
          <w:rFonts w:ascii="Arial" w:eastAsia="Arial Unicode MS" w:hAnsi="Arial" w:cs="Arial"/>
          <w:sz w:val="24"/>
          <w:szCs w:val="24"/>
        </w:rPr>
        <w:t xml:space="preserve">. En línea con ello, consideró que la Sección Primera </w:t>
      </w:r>
      <w:r w:rsidR="00677FEE">
        <w:rPr>
          <w:rFonts w:ascii="Arial" w:eastAsia="Arial Unicode MS" w:hAnsi="Arial" w:cs="Arial"/>
          <w:sz w:val="24"/>
          <w:szCs w:val="24"/>
        </w:rPr>
        <w:t xml:space="preserve">también </w:t>
      </w:r>
      <w:r>
        <w:rPr>
          <w:rFonts w:ascii="Arial" w:eastAsia="Arial Unicode MS" w:hAnsi="Arial" w:cs="Arial"/>
          <w:sz w:val="24"/>
          <w:szCs w:val="24"/>
        </w:rPr>
        <w:t xml:space="preserve">inadvirtió el contenido del </w:t>
      </w:r>
      <w:r w:rsidR="008B3E2F">
        <w:rPr>
          <w:rFonts w:ascii="Arial" w:eastAsia="Arial Unicode MS" w:hAnsi="Arial" w:cs="Arial"/>
          <w:sz w:val="24"/>
          <w:szCs w:val="24"/>
        </w:rPr>
        <w:t xml:space="preserve">literal 5 del </w:t>
      </w:r>
      <w:r>
        <w:rPr>
          <w:rFonts w:ascii="Arial" w:eastAsia="Arial Unicode MS" w:hAnsi="Arial" w:cs="Arial"/>
          <w:sz w:val="24"/>
          <w:szCs w:val="24"/>
        </w:rPr>
        <w:t>artículo 142 del CGP</w:t>
      </w:r>
      <w:r w:rsidR="001057FC">
        <w:rPr>
          <w:rFonts w:ascii="Arial" w:eastAsia="Arial Unicode MS" w:hAnsi="Arial" w:cs="Arial"/>
          <w:sz w:val="24"/>
          <w:szCs w:val="24"/>
        </w:rPr>
        <w:t xml:space="preserve">, </w:t>
      </w:r>
      <w:r>
        <w:rPr>
          <w:rFonts w:ascii="Arial" w:eastAsia="Arial Unicode MS" w:hAnsi="Arial" w:cs="Arial"/>
          <w:sz w:val="24"/>
          <w:szCs w:val="24"/>
        </w:rPr>
        <w:t xml:space="preserve">que prescribe lo que sigue: </w:t>
      </w:r>
    </w:p>
    <w:p w14:paraId="22298AE9" w14:textId="77777777" w:rsidR="00984190" w:rsidRDefault="00984190" w:rsidP="00984190">
      <w:pPr>
        <w:overflowPunct w:val="0"/>
        <w:autoSpaceDE w:val="0"/>
        <w:autoSpaceDN w:val="0"/>
        <w:adjustRightInd w:val="0"/>
        <w:spacing w:line="240" w:lineRule="auto"/>
        <w:contextualSpacing/>
        <w:jc w:val="both"/>
        <w:rPr>
          <w:rFonts w:ascii="Arial" w:eastAsia="Arial Unicode MS" w:hAnsi="Arial" w:cs="Arial"/>
          <w:sz w:val="24"/>
          <w:szCs w:val="24"/>
        </w:rPr>
      </w:pPr>
    </w:p>
    <w:p w14:paraId="2EC2E06A" w14:textId="303D9639" w:rsidR="00984190" w:rsidRDefault="00984190" w:rsidP="00984190">
      <w:pPr>
        <w:overflowPunct w:val="0"/>
        <w:autoSpaceDE w:val="0"/>
        <w:autoSpaceDN w:val="0"/>
        <w:adjustRightInd w:val="0"/>
        <w:spacing w:line="240" w:lineRule="auto"/>
        <w:ind w:left="708"/>
        <w:contextualSpacing/>
        <w:jc w:val="both"/>
        <w:rPr>
          <w:rFonts w:ascii="Arial" w:hAnsi="Arial" w:cs="Arial"/>
        </w:rPr>
      </w:pPr>
      <w:r w:rsidRPr="00984190">
        <w:rPr>
          <w:rFonts w:ascii="Arial" w:hAnsi="Arial" w:cs="Arial"/>
        </w:rPr>
        <w:t>“No serán recusables ni podrán declararse impedidos los magistrados o jueces a quienes corresponde conocer de la recusación, ni los que deben dirimir los conflictos de competencia, ni los funcionarios comisionados</w:t>
      </w:r>
      <w:r w:rsidR="000A709B">
        <w:rPr>
          <w:rFonts w:ascii="Arial" w:hAnsi="Arial" w:cs="Arial"/>
        </w:rPr>
        <w:t xml:space="preserve"> (</w:t>
      </w:r>
      <w:r w:rsidRPr="00984190">
        <w:rPr>
          <w:rFonts w:ascii="Arial" w:hAnsi="Arial" w:cs="Arial"/>
        </w:rPr>
        <w:t>...</w:t>
      </w:r>
      <w:r w:rsidR="000A709B">
        <w:rPr>
          <w:rFonts w:ascii="Arial" w:hAnsi="Arial" w:cs="Arial"/>
        </w:rPr>
        <w:t>)</w:t>
      </w:r>
      <w:r w:rsidRPr="00984190">
        <w:rPr>
          <w:rFonts w:ascii="Arial" w:hAnsi="Arial" w:cs="Arial"/>
        </w:rPr>
        <w:t>”</w:t>
      </w:r>
      <w:r>
        <w:rPr>
          <w:rFonts w:ascii="Arial" w:hAnsi="Arial" w:cs="Arial"/>
        </w:rPr>
        <w:t xml:space="preserve">. </w:t>
      </w:r>
      <w:r w:rsidR="00864BE4">
        <w:rPr>
          <w:rFonts w:ascii="Arial" w:hAnsi="Arial" w:cs="Arial"/>
        </w:rPr>
        <w:t xml:space="preserve"> </w:t>
      </w:r>
    </w:p>
    <w:p w14:paraId="05281F33" w14:textId="77777777" w:rsidR="00AE6F32" w:rsidRDefault="00AE6F32" w:rsidP="00984190">
      <w:pPr>
        <w:overflowPunct w:val="0"/>
        <w:autoSpaceDE w:val="0"/>
        <w:autoSpaceDN w:val="0"/>
        <w:adjustRightInd w:val="0"/>
        <w:spacing w:line="240" w:lineRule="auto"/>
        <w:ind w:left="708"/>
        <w:contextualSpacing/>
        <w:jc w:val="both"/>
        <w:rPr>
          <w:rFonts w:ascii="Arial" w:eastAsia="Arial Unicode MS" w:hAnsi="Arial" w:cs="Arial"/>
          <w:sz w:val="24"/>
          <w:szCs w:val="24"/>
        </w:rPr>
      </w:pPr>
    </w:p>
    <w:p w14:paraId="6F418F16" w14:textId="6B4AA86C" w:rsidR="00AE6F32" w:rsidRDefault="00AE6F32" w:rsidP="00AE6F32">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En los términos expuestos, mencionó que cuando descorrió el traslado de esta última recusación, le solicitó a la Sección Primera rechazarla y omitir darle trámite, puesto que se trató de una presentación temeraria que transgredía el contenido del citado artículo 142</w:t>
      </w:r>
      <w:r w:rsidR="00AB27FA">
        <w:rPr>
          <w:rFonts w:ascii="Arial" w:eastAsia="Arial Unicode MS" w:hAnsi="Arial" w:cs="Arial"/>
          <w:i/>
          <w:sz w:val="24"/>
          <w:szCs w:val="24"/>
        </w:rPr>
        <w:t xml:space="preserve">, </w:t>
      </w:r>
      <w:r w:rsidR="00AB27FA">
        <w:rPr>
          <w:rFonts w:ascii="Arial" w:eastAsia="Arial Unicode MS" w:hAnsi="Arial" w:cs="Arial"/>
          <w:sz w:val="24"/>
          <w:szCs w:val="24"/>
        </w:rPr>
        <w:t xml:space="preserve">manifestación que abiertamente ignoró la Sección Primera pues, al darle </w:t>
      </w:r>
      <w:r w:rsidR="004C7F8A">
        <w:rPr>
          <w:rFonts w:ascii="Arial" w:eastAsia="Arial Unicode MS" w:hAnsi="Arial" w:cs="Arial"/>
          <w:sz w:val="24"/>
          <w:szCs w:val="24"/>
        </w:rPr>
        <w:t xml:space="preserve">curso </w:t>
      </w:r>
      <w:r w:rsidR="00AB27FA">
        <w:rPr>
          <w:rFonts w:ascii="Arial" w:eastAsia="Arial Unicode MS" w:hAnsi="Arial" w:cs="Arial"/>
          <w:sz w:val="24"/>
          <w:szCs w:val="24"/>
        </w:rPr>
        <w:t>efectivo a la recusación</w:t>
      </w:r>
      <w:r w:rsidR="00920E81">
        <w:rPr>
          <w:rFonts w:ascii="Arial" w:eastAsia="Arial Unicode MS" w:hAnsi="Arial" w:cs="Arial"/>
          <w:sz w:val="24"/>
          <w:szCs w:val="24"/>
        </w:rPr>
        <w:t>, creó una tercera y cuarta instancia de la originalmente presentada contra los magistrados integrantes de la Sección Quinta</w:t>
      </w:r>
      <w:r w:rsidR="004C7F8A">
        <w:rPr>
          <w:rFonts w:ascii="Arial" w:eastAsia="Arial Unicode MS" w:hAnsi="Arial" w:cs="Arial"/>
          <w:sz w:val="24"/>
          <w:szCs w:val="24"/>
        </w:rPr>
        <w:t xml:space="preserve">, inclusive, ordenando el envío del expediente a la Sección Segunda para que resolviera sobre la configuración de los impedimentos. </w:t>
      </w:r>
    </w:p>
    <w:p w14:paraId="411B3B99" w14:textId="77777777" w:rsidR="00744CA9" w:rsidRDefault="00744CA9" w:rsidP="00AE6F32">
      <w:pPr>
        <w:overflowPunct w:val="0"/>
        <w:autoSpaceDE w:val="0"/>
        <w:autoSpaceDN w:val="0"/>
        <w:adjustRightInd w:val="0"/>
        <w:spacing w:line="240" w:lineRule="auto"/>
        <w:contextualSpacing/>
        <w:jc w:val="both"/>
        <w:rPr>
          <w:rFonts w:ascii="Arial" w:eastAsia="Arial Unicode MS" w:hAnsi="Arial" w:cs="Arial"/>
          <w:sz w:val="24"/>
          <w:szCs w:val="24"/>
        </w:rPr>
      </w:pPr>
    </w:p>
    <w:p w14:paraId="4CCA391E" w14:textId="79414481" w:rsidR="00744CA9" w:rsidRPr="00F114AB" w:rsidRDefault="00744CA9" w:rsidP="00AE6F32">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2. </w:t>
      </w:r>
      <w:r w:rsidRPr="00331F1A">
        <w:rPr>
          <w:rFonts w:ascii="Arial" w:eastAsia="Arial Unicode MS" w:hAnsi="Arial" w:cs="Arial"/>
          <w:b/>
          <w:sz w:val="24"/>
          <w:szCs w:val="24"/>
        </w:rPr>
        <w:t>Subsección B de la Sección Segunda</w:t>
      </w:r>
      <w:r>
        <w:rPr>
          <w:rFonts w:ascii="Arial" w:eastAsia="Arial Unicode MS" w:hAnsi="Arial" w:cs="Arial"/>
          <w:sz w:val="24"/>
          <w:szCs w:val="24"/>
        </w:rPr>
        <w:t>: una vez esta autoridad recibió el expediente, afirmó el accionante, la apoderada del demandado del proceso electoral presentó, el 24 de enero de 2023, nuevo escrito de recusación, esta vez contra la totalidad de los magistrados integrantes de la Subsección B de la Sección Segunda</w:t>
      </w:r>
      <w:r w:rsidR="001717F9">
        <w:rPr>
          <w:rFonts w:ascii="Arial" w:eastAsia="Arial Unicode MS" w:hAnsi="Arial" w:cs="Arial"/>
          <w:sz w:val="24"/>
          <w:szCs w:val="24"/>
        </w:rPr>
        <w:t>, razón por la que esta última autoridad emitió la providencia del 9 de febrero de 2013, en la que la rechazó de plazo por improcedente, ordenó la remisión de copia del proceso a la Comisión Seccional de Disciplina Judicial de Sucre, y</w:t>
      </w:r>
      <w:r w:rsidR="00CF340D">
        <w:rPr>
          <w:rFonts w:ascii="Arial" w:eastAsia="Arial Unicode MS" w:hAnsi="Arial" w:cs="Arial"/>
          <w:sz w:val="24"/>
          <w:szCs w:val="24"/>
        </w:rPr>
        <w:t xml:space="preserve"> devolvió el </w:t>
      </w:r>
      <w:r w:rsidR="00CF340D" w:rsidRPr="00F114AB">
        <w:rPr>
          <w:rFonts w:ascii="Arial" w:eastAsia="Arial Unicode MS" w:hAnsi="Arial" w:cs="Arial"/>
          <w:sz w:val="24"/>
          <w:szCs w:val="24"/>
        </w:rPr>
        <w:t xml:space="preserve">expediente al consejero de Estado sustanciador de la Sección Quinta. </w:t>
      </w:r>
    </w:p>
    <w:p w14:paraId="04FE1A41" w14:textId="77777777" w:rsidR="00F114AB" w:rsidRPr="00F114AB" w:rsidRDefault="00F114AB" w:rsidP="00AE6F32">
      <w:pPr>
        <w:overflowPunct w:val="0"/>
        <w:autoSpaceDE w:val="0"/>
        <w:autoSpaceDN w:val="0"/>
        <w:adjustRightInd w:val="0"/>
        <w:spacing w:line="240" w:lineRule="auto"/>
        <w:contextualSpacing/>
        <w:jc w:val="both"/>
        <w:rPr>
          <w:rFonts w:ascii="Arial" w:eastAsia="Arial Unicode MS" w:hAnsi="Arial" w:cs="Arial"/>
          <w:sz w:val="24"/>
          <w:szCs w:val="24"/>
        </w:rPr>
      </w:pPr>
    </w:p>
    <w:p w14:paraId="2341E7BD" w14:textId="57EE137B" w:rsidR="00F114AB" w:rsidRDefault="00F114AB" w:rsidP="00AE6F32">
      <w:pPr>
        <w:overflowPunct w:val="0"/>
        <w:autoSpaceDE w:val="0"/>
        <w:autoSpaceDN w:val="0"/>
        <w:adjustRightInd w:val="0"/>
        <w:spacing w:line="240" w:lineRule="auto"/>
        <w:contextualSpacing/>
        <w:jc w:val="both"/>
        <w:rPr>
          <w:rFonts w:ascii="Arial" w:hAnsi="Arial" w:cs="Arial"/>
          <w:sz w:val="24"/>
          <w:szCs w:val="24"/>
        </w:rPr>
      </w:pPr>
      <w:r w:rsidRPr="00F114AB">
        <w:rPr>
          <w:rFonts w:ascii="Arial" w:eastAsia="Arial Unicode MS" w:hAnsi="Arial" w:cs="Arial"/>
          <w:sz w:val="24"/>
          <w:szCs w:val="24"/>
        </w:rPr>
        <w:t>No obstante, consideró que la Subsección B de la Sección Segunda incurrió en un error inducido por el demandado al ordenar la notificación de dicha decisión, cuando el auto debía ser únicamente de cúmplase, toda vez que como lo dispone el artículo 204 del CPACA</w:t>
      </w:r>
      <w:r w:rsidR="004B2F66">
        <w:rPr>
          <w:rFonts w:ascii="Arial" w:eastAsia="Arial Unicode MS" w:hAnsi="Arial" w:cs="Arial"/>
          <w:sz w:val="24"/>
          <w:szCs w:val="24"/>
        </w:rPr>
        <w:t>:</w:t>
      </w:r>
      <w:r w:rsidRPr="00F114AB">
        <w:rPr>
          <w:rFonts w:ascii="Arial" w:eastAsia="Arial Unicode MS" w:hAnsi="Arial" w:cs="Arial"/>
          <w:sz w:val="24"/>
          <w:szCs w:val="24"/>
        </w:rPr>
        <w:t xml:space="preserve"> “</w:t>
      </w:r>
      <w:r w:rsidRPr="00F114AB">
        <w:rPr>
          <w:rFonts w:ascii="Arial" w:hAnsi="Arial" w:cs="Arial"/>
          <w:sz w:val="24"/>
          <w:szCs w:val="24"/>
        </w:rPr>
        <w:t>No requieren notificación los autos que contengan órdenes dirigidas exclusivamente al secretario. Al final de ellos se incluirá la orden “Cúmplase”.</w:t>
      </w:r>
      <w:r>
        <w:rPr>
          <w:rFonts w:ascii="Arial" w:hAnsi="Arial" w:cs="Arial"/>
          <w:sz w:val="24"/>
          <w:szCs w:val="24"/>
        </w:rPr>
        <w:t xml:space="preserve"> </w:t>
      </w:r>
    </w:p>
    <w:p w14:paraId="3263F303" w14:textId="77777777" w:rsidR="00490D63" w:rsidRDefault="00490D63" w:rsidP="00AE6F32">
      <w:pPr>
        <w:overflowPunct w:val="0"/>
        <w:autoSpaceDE w:val="0"/>
        <w:autoSpaceDN w:val="0"/>
        <w:adjustRightInd w:val="0"/>
        <w:spacing w:line="240" w:lineRule="auto"/>
        <w:contextualSpacing/>
        <w:jc w:val="both"/>
        <w:rPr>
          <w:rFonts w:ascii="Arial" w:eastAsia="Arial Unicode MS" w:hAnsi="Arial" w:cs="Arial"/>
          <w:sz w:val="24"/>
          <w:szCs w:val="24"/>
        </w:rPr>
      </w:pPr>
    </w:p>
    <w:p w14:paraId="3F6E7A27" w14:textId="636E3105" w:rsidR="00490D63" w:rsidRDefault="00490D63" w:rsidP="00AE6F32">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Puso de presente que el 17 de febrero de 2023 la parte demandada interpuso recurso de reposición y en subsidio súplica e incidente de nulidad contra el auto del 9 de febrero de 2023, al margen de que posteriormente, el 20 del mismo mes y año, presentó nuev</w:t>
      </w:r>
      <w:r w:rsidR="00F4289C">
        <w:rPr>
          <w:rFonts w:ascii="Arial" w:eastAsia="Arial Unicode MS" w:hAnsi="Arial" w:cs="Arial"/>
          <w:sz w:val="24"/>
          <w:szCs w:val="24"/>
        </w:rPr>
        <w:t>a</w:t>
      </w:r>
      <w:r>
        <w:rPr>
          <w:rFonts w:ascii="Arial" w:eastAsia="Arial Unicode MS" w:hAnsi="Arial" w:cs="Arial"/>
          <w:sz w:val="24"/>
          <w:szCs w:val="24"/>
        </w:rPr>
        <w:t xml:space="preserve"> recusación esta vez contra la totalidad de los magistrados integrantes de la Subsección B de la Sección Segunda. </w:t>
      </w:r>
    </w:p>
    <w:p w14:paraId="0C510FA0" w14:textId="77777777" w:rsidR="00EC5522" w:rsidRDefault="00EC5522" w:rsidP="00AE6F32">
      <w:pPr>
        <w:overflowPunct w:val="0"/>
        <w:autoSpaceDE w:val="0"/>
        <w:autoSpaceDN w:val="0"/>
        <w:adjustRightInd w:val="0"/>
        <w:spacing w:line="240" w:lineRule="auto"/>
        <w:contextualSpacing/>
        <w:jc w:val="both"/>
        <w:rPr>
          <w:rFonts w:ascii="Arial" w:eastAsia="Arial Unicode MS" w:hAnsi="Arial" w:cs="Arial"/>
          <w:sz w:val="24"/>
          <w:szCs w:val="24"/>
        </w:rPr>
      </w:pPr>
    </w:p>
    <w:p w14:paraId="1CD11E5B" w14:textId="471A314B" w:rsidR="00F77268" w:rsidRDefault="00EC5522" w:rsidP="00AE6F32">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3. En términos generales, mencionó que </w:t>
      </w:r>
      <w:r w:rsidR="00957B0F">
        <w:rPr>
          <w:rFonts w:ascii="Arial" w:eastAsia="Arial Unicode MS" w:hAnsi="Arial" w:cs="Arial"/>
          <w:sz w:val="24"/>
          <w:szCs w:val="24"/>
        </w:rPr>
        <w:t xml:space="preserve">tanto la Sección Primera como la Subsección B de la Sección Segunda, al dictar las providencias del 1 de diciembre de 2022 y del 9 de febrero de 2023, </w:t>
      </w:r>
      <w:r w:rsidR="00B203AB">
        <w:rPr>
          <w:rFonts w:ascii="Arial" w:eastAsia="Arial Unicode MS" w:hAnsi="Arial" w:cs="Arial"/>
          <w:sz w:val="24"/>
          <w:szCs w:val="24"/>
        </w:rPr>
        <w:t>transgredieron sus derechos fundamentales al debido proceso, a la cosa juzgada, a la seguridad jurídica y a la tutela judicial efectiva, en la medida en que le dieron trámite indebido a las persistentes recusaciones que presentó Andrés Eduardo Gómez Martínez</w:t>
      </w:r>
      <w:r w:rsidR="00996CE0">
        <w:rPr>
          <w:rFonts w:ascii="Arial" w:eastAsia="Arial Unicode MS" w:hAnsi="Arial" w:cs="Arial"/>
          <w:sz w:val="24"/>
          <w:szCs w:val="24"/>
        </w:rPr>
        <w:t>, después de que quedó en firme la providenci</w:t>
      </w:r>
      <w:r w:rsidR="00263CE4">
        <w:rPr>
          <w:rFonts w:ascii="Arial" w:eastAsia="Arial Unicode MS" w:hAnsi="Arial" w:cs="Arial"/>
          <w:sz w:val="24"/>
          <w:szCs w:val="24"/>
        </w:rPr>
        <w:t xml:space="preserve">a </w:t>
      </w:r>
      <w:r w:rsidR="00A704B1">
        <w:rPr>
          <w:rFonts w:ascii="Arial" w:eastAsia="Arial Unicode MS" w:hAnsi="Arial" w:cs="Arial"/>
          <w:sz w:val="24"/>
          <w:szCs w:val="24"/>
        </w:rPr>
        <w:t>que emitió la Sección Primera del Consejo de Estado el 11 de noviembre de 2022</w:t>
      </w:r>
      <w:r w:rsidR="001B6120">
        <w:rPr>
          <w:rFonts w:ascii="Arial" w:eastAsia="Arial Unicode MS" w:hAnsi="Arial" w:cs="Arial"/>
          <w:sz w:val="24"/>
          <w:szCs w:val="24"/>
        </w:rPr>
        <w:t xml:space="preserve">, con lo que desconocieron el efecto de cosa juzgada que prevé el artículo 302 del CGP. </w:t>
      </w:r>
    </w:p>
    <w:p w14:paraId="1D864980" w14:textId="77777777" w:rsidR="00616B56" w:rsidRDefault="00616B56" w:rsidP="00AE6F32">
      <w:pPr>
        <w:overflowPunct w:val="0"/>
        <w:autoSpaceDE w:val="0"/>
        <w:autoSpaceDN w:val="0"/>
        <w:adjustRightInd w:val="0"/>
        <w:spacing w:line="240" w:lineRule="auto"/>
        <w:contextualSpacing/>
        <w:jc w:val="both"/>
        <w:rPr>
          <w:rFonts w:ascii="Arial" w:eastAsia="Arial Unicode MS" w:hAnsi="Arial" w:cs="Arial"/>
          <w:sz w:val="24"/>
          <w:szCs w:val="24"/>
        </w:rPr>
      </w:pPr>
    </w:p>
    <w:p w14:paraId="43BE6F11" w14:textId="225B6E84" w:rsidR="00616B56" w:rsidRDefault="00616B56" w:rsidP="00AE6F32">
      <w:pPr>
        <w:overflowPunct w:val="0"/>
        <w:autoSpaceDE w:val="0"/>
        <w:autoSpaceDN w:val="0"/>
        <w:adjustRightInd w:val="0"/>
        <w:spacing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Así pues, </w:t>
      </w:r>
      <w:r w:rsidR="00977047">
        <w:rPr>
          <w:rFonts w:ascii="Arial" w:eastAsia="Arial Unicode MS" w:hAnsi="Arial" w:cs="Arial"/>
          <w:sz w:val="24"/>
          <w:szCs w:val="24"/>
        </w:rPr>
        <w:t xml:space="preserve">puso de presente </w:t>
      </w:r>
      <w:r>
        <w:rPr>
          <w:rFonts w:ascii="Arial" w:eastAsia="Arial Unicode MS" w:hAnsi="Arial" w:cs="Arial"/>
          <w:sz w:val="24"/>
          <w:szCs w:val="24"/>
        </w:rPr>
        <w:t>que</w:t>
      </w:r>
      <w:r w:rsidR="00CE31E4">
        <w:rPr>
          <w:rFonts w:ascii="Arial" w:eastAsia="Arial Unicode MS" w:hAnsi="Arial" w:cs="Arial"/>
          <w:sz w:val="24"/>
          <w:szCs w:val="24"/>
        </w:rPr>
        <w:t xml:space="preserve">, </w:t>
      </w:r>
      <w:r>
        <w:rPr>
          <w:rFonts w:ascii="Arial" w:eastAsia="Arial Unicode MS" w:hAnsi="Arial" w:cs="Arial"/>
          <w:sz w:val="24"/>
          <w:szCs w:val="24"/>
        </w:rPr>
        <w:t>de no decidirse oportunamente la presente acción constitucional, se correría el riesgo de hacer nugatorios los efectos de la sentencia de nulidad electoral que dictó la Sección Quinta del Consejo de Estado el 23 de junio de 2022, que anuló la elección del alcalde del municipio de Sincelejo</w:t>
      </w:r>
      <w:r w:rsidR="00331F1A">
        <w:rPr>
          <w:rFonts w:ascii="Arial" w:eastAsia="Arial Unicode MS" w:hAnsi="Arial" w:cs="Arial"/>
          <w:sz w:val="24"/>
          <w:szCs w:val="24"/>
        </w:rPr>
        <w:t xml:space="preserve"> y se causaría un </w:t>
      </w:r>
      <w:r w:rsidR="00977047">
        <w:rPr>
          <w:rFonts w:ascii="Arial" w:eastAsia="Arial Unicode MS" w:hAnsi="Arial" w:cs="Arial"/>
          <w:sz w:val="24"/>
          <w:szCs w:val="24"/>
        </w:rPr>
        <w:t>perjuicio irremediable</w:t>
      </w:r>
      <w:r w:rsidR="00EF5937">
        <w:rPr>
          <w:rFonts w:ascii="Arial" w:eastAsia="Arial Unicode MS" w:hAnsi="Arial" w:cs="Arial"/>
          <w:sz w:val="24"/>
          <w:szCs w:val="24"/>
        </w:rPr>
        <w:t>, puesto que la intención de la parte demandada está claramente encaminada a dilatar el proceso electoral</w:t>
      </w:r>
      <w:r w:rsidR="00331F1A">
        <w:rPr>
          <w:rFonts w:ascii="Arial" w:eastAsia="Arial Unicode MS" w:hAnsi="Arial" w:cs="Arial"/>
          <w:sz w:val="24"/>
          <w:szCs w:val="24"/>
        </w:rPr>
        <w:t xml:space="preserve"> y el cumplimiento de la sentencia de nulidad. </w:t>
      </w:r>
      <w:r w:rsidR="00A12D2A">
        <w:rPr>
          <w:rFonts w:ascii="Arial" w:eastAsia="Arial Unicode MS" w:hAnsi="Arial" w:cs="Arial"/>
          <w:sz w:val="24"/>
          <w:szCs w:val="24"/>
        </w:rPr>
        <w:t xml:space="preserve"> </w:t>
      </w:r>
    </w:p>
    <w:p w14:paraId="7BB7C886" w14:textId="77777777" w:rsidR="00D67135" w:rsidRDefault="00D67135" w:rsidP="00AE6F32">
      <w:pPr>
        <w:overflowPunct w:val="0"/>
        <w:autoSpaceDE w:val="0"/>
        <w:autoSpaceDN w:val="0"/>
        <w:adjustRightInd w:val="0"/>
        <w:spacing w:line="240" w:lineRule="auto"/>
        <w:contextualSpacing/>
        <w:jc w:val="both"/>
        <w:rPr>
          <w:rFonts w:ascii="Arial" w:eastAsia="Arial Unicode MS" w:hAnsi="Arial" w:cs="Arial"/>
          <w:sz w:val="24"/>
          <w:szCs w:val="24"/>
        </w:rPr>
      </w:pPr>
    </w:p>
    <w:p w14:paraId="5494A55B" w14:textId="77777777" w:rsidR="00D67135" w:rsidRPr="00D67135" w:rsidRDefault="00D67135" w:rsidP="00D67135">
      <w:pPr>
        <w:tabs>
          <w:tab w:val="left" w:pos="1985"/>
        </w:tabs>
        <w:spacing w:after="0" w:line="240" w:lineRule="auto"/>
        <w:contextualSpacing/>
        <w:jc w:val="both"/>
        <w:rPr>
          <w:rFonts w:ascii="Arial" w:eastAsia="Times New Roman" w:hAnsi="Arial" w:cs="Arial"/>
          <w:spacing w:val="-3"/>
          <w:sz w:val="24"/>
          <w:szCs w:val="24"/>
          <w:lang w:eastAsia="zh-CN"/>
        </w:rPr>
      </w:pPr>
      <w:r w:rsidRPr="00D67135">
        <w:rPr>
          <w:rFonts w:ascii="Arial" w:eastAsia="Times New Roman" w:hAnsi="Arial" w:cs="Arial"/>
          <w:spacing w:val="-3"/>
          <w:sz w:val="24"/>
          <w:szCs w:val="24"/>
          <w:lang w:eastAsia="zh-CN"/>
        </w:rPr>
        <w:t>El señor Díaz Camacho solicitó como medida provisional de</w:t>
      </w:r>
      <w:r w:rsidRPr="00D67135">
        <w:rPr>
          <w:rFonts w:ascii="Arial" w:eastAsia="Times New Roman" w:hAnsi="Arial" w:cs="Arial"/>
          <w:b/>
          <w:spacing w:val="-3"/>
          <w:sz w:val="24"/>
          <w:szCs w:val="24"/>
          <w:lang w:eastAsia="zh-CN"/>
        </w:rPr>
        <w:t xml:space="preserve"> urgencia</w:t>
      </w:r>
      <w:r w:rsidRPr="00D67135">
        <w:rPr>
          <w:rFonts w:ascii="Arial" w:eastAsia="Times New Roman" w:hAnsi="Arial" w:cs="Arial"/>
          <w:spacing w:val="-3"/>
          <w:sz w:val="24"/>
          <w:szCs w:val="24"/>
          <w:lang w:eastAsia="zh-CN"/>
        </w:rPr>
        <w:t xml:space="preserve"> que este juez constitucional: </w:t>
      </w:r>
    </w:p>
    <w:p w14:paraId="65986474" w14:textId="77777777" w:rsidR="00D67135" w:rsidRPr="00D67135" w:rsidRDefault="00D67135" w:rsidP="00D67135">
      <w:pPr>
        <w:tabs>
          <w:tab w:val="left" w:pos="1985"/>
        </w:tabs>
        <w:spacing w:after="0" w:line="240" w:lineRule="auto"/>
        <w:contextualSpacing/>
        <w:jc w:val="both"/>
        <w:rPr>
          <w:rFonts w:ascii="Arial" w:eastAsia="Times New Roman" w:hAnsi="Arial" w:cs="Arial"/>
          <w:spacing w:val="-3"/>
          <w:sz w:val="24"/>
          <w:szCs w:val="24"/>
          <w:lang w:eastAsia="zh-CN"/>
        </w:rPr>
      </w:pPr>
    </w:p>
    <w:p w14:paraId="2252B286" w14:textId="77777777" w:rsidR="003567FF" w:rsidRDefault="00D67135" w:rsidP="003567FF">
      <w:pPr>
        <w:tabs>
          <w:tab w:val="left" w:pos="1985"/>
        </w:tabs>
        <w:spacing w:after="0" w:line="240" w:lineRule="auto"/>
        <w:ind w:left="708"/>
        <w:contextualSpacing/>
        <w:jc w:val="both"/>
        <w:rPr>
          <w:rFonts w:ascii="Arial" w:hAnsi="Arial" w:cs="Arial"/>
          <w:lang w:eastAsia="es-ES_tradnl"/>
        </w:rPr>
      </w:pPr>
      <w:r w:rsidRPr="00D67135">
        <w:rPr>
          <w:rFonts w:ascii="Arial" w:hAnsi="Arial" w:cs="Arial"/>
          <w:lang w:eastAsia="es-ES_tradnl"/>
        </w:rPr>
        <w:t>(…) “ordene, a la Honorable Sección Segunda – Subsección B, que cese el trámite de recusaciones que ante ellos se ventila, y devuelva de manera inmediata el expediente, al despacho del Honorable Consejero CARLOS ENRIQUE MORENO RUBIO, Ponente del proceso de nulidad electoral Acumulado 70001- 23-33-000-2020-00004-03, para que continúe con el trámite correspondiente del proceso de nulidad electoral, seguido contra el recusante, tal como fue ordenado por providencia de Noviembre 11 de 2022 dictada por la Sala de lo Contencioso Administrativo Sección Primera, que confirmó como infundada, la recusación formulada en contra de los consejeros de la Sección Quinta del Consejo de Estado Pedro Pablo Vanegas Gil, Luis Alberto Álvarez Parra, Rocío Araujo Oñate y Carlos Enrique Moreno Rubio”</w:t>
      </w:r>
      <w:r w:rsidRPr="00D67135">
        <w:rPr>
          <w:rFonts w:ascii="Arial" w:hAnsi="Arial" w:cs="Arial"/>
          <w:vertAlign w:val="superscript"/>
          <w:lang w:eastAsia="es-ES_tradnl"/>
        </w:rPr>
        <w:footnoteReference w:id="35"/>
      </w:r>
      <w:r w:rsidRPr="00D67135">
        <w:rPr>
          <w:rFonts w:ascii="Arial" w:hAnsi="Arial" w:cs="Arial"/>
          <w:lang w:eastAsia="es-ES_tradnl"/>
        </w:rPr>
        <w:t xml:space="preserve">. </w:t>
      </w:r>
    </w:p>
    <w:p w14:paraId="5997863C" w14:textId="77777777" w:rsidR="00927C0F" w:rsidRDefault="00927C0F" w:rsidP="003567FF">
      <w:pPr>
        <w:tabs>
          <w:tab w:val="left" w:pos="1985"/>
        </w:tabs>
        <w:spacing w:after="0" w:line="240" w:lineRule="auto"/>
        <w:ind w:left="708"/>
        <w:contextualSpacing/>
        <w:jc w:val="both"/>
        <w:rPr>
          <w:rFonts w:ascii="Arial" w:hAnsi="Arial" w:cs="Arial"/>
          <w:lang w:eastAsia="es-ES_tradnl"/>
        </w:rPr>
      </w:pPr>
    </w:p>
    <w:p w14:paraId="2505978C" w14:textId="6BBD4E6D" w:rsidR="00D67135" w:rsidRPr="00D67135" w:rsidRDefault="00D67135" w:rsidP="003567FF">
      <w:pPr>
        <w:tabs>
          <w:tab w:val="left" w:pos="1985"/>
        </w:tabs>
        <w:spacing w:after="0" w:line="240" w:lineRule="auto"/>
        <w:contextualSpacing/>
        <w:jc w:val="both"/>
        <w:rPr>
          <w:rFonts w:ascii="Arial" w:hAnsi="Arial" w:cs="Arial"/>
          <w:lang w:eastAsia="es-ES_tradnl"/>
        </w:rPr>
      </w:pPr>
      <w:r w:rsidRPr="00D67135">
        <w:rPr>
          <w:rFonts w:ascii="Arial" w:eastAsia="Times New Roman" w:hAnsi="Arial" w:cs="Arial"/>
          <w:spacing w:val="-3"/>
          <w:sz w:val="24"/>
          <w:szCs w:val="24"/>
          <w:lang w:eastAsia="zh-CN"/>
        </w:rPr>
        <w:t xml:space="preserve">Sustentó dicha medida en la necesidad de obtener una decisión oportuna en la presente acción </w:t>
      </w:r>
      <w:r w:rsidR="00EF78E3">
        <w:rPr>
          <w:rFonts w:ascii="Arial" w:eastAsia="Times New Roman" w:hAnsi="Arial" w:cs="Arial"/>
          <w:spacing w:val="-3"/>
          <w:sz w:val="24"/>
          <w:szCs w:val="24"/>
          <w:lang w:eastAsia="zh-CN"/>
        </w:rPr>
        <w:t>tutelar</w:t>
      </w:r>
      <w:r w:rsidRPr="00D67135">
        <w:rPr>
          <w:rFonts w:ascii="Arial" w:eastAsia="Times New Roman" w:hAnsi="Arial" w:cs="Arial"/>
          <w:spacing w:val="-3"/>
          <w:sz w:val="24"/>
          <w:szCs w:val="24"/>
          <w:lang w:eastAsia="zh-CN"/>
        </w:rPr>
        <w:t>, toda vez que, de no ponerse fin a las persistentes dilaciones intencionales propuestas por Andrés Eduardo Gómez Martínez, se generaría la concreción de un perjuicio irremediable en su contra, al tornar en nugatorios los efectos materializados en la providencia del 23 de junio de 2022</w:t>
      </w:r>
      <w:r w:rsidR="003E31C0">
        <w:rPr>
          <w:rFonts w:ascii="Arial" w:eastAsia="Times New Roman" w:hAnsi="Arial" w:cs="Arial"/>
          <w:spacing w:val="-3"/>
          <w:sz w:val="24"/>
          <w:szCs w:val="24"/>
          <w:lang w:eastAsia="zh-CN"/>
        </w:rPr>
        <w:t xml:space="preserve">. </w:t>
      </w:r>
    </w:p>
    <w:p w14:paraId="629390FA" w14:textId="77777777" w:rsidR="00D67135" w:rsidRPr="00D67135" w:rsidRDefault="00D67135" w:rsidP="00D67135">
      <w:pPr>
        <w:tabs>
          <w:tab w:val="left" w:pos="1985"/>
        </w:tabs>
        <w:spacing w:after="0" w:line="240" w:lineRule="auto"/>
        <w:contextualSpacing/>
        <w:jc w:val="both"/>
        <w:rPr>
          <w:rFonts w:ascii="Arial" w:eastAsia="Times New Roman" w:hAnsi="Arial" w:cs="Arial"/>
          <w:spacing w:val="-3"/>
          <w:sz w:val="24"/>
          <w:szCs w:val="24"/>
          <w:lang w:eastAsia="zh-CN"/>
        </w:rPr>
      </w:pPr>
    </w:p>
    <w:p w14:paraId="522DACB9" w14:textId="77777777" w:rsidR="00D67135" w:rsidRPr="00D67135" w:rsidRDefault="00D67135" w:rsidP="00D67135">
      <w:pPr>
        <w:tabs>
          <w:tab w:val="left" w:pos="1985"/>
        </w:tabs>
        <w:spacing w:after="0" w:line="240" w:lineRule="auto"/>
        <w:contextualSpacing/>
        <w:jc w:val="both"/>
        <w:rPr>
          <w:rFonts w:ascii="Arial" w:eastAsia="Times New Roman" w:hAnsi="Arial" w:cs="Arial"/>
          <w:spacing w:val="-3"/>
          <w:sz w:val="24"/>
          <w:szCs w:val="24"/>
          <w:lang w:eastAsia="zh-CN"/>
        </w:rPr>
      </w:pPr>
      <w:r w:rsidRPr="00D67135">
        <w:rPr>
          <w:rFonts w:ascii="Arial" w:eastAsia="Times New Roman" w:hAnsi="Arial" w:cs="Arial"/>
          <w:spacing w:val="-3"/>
          <w:sz w:val="24"/>
          <w:szCs w:val="24"/>
          <w:lang w:eastAsia="zh-CN"/>
        </w:rPr>
        <w:t xml:space="preserve">En tales términos, puso de presente que la sentencia fechada 23 de junio de 2022 no ha podido ser ejecutada, como consecuencia de las cinco dilaciones injustificadas que con su actuar ha promovido el señor Gómez Martínez, cuestión que traería consigo que el citado siga recusando a la totalidad de los magistrados con la potencialidad de influir en la materialización de la decisión que le puso fin al proceso electoral, manteniéndose en el cargo frente al que fue desvinculado hasta la terminación de su período el 31 de diciembre del año en curso. </w:t>
      </w:r>
    </w:p>
    <w:p w14:paraId="3D48103F" w14:textId="77777777" w:rsidR="00A12D6D" w:rsidRDefault="00A12D6D" w:rsidP="00037BAC">
      <w:pPr>
        <w:autoSpaceDE w:val="0"/>
        <w:autoSpaceDN w:val="0"/>
        <w:adjustRightInd w:val="0"/>
        <w:spacing w:after="0" w:line="240" w:lineRule="auto"/>
        <w:jc w:val="both"/>
        <w:rPr>
          <w:rFonts w:ascii="Arial" w:hAnsi="Arial" w:cs="Arial"/>
          <w:sz w:val="24"/>
          <w:szCs w:val="24"/>
          <w:lang w:val="es-ES"/>
        </w:rPr>
      </w:pPr>
    </w:p>
    <w:p w14:paraId="10A40EF7" w14:textId="77777777" w:rsidR="00037BAC" w:rsidRDefault="00037BAC" w:rsidP="00037BAC">
      <w:pPr>
        <w:overflowPunct w:val="0"/>
        <w:autoSpaceDE w:val="0"/>
        <w:autoSpaceDN w:val="0"/>
        <w:adjustRightInd w:val="0"/>
        <w:spacing w:line="240" w:lineRule="auto"/>
        <w:contextualSpacing/>
        <w:rPr>
          <w:rFonts w:ascii="Arial" w:hAnsi="Arial" w:cs="Arial"/>
          <w:sz w:val="24"/>
          <w:szCs w:val="24"/>
        </w:rPr>
      </w:pPr>
      <w:r w:rsidRPr="008D7EF0">
        <w:rPr>
          <w:rFonts w:ascii="Arial" w:hAnsi="Arial" w:cs="Arial"/>
          <w:b/>
          <w:sz w:val="24"/>
          <w:szCs w:val="24"/>
        </w:rPr>
        <w:t>1.</w:t>
      </w:r>
      <w:r>
        <w:rPr>
          <w:rFonts w:ascii="Arial" w:hAnsi="Arial" w:cs="Arial"/>
          <w:b/>
          <w:sz w:val="24"/>
          <w:szCs w:val="24"/>
        </w:rPr>
        <w:t>5</w:t>
      </w:r>
      <w:r w:rsidRPr="008D7EF0">
        <w:rPr>
          <w:rFonts w:ascii="Arial" w:hAnsi="Arial" w:cs="Arial"/>
          <w:b/>
          <w:sz w:val="24"/>
          <w:szCs w:val="24"/>
        </w:rPr>
        <w:t>. Trámite de tutela</w:t>
      </w:r>
      <w:r w:rsidR="00FC1A7A">
        <w:rPr>
          <w:rFonts w:ascii="Arial" w:hAnsi="Arial" w:cs="Arial"/>
          <w:b/>
          <w:sz w:val="24"/>
          <w:szCs w:val="24"/>
        </w:rPr>
        <w:t xml:space="preserve"> en primera instancia</w:t>
      </w:r>
      <w:r w:rsidRPr="008D7EF0">
        <w:rPr>
          <w:rFonts w:ascii="Arial" w:hAnsi="Arial" w:cs="Arial"/>
          <w:b/>
          <w:sz w:val="24"/>
          <w:szCs w:val="24"/>
        </w:rPr>
        <w:t xml:space="preserve"> e intervenciones  </w:t>
      </w:r>
    </w:p>
    <w:p w14:paraId="00DED78D" w14:textId="77777777" w:rsidR="000F14CC" w:rsidRDefault="000F14CC" w:rsidP="00037BAC">
      <w:pPr>
        <w:overflowPunct w:val="0"/>
        <w:autoSpaceDE w:val="0"/>
        <w:autoSpaceDN w:val="0"/>
        <w:adjustRightInd w:val="0"/>
        <w:spacing w:line="240" w:lineRule="auto"/>
        <w:contextualSpacing/>
        <w:rPr>
          <w:rFonts w:ascii="Arial" w:eastAsia="Times New Roman" w:hAnsi="Arial" w:cs="Arial"/>
          <w:sz w:val="24"/>
          <w:szCs w:val="24"/>
          <w:lang w:eastAsia="es-ES"/>
        </w:rPr>
      </w:pPr>
    </w:p>
    <w:p w14:paraId="7FFFEA13" w14:textId="77777777" w:rsidR="000F14CC" w:rsidRDefault="007310F1"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1.5.1. El asunto correspondió conocerlo, por reparto, al magistrad</w:t>
      </w:r>
      <w:r w:rsidR="00692387">
        <w:rPr>
          <w:rFonts w:ascii="Arial" w:eastAsia="Times New Roman" w:hAnsi="Arial" w:cs="Arial"/>
          <w:sz w:val="24"/>
          <w:szCs w:val="24"/>
          <w:lang w:eastAsia="es-ES"/>
        </w:rPr>
        <w:t>o ponente de esta Subsección, autoridad que profirió auto el 15 de marzo de 2023</w:t>
      </w:r>
      <w:r w:rsidR="009D1D23">
        <w:rPr>
          <w:rStyle w:val="Refdenotaalpie"/>
          <w:rFonts w:ascii="Arial" w:eastAsia="Times New Roman" w:hAnsi="Arial" w:cs="Arial"/>
          <w:sz w:val="24"/>
          <w:szCs w:val="24"/>
          <w:lang w:eastAsia="es-ES"/>
        </w:rPr>
        <w:footnoteReference w:id="36"/>
      </w:r>
      <w:r w:rsidR="00692387">
        <w:rPr>
          <w:rFonts w:ascii="Arial" w:eastAsia="Times New Roman" w:hAnsi="Arial" w:cs="Arial"/>
          <w:sz w:val="24"/>
          <w:szCs w:val="24"/>
          <w:lang w:eastAsia="es-ES"/>
        </w:rPr>
        <w:t>, en el que admitió la solicitud de amparo de la referencia</w:t>
      </w:r>
      <w:r w:rsidR="00C354E8">
        <w:rPr>
          <w:rFonts w:ascii="Arial" w:eastAsia="Times New Roman" w:hAnsi="Arial" w:cs="Arial"/>
          <w:sz w:val="24"/>
          <w:szCs w:val="24"/>
          <w:lang w:eastAsia="es-ES"/>
        </w:rPr>
        <w:t xml:space="preserve"> y, entre otras órdenes, </w:t>
      </w:r>
      <w:r w:rsidR="00692387">
        <w:rPr>
          <w:rFonts w:ascii="Arial" w:eastAsia="Times New Roman" w:hAnsi="Arial" w:cs="Arial"/>
          <w:sz w:val="24"/>
          <w:szCs w:val="24"/>
          <w:lang w:eastAsia="es-ES"/>
        </w:rPr>
        <w:t xml:space="preserve">vinculó como terceros interesados a quienes fueron parte en el proceso ordinario de nulidad electoral, requirió copia del expediente digital de dicho trámite, y negó la solicitud de medida provisional. Recibió las siguientes respuestas: </w:t>
      </w:r>
    </w:p>
    <w:p w14:paraId="17C3E167" w14:textId="77777777" w:rsidR="00B37B5D" w:rsidRDefault="00B37B5D"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p>
    <w:p w14:paraId="50AAED3B" w14:textId="0DE5E623" w:rsidR="00B37B5D" w:rsidRDefault="00B37B5D"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1.5.2. La </w:t>
      </w:r>
      <w:r w:rsidRPr="009F4FF3">
        <w:rPr>
          <w:rFonts w:ascii="Arial" w:eastAsia="Times New Roman" w:hAnsi="Arial" w:cs="Arial"/>
          <w:b/>
          <w:sz w:val="24"/>
          <w:szCs w:val="24"/>
          <w:lang w:eastAsia="es-ES"/>
        </w:rPr>
        <w:t>Sección Quinta</w:t>
      </w:r>
      <w:r w:rsidR="00EB6379">
        <w:rPr>
          <w:rStyle w:val="Refdenotaalpie"/>
          <w:rFonts w:ascii="Arial" w:eastAsia="Times New Roman" w:hAnsi="Arial" w:cs="Arial"/>
          <w:sz w:val="24"/>
          <w:szCs w:val="24"/>
          <w:lang w:eastAsia="es-ES"/>
        </w:rPr>
        <w:footnoteReference w:id="37"/>
      </w:r>
      <w:r>
        <w:rPr>
          <w:rFonts w:ascii="Arial" w:eastAsia="Times New Roman" w:hAnsi="Arial" w:cs="Arial"/>
          <w:sz w:val="24"/>
          <w:szCs w:val="24"/>
          <w:lang w:eastAsia="es-ES"/>
        </w:rPr>
        <w:t xml:space="preserve"> aportó los nombres y las direcciones de quienes fueron parte en el proceso electoral</w:t>
      </w:r>
      <w:r w:rsidR="007016C2">
        <w:rPr>
          <w:rStyle w:val="Refdenotaalpie"/>
          <w:rFonts w:ascii="Arial" w:eastAsia="Times New Roman" w:hAnsi="Arial" w:cs="Arial"/>
          <w:sz w:val="24"/>
          <w:szCs w:val="24"/>
          <w:lang w:eastAsia="es-ES"/>
        </w:rPr>
        <w:footnoteReference w:id="38"/>
      </w:r>
      <w:r>
        <w:rPr>
          <w:rFonts w:ascii="Arial" w:eastAsia="Times New Roman" w:hAnsi="Arial" w:cs="Arial"/>
          <w:sz w:val="24"/>
          <w:szCs w:val="24"/>
          <w:lang w:eastAsia="es-ES"/>
        </w:rPr>
        <w:t>, así como remitió copia en digital del expediente electoral.</w:t>
      </w:r>
      <w:r w:rsidR="00820CAD">
        <w:rPr>
          <w:rFonts w:ascii="Arial" w:eastAsia="Times New Roman" w:hAnsi="Arial" w:cs="Arial"/>
          <w:sz w:val="24"/>
          <w:szCs w:val="24"/>
          <w:lang w:eastAsia="es-ES"/>
        </w:rPr>
        <w:t xml:space="preserve"> Seguidamente, el consejero de Estado ponente de la decisión del 23 de junio de 2022, Carlos Enrique Moreno Rubio</w:t>
      </w:r>
      <w:r w:rsidR="00820CAD">
        <w:rPr>
          <w:rStyle w:val="Refdenotaalpie"/>
          <w:rFonts w:ascii="Arial" w:eastAsia="Times New Roman" w:hAnsi="Arial" w:cs="Arial"/>
          <w:sz w:val="24"/>
          <w:szCs w:val="24"/>
          <w:lang w:eastAsia="es-ES"/>
        </w:rPr>
        <w:footnoteReference w:id="39"/>
      </w:r>
      <w:r w:rsidR="00820CAD">
        <w:rPr>
          <w:rFonts w:ascii="Arial" w:eastAsia="Times New Roman" w:hAnsi="Arial" w:cs="Arial"/>
          <w:sz w:val="24"/>
          <w:szCs w:val="24"/>
          <w:lang w:eastAsia="es-ES"/>
        </w:rPr>
        <w:t xml:space="preserve">, solicitó la desvinculación de la Sección de la presente causa constitucional, en la medida en que las pretensiones de la acción de tutela están dirigidas es contra las Secciones Primera y Subsección B de la Sección Segunda. </w:t>
      </w:r>
    </w:p>
    <w:p w14:paraId="485BCED8" w14:textId="77777777" w:rsidR="00820CAD" w:rsidRDefault="00820CAD"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p>
    <w:p w14:paraId="051B0937" w14:textId="7391284E" w:rsidR="00820CAD" w:rsidRDefault="00820CAD"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1.5.3. </w:t>
      </w:r>
      <w:r w:rsidR="000468D1">
        <w:rPr>
          <w:rFonts w:ascii="Arial" w:eastAsia="Times New Roman" w:hAnsi="Arial" w:cs="Arial"/>
          <w:sz w:val="24"/>
          <w:szCs w:val="24"/>
          <w:lang w:eastAsia="es-ES"/>
        </w:rPr>
        <w:t xml:space="preserve">La </w:t>
      </w:r>
      <w:r w:rsidR="000468D1" w:rsidRPr="009F4FF3">
        <w:rPr>
          <w:rFonts w:ascii="Arial" w:eastAsia="Times New Roman" w:hAnsi="Arial" w:cs="Arial"/>
          <w:b/>
          <w:sz w:val="24"/>
          <w:szCs w:val="24"/>
          <w:lang w:eastAsia="es-ES"/>
        </w:rPr>
        <w:t>Sección Primera</w:t>
      </w:r>
      <w:r w:rsidR="009C4788" w:rsidRPr="00EA3D93">
        <w:rPr>
          <w:rStyle w:val="Refdenotaalpie"/>
          <w:rFonts w:ascii="Arial" w:eastAsia="Times New Roman" w:hAnsi="Arial" w:cs="Arial"/>
          <w:sz w:val="24"/>
          <w:szCs w:val="24"/>
          <w:lang w:eastAsia="es-ES"/>
        </w:rPr>
        <w:footnoteReference w:id="40"/>
      </w:r>
      <w:r w:rsidR="000468D1" w:rsidRPr="00EA3D93">
        <w:rPr>
          <w:rFonts w:ascii="Arial" w:eastAsia="Times New Roman" w:hAnsi="Arial" w:cs="Arial"/>
          <w:sz w:val="24"/>
          <w:szCs w:val="24"/>
          <w:lang w:eastAsia="es-ES"/>
        </w:rPr>
        <w:t>,</w:t>
      </w:r>
      <w:r w:rsidR="000468D1">
        <w:rPr>
          <w:rFonts w:ascii="Arial" w:eastAsia="Times New Roman" w:hAnsi="Arial" w:cs="Arial"/>
          <w:sz w:val="24"/>
          <w:szCs w:val="24"/>
          <w:lang w:eastAsia="es-ES"/>
        </w:rPr>
        <w:t xml:space="preserve"> </w:t>
      </w:r>
      <w:r w:rsidR="005D6431">
        <w:rPr>
          <w:rFonts w:ascii="Arial" w:eastAsia="Times New Roman" w:hAnsi="Arial" w:cs="Arial"/>
          <w:sz w:val="24"/>
          <w:szCs w:val="24"/>
          <w:lang w:eastAsia="es-ES"/>
        </w:rPr>
        <w:t>por conducto del magistrado Oswaldo Giraldo López, realizó un recuento de las actuaciones que surtió en el trámite de las recusaciones</w:t>
      </w:r>
      <w:r w:rsidR="00DE79B4">
        <w:rPr>
          <w:rFonts w:ascii="Arial" w:eastAsia="Times New Roman" w:hAnsi="Arial" w:cs="Arial"/>
          <w:sz w:val="24"/>
          <w:szCs w:val="24"/>
          <w:lang w:eastAsia="es-ES"/>
        </w:rPr>
        <w:t xml:space="preserve">, y precisó que no vulneró derecho fundamental alguno del accionante, por el contrario, que respetó las garantías del debido proceso y adelantó el trámite que le correspondía en relación con las recusaciones que se presentaron tanto contra los magistrados integrantes de la Sección Quinta, como en su contra. </w:t>
      </w:r>
    </w:p>
    <w:p w14:paraId="793D4729" w14:textId="77777777" w:rsidR="009F4FF3" w:rsidRDefault="009F4FF3"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p>
    <w:p w14:paraId="3EDFFB56" w14:textId="0ECC5A97" w:rsidR="009F4FF3" w:rsidRDefault="009F4FF3"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1.5.4. </w:t>
      </w:r>
      <w:r w:rsidRPr="00F64AA8">
        <w:rPr>
          <w:rFonts w:ascii="Arial" w:eastAsia="Times New Roman" w:hAnsi="Arial" w:cs="Arial"/>
          <w:b/>
          <w:sz w:val="24"/>
          <w:szCs w:val="24"/>
          <w:lang w:eastAsia="es-ES"/>
        </w:rPr>
        <w:t>Andrés Eduardo Gómez Martínez</w:t>
      </w:r>
      <w:r w:rsidR="00F64AA8" w:rsidRPr="0090609C">
        <w:rPr>
          <w:rStyle w:val="Refdenotaalpie"/>
          <w:rFonts w:ascii="Arial" w:eastAsia="Times New Roman" w:hAnsi="Arial" w:cs="Arial"/>
          <w:sz w:val="24"/>
          <w:szCs w:val="24"/>
          <w:lang w:eastAsia="es-ES"/>
        </w:rPr>
        <w:footnoteReference w:id="41"/>
      </w:r>
      <w:r w:rsidRPr="0090609C">
        <w:rPr>
          <w:rFonts w:ascii="Arial" w:eastAsia="Times New Roman" w:hAnsi="Arial" w:cs="Arial"/>
          <w:sz w:val="24"/>
          <w:szCs w:val="24"/>
          <w:lang w:eastAsia="es-ES"/>
        </w:rPr>
        <w:t xml:space="preserve"> </w:t>
      </w:r>
      <w:r w:rsidR="00331F1A">
        <w:rPr>
          <w:rFonts w:ascii="Arial" w:eastAsia="Times New Roman" w:hAnsi="Arial" w:cs="Arial"/>
          <w:sz w:val="24"/>
          <w:szCs w:val="24"/>
          <w:lang w:eastAsia="es-ES"/>
        </w:rPr>
        <w:t xml:space="preserve">contestó cada uno de los hechos </w:t>
      </w:r>
      <w:r w:rsidR="00D629BF">
        <w:rPr>
          <w:rFonts w:ascii="Arial" w:eastAsia="Times New Roman" w:hAnsi="Arial" w:cs="Arial"/>
          <w:sz w:val="24"/>
          <w:szCs w:val="24"/>
          <w:lang w:eastAsia="es-ES"/>
        </w:rPr>
        <w:t>propuestos en la demanda de tutela, y, frente a las pretensiones consideró que las mismas debían negarse, toda vez que el auto del 1 de diciembre de 2022 que dictó la Sección Primera es un auto de trámite</w:t>
      </w:r>
      <w:r w:rsidR="00562103">
        <w:rPr>
          <w:rFonts w:ascii="Arial" w:eastAsia="Times New Roman" w:hAnsi="Arial" w:cs="Arial"/>
          <w:sz w:val="24"/>
          <w:szCs w:val="24"/>
          <w:lang w:eastAsia="es-ES"/>
        </w:rPr>
        <w:t xml:space="preserve"> al que se le impartió el procedimiento previsto en el numeral 4 del artículo 132 del CPACA</w:t>
      </w:r>
      <w:r w:rsidR="00D629BF">
        <w:rPr>
          <w:rFonts w:ascii="Arial" w:eastAsia="Times New Roman" w:hAnsi="Arial" w:cs="Arial"/>
          <w:sz w:val="24"/>
          <w:szCs w:val="24"/>
          <w:lang w:eastAsia="es-ES"/>
        </w:rPr>
        <w:t xml:space="preserve">, y, por su parte, </w:t>
      </w:r>
      <w:r w:rsidR="007163EB">
        <w:rPr>
          <w:rFonts w:ascii="Arial" w:eastAsia="Times New Roman" w:hAnsi="Arial" w:cs="Arial"/>
          <w:sz w:val="24"/>
          <w:szCs w:val="24"/>
          <w:lang w:eastAsia="es-ES"/>
        </w:rPr>
        <w:t xml:space="preserve">en lo que concierne a la providencia del 9 de febrero de 2023, contra esta se interpuso incidente de nulidad, recursos de reposición y en subsidio súplica, así como se presentó nueva recusación el 20 de febrero de 2023, razón para considerar que el asunto discutido aún está en trámite y pendiente de ser definido por la Subsección B de la Sección Segunda. </w:t>
      </w:r>
    </w:p>
    <w:p w14:paraId="31B9ED6E" w14:textId="77777777" w:rsidR="0035318D" w:rsidRDefault="0035318D"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p>
    <w:p w14:paraId="44D670F9" w14:textId="71F59632" w:rsidR="0035318D" w:rsidRDefault="0035318D"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1.5.5. El </w:t>
      </w:r>
      <w:r w:rsidRPr="003C5ABD">
        <w:rPr>
          <w:rFonts w:ascii="Arial" w:eastAsia="Times New Roman" w:hAnsi="Arial" w:cs="Arial"/>
          <w:b/>
          <w:sz w:val="24"/>
          <w:szCs w:val="24"/>
          <w:lang w:eastAsia="es-ES"/>
        </w:rPr>
        <w:t>partido político Cambio Radical</w:t>
      </w:r>
      <w:r w:rsidR="002D1D20" w:rsidRPr="00D8714A">
        <w:rPr>
          <w:rStyle w:val="Refdenotaalpie"/>
          <w:rFonts w:ascii="Arial" w:eastAsia="Times New Roman" w:hAnsi="Arial" w:cs="Arial"/>
          <w:sz w:val="24"/>
          <w:szCs w:val="24"/>
          <w:lang w:eastAsia="es-ES"/>
        </w:rPr>
        <w:footnoteReference w:id="42"/>
      </w:r>
      <w:r w:rsidR="00315B3C">
        <w:rPr>
          <w:rFonts w:ascii="Arial" w:eastAsia="Times New Roman" w:hAnsi="Arial" w:cs="Arial"/>
          <w:sz w:val="24"/>
          <w:szCs w:val="24"/>
          <w:lang w:eastAsia="es-ES"/>
        </w:rPr>
        <w:t xml:space="preserve">, por conducto de su director jurídico Luis Mario Hernández Vargas, </w:t>
      </w:r>
      <w:r w:rsidR="004F33D9">
        <w:rPr>
          <w:rFonts w:ascii="Arial" w:eastAsia="Times New Roman" w:hAnsi="Arial" w:cs="Arial"/>
          <w:sz w:val="24"/>
          <w:szCs w:val="24"/>
          <w:lang w:eastAsia="es-ES"/>
        </w:rPr>
        <w:t>precisó que la apoderada de Andrés Eduardo Gómez Martínez ha interpuesto múltiples recusaciones con la finalidad de dilatar el proceso electoral que por su naturaleza es célere, con lo que genera una inseguridad jurídica y afecta directamente el principio de representatividad que lo rige, “</w:t>
      </w:r>
      <w:r w:rsidR="00E16764">
        <w:rPr>
          <w:rFonts w:ascii="Arial" w:eastAsia="Times New Roman" w:hAnsi="Arial" w:cs="Arial"/>
          <w:sz w:val="24"/>
          <w:szCs w:val="24"/>
          <w:lang w:eastAsia="es-ES"/>
        </w:rPr>
        <w:t>ya que en atención al ordenamiento jurídico y al acuerdo de coalición es quién debería realizar la postulación de la terna para la alcaldía de Sincelejo, Sucre”</w:t>
      </w:r>
      <w:r w:rsidR="009401DF">
        <w:rPr>
          <w:rStyle w:val="Refdenotaalpie"/>
          <w:rFonts w:ascii="Arial" w:eastAsia="Times New Roman" w:hAnsi="Arial" w:cs="Arial"/>
          <w:sz w:val="24"/>
          <w:szCs w:val="24"/>
          <w:lang w:eastAsia="es-ES"/>
        </w:rPr>
        <w:footnoteReference w:id="43"/>
      </w:r>
      <w:r w:rsidR="00E16764">
        <w:rPr>
          <w:rFonts w:ascii="Arial" w:eastAsia="Times New Roman" w:hAnsi="Arial" w:cs="Arial"/>
          <w:sz w:val="24"/>
          <w:szCs w:val="24"/>
          <w:lang w:eastAsia="es-ES"/>
        </w:rPr>
        <w:t>. Así las cosas, solicitó a este juez constitucional, de considerarlo procedente, imponer las sanciones que correspondan al señor Gómez Martínez</w:t>
      </w:r>
      <w:r w:rsidR="00AC43B4">
        <w:rPr>
          <w:rFonts w:ascii="Arial" w:eastAsia="Times New Roman" w:hAnsi="Arial" w:cs="Arial"/>
          <w:sz w:val="24"/>
          <w:szCs w:val="24"/>
          <w:lang w:eastAsia="es-ES"/>
        </w:rPr>
        <w:t xml:space="preserve">, y sobre el fondo del asunto, acceder a las pretensiones de la solicitud de amparo, con el fin de declarar la improcedencia de los recursos y trámites dilatorios que han sido presentados. </w:t>
      </w:r>
    </w:p>
    <w:p w14:paraId="71B8DC64" w14:textId="77777777" w:rsidR="00917B01" w:rsidRDefault="00917B01"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p>
    <w:p w14:paraId="5BEBE3A9" w14:textId="2FD38CD4" w:rsidR="00917B01" w:rsidRDefault="00917B01"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1.5.6. El expediente ingresó al Despacho del magistrado ponente para dictar fallo de primera instancia, el 29 de marzo de 2023</w:t>
      </w:r>
      <w:r w:rsidR="003349F1">
        <w:rPr>
          <w:rStyle w:val="Refdenotaalpie"/>
          <w:rFonts w:ascii="Arial" w:eastAsia="Times New Roman" w:hAnsi="Arial" w:cs="Arial"/>
          <w:sz w:val="24"/>
          <w:szCs w:val="24"/>
          <w:lang w:eastAsia="es-ES"/>
        </w:rPr>
        <w:footnoteReference w:id="44"/>
      </w:r>
      <w:r>
        <w:rPr>
          <w:rFonts w:ascii="Arial" w:eastAsia="Times New Roman" w:hAnsi="Arial" w:cs="Arial"/>
          <w:sz w:val="24"/>
          <w:szCs w:val="24"/>
          <w:lang w:eastAsia="es-ES"/>
        </w:rPr>
        <w:t xml:space="preserve">, no obstante, la Secretaría General no había notificado en debida forma y de acuerdo con el informe que remitió la Sección Quinta, el auto admisorio </w:t>
      </w:r>
      <w:r w:rsidR="00331F1A">
        <w:rPr>
          <w:rFonts w:ascii="Arial" w:eastAsia="Times New Roman" w:hAnsi="Arial" w:cs="Arial"/>
          <w:sz w:val="24"/>
          <w:szCs w:val="24"/>
          <w:lang w:eastAsia="es-ES"/>
        </w:rPr>
        <w:t>a</w:t>
      </w:r>
      <w:r w:rsidR="00436A74">
        <w:rPr>
          <w:rFonts w:ascii="Arial" w:eastAsia="Times New Roman" w:hAnsi="Arial" w:cs="Arial"/>
          <w:sz w:val="24"/>
          <w:szCs w:val="24"/>
          <w:lang w:eastAsia="es-ES"/>
        </w:rPr>
        <w:t xml:space="preserve"> los magistrados integrantes de la Subsección B de la Sección Segunda,</w:t>
      </w:r>
      <w:r w:rsidR="00B714F0">
        <w:rPr>
          <w:rFonts w:ascii="Arial" w:eastAsia="Times New Roman" w:hAnsi="Arial" w:cs="Arial"/>
          <w:sz w:val="24"/>
          <w:szCs w:val="24"/>
          <w:lang w:eastAsia="es-ES"/>
        </w:rPr>
        <w:t xml:space="preserve"> al Tribunal Administrativo de Sucre,</w:t>
      </w:r>
      <w:r w:rsidR="00436A74">
        <w:rPr>
          <w:rFonts w:ascii="Arial" w:eastAsia="Times New Roman" w:hAnsi="Arial" w:cs="Arial"/>
          <w:sz w:val="24"/>
          <w:szCs w:val="24"/>
          <w:lang w:eastAsia="es-ES"/>
        </w:rPr>
        <w:t xml:space="preserve"> y a</w:t>
      </w:r>
      <w:r>
        <w:rPr>
          <w:rFonts w:ascii="Arial" w:eastAsia="Times New Roman" w:hAnsi="Arial" w:cs="Arial"/>
          <w:sz w:val="24"/>
          <w:szCs w:val="24"/>
          <w:lang w:eastAsia="es-ES"/>
        </w:rPr>
        <w:t xml:space="preserve"> quienes intervinieron en el asunto electoral</w:t>
      </w:r>
      <w:r w:rsidR="00436A74">
        <w:rPr>
          <w:rFonts w:ascii="Arial" w:eastAsia="Times New Roman" w:hAnsi="Arial" w:cs="Arial"/>
          <w:sz w:val="24"/>
          <w:szCs w:val="24"/>
          <w:lang w:eastAsia="es-ES"/>
        </w:rPr>
        <w:t xml:space="preserve"> -en calidad de terceros con interés-</w:t>
      </w:r>
      <w:r>
        <w:rPr>
          <w:rFonts w:ascii="Arial" w:eastAsia="Times New Roman" w:hAnsi="Arial" w:cs="Arial"/>
          <w:sz w:val="24"/>
          <w:szCs w:val="24"/>
          <w:lang w:eastAsia="es-ES"/>
        </w:rPr>
        <w:t>, dictó auto el 14 de abril de 2023, en el que ordenó</w:t>
      </w:r>
      <w:r w:rsidR="00A24CD0">
        <w:rPr>
          <w:rFonts w:ascii="Arial" w:eastAsia="Times New Roman" w:hAnsi="Arial" w:cs="Arial"/>
          <w:sz w:val="24"/>
          <w:szCs w:val="24"/>
          <w:lang w:eastAsia="es-ES"/>
        </w:rPr>
        <w:t xml:space="preserve">, entre otras: </w:t>
      </w:r>
    </w:p>
    <w:p w14:paraId="0389A3A3" w14:textId="77777777" w:rsidR="00A24CD0" w:rsidRDefault="00A24CD0" w:rsidP="00692387">
      <w:pPr>
        <w:overflowPunct w:val="0"/>
        <w:autoSpaceDE w:val="0"/>
        <w:autoSpaceDN w:val="0"/>
        <w:adjustRightInd w:val="0"/>
        <w:spacing w:line="240" w:lineRule="auto"/>
        <w:contextualSpacing/>
        <w:jc w:val="both"/>
        <w:rPr>
          <w:rFonts w:ascii="Arial" w:eastAsia="Times New Roman" w:hAnsi="Arial" w:cs="Arial"/>
          <w:sz w:val="24"/>
          <w:szCs w:val="24"/>
          <w:lang w:eastAsia="es-ES"/>
        </w:rPr>
      </w:pPr>
    </w:p>
    <w:p w14:paraId="52576481" w14:textId="77777777" w:rsidR="00A24CD0" w:rsidRDefault="00A24CD0" w:rsidP="00A24CD0">
      <w:pPr>
        <w:spacing w:after="0" w:line="240" w:lineRule="auto"/>
        <w:ind w:left="708"/>
        <w:jc w:val="both"/>
        <w:rPr>
          <w:rFonts w:ascii="Arial" w:hAnsi="Arial" w:cs="Arial"/>
          <w:lang w:val="es-ES"/>
        </w:rPr>
      </w:pPr>
      <w:r>
        <w:rPr>
          <w:rFonts w:ascii="Arial" w:hAnsi="Arial" w:cs="Arial"/>
          <w:b/>
          <w:lang w:val="es-ES"/>
        </w:rPr>
        <w:t>“</w:t>
      </w:r>
      <w:r w:rsidRPr="00A24CD0">
        <w:rPr>
          <w:rFonts w:ascii="Arial" w:hAnsi="Arial" w:cs="Arial"/>
          <w:b/>
          <w:lang w:val="es-ES"/>
        </w:rPr>
        <w:t xml:space="preserve">PRIMERO. NOTIFICAR </w:t>
      </w:r>
      <w:r w:rsidRPr="00A24CD0">
        <w:rPr>
          <w:rFonts w:ascii="Arial" w:hAnsi="Arial" w:cs="Arial"/>
          <w:lang w:val="es-ES"/>
        </w:rPr>
        <w:t xml:space="preserve">el auto admisorio del 15 de marzo de 2023 a los magistrados que integran la Subsección B de la Sección Segunda del Consejo de Estado, a cada uno de sus correos electrónicos. </w:t>
      </w:r>
    </w:p>
    <w:p w14:paraId="7DB77CDB" w14:textId="77777777" w:rsidR="00A24CD0" w:rsidRPr="00A24CD0" w:rsidRDefault="00A24CD0" w:rsidP="00A24CD0">
      <w:pPr>
        <w:spacing w:after="0" w:line="240" w:lineRule="auto"/>
        <w:ind w:left="708"/>
        <w:jc w:val="both"/>
        <w:rPr>
          <w:rFonts w:ascii="Arial" w:hAnsi="Arial" w:cs="Arial"/>
          <w:lang w:val="es-ES"/>
        </w:rPr>
      </w:pPr>
    </w:p>
    <w:p w14:paraId="033DCF27" w14:textId="77777777" w:rsidR="00A24CD0" w:rsidRPr="00A24CD0" w:rsidRDefault="00A24CD0" w:rsidP="00A24CD0">
      <w:pPr>
        <w:spacing w:after="0" w:line="240" w:lineRule="auto"/>
        <w:ind w:left="708"/>
        <w:jc w:val="both"/>
        <w:rPr>
          <w:rFonts w:ascii="Arial" w:hAnsi="Arial" w:cs="Arial"/>
          <w:lang w:val="es-ES"/>
        </w:rPr>
      </w:pPr>
      <w:r w:rsidRPr="00A24CD0">
        <w:rPr>
          <w:rFonts w:ascii="Arial" w:hAnsi="Arial" w:cs="Arial"/>
          <w:b/>
          <w:lang w:val="es-ES"/>
        </w:rPr>
        <w:t xml:space="preserve">SEGUNDO. NOTIFICAR </w:t>
      </w:r>
      <w:r w:rsidRPr="00A24CD0">
        <w:rPr>
          <w:rFonts w:ascii="Arial" w:hAnsi="Arial" w:cs="Arial"/>
          <w:lang w:val="es-ES"/>
        </w:rPr>
        <w:t xml:space="preserve">el auto admisorio del 15 de marzo de 2023 al Tribunal Administrativo de Sucre, por conducto del correo electrónico de la Secretaría General de dicha Corporación. </w:t>
      </w:r>
    </w:p>
    <w:p w14:paraId="7540CCBA" w14:textId="77777777" w:rsidR="00A24CD0" w:rsidRPr="00A24CD0" w:rsidRDefault="00A24CD0" w:rsidP="00A24CD0">
      <w:pPr>
        <w:spacing w:after="0" w:line="240" w:lineRule="auto"/>
        <w:ind w:left="708"/>
        <w:jc w:val="both"/>
        <w:rPr>
          <w:rFonts w:ascii="Arial" w:hAnsi="Arial" w:cs="Arial"/>
          <w:b/>
          <w:lang w:val="es-ES"/>
        </w:rPr>
      </w:pPr>
    </w:p>
    <w:p w14:paraId="51FAF94D" w14:textId="77777777" w:rsidR="00A24CD0" w:rsidRPr="00A24CD0" w:rsidRDefault="00A24CD0" w:rsidP="00A24CD0">
      <w:pPr>
        <w:spacing w:after="0" w:line="240" w:lineRule="auto"/>
        <w:ind w:left="708"/>
        <w:jc w:val="both"/>
        <w:rPr>
          <w:rFonts w:ascii="Arial" w:hAnsi="Arial" w:cs="Arial"/>
          <w:lang w:val="es-ES"/>
        </w:rPr>
      </w:pPr>
      <w:r w:rsidRPr="00A24CD0">
        <w:rPr>
          <w:rFonts w:ascii="Arial" w:hAnsi="Arial" w:cs="Arial"/>
          <w:b/>
          <w:lang w:val="es-ES"/>
        </w:rPr>
        <w:t xml:space="preserve">TERCERO. NOTIFICAR </w:t>
      </w:r>
      <w:r w:rsidRPr="00A24CD0">
        <w:rPr>
          <w:rFonts w:ascii="Arial" w:hAnsi="Arial" w:cs="Arial"/>
          <w:lang w:val="es-ES"/>
        </w:rPr>
        <w:t xml:space="preserve">el auto admisorio del 15 de marzo de 2023 a la Registraduría Nacional del Estado Civil, a la dirección de correo electrónico que tenga registrada. </w:t>
      </w:r>
    </w:p>
    <w:p w14:paraId="243AE7F3" w14:textId="77777777" w:rsidR="00A24CD0" w:rsidRPr="00A24CD0" w:rsidRDefault="00A24CD0" w:rsidP="00A24CD0">
      <w:pPr>
        <w:spacing w:after="0" w:line="240" w:lineRule="auto"/>
        <w:ind w:left="708"/>
        <w:jc w:val="both"/>
        <w:rPr>
          <w:rFonts w:ascii="Arial" w:hAnsi="Arial" w:cs="Arial"/>
          <w:b/>
          <w:lang w:val="es-ES"/>
        </w:rPr>
      </w:pPr>
    </w:p>
    <w:p w14:paraId="02E11B1D" w14:textId="77777777" w:rsidR="00A24CD0" w:rsidRPr="00A24CD0" w:rsidRDefault="00A24CD0" w:rsidP="00A24CD0">
      <w:pPr>
        <w:spacing w:after="0" w:line="240" w:lineRule="auto"/>
        <w:ind w:left="708"/>
        <w:jc w:val="both"/>
        <w:rPr>
          <w:rFonts w:ascii="Arial" w:hAnsi="Arial" w:cs="Arial"/>
          <w:lang w:val="es-ES"/>
        </w:rPr>
      </w:pPr>
      <w:r w:rsidRPr="00A24CD0">
        <w:rPr>
          <w:rFonts w:ascii="Arial" w:hAnsi="Arial" w:cs="Arial"/>
          <w:b/>
          <w:lang w:val="es-ES"/>
        </w:rPr>
        <w:t xml:space="preserve">CUARTO. NOTIFICAR </w:t>
      </w:r>
      <w:r w:rsidRPr="00A24CD0">
        <w:rPr>
          <w:rFonts w:ascii="Arial" w:hAnsi="Arial" w:cs="Arial"/>
          <w:lang w:val="es-ES"/>
        </w:rPr>
        <w:t xml:space="preserve">el auto admisorio del 15 de marzo de 2023 al </w:t>
      </w:r>
      <w:r w:rsidRPr="00A24CD0">
        <w:rPr>
          <w:rFonts w:ascii="Arial" w:eastAsia="Verdana" w:hAnsi="Arial" w:cs="Arial"/>
          <w:lang w:eastAsia="es-ES_tradnl"/>
        </w:rPr>
        <w:t xml:space="preserve">Consejo Nacional Electoral, a los partidos Centro Democrático y Social de la Unidad Nacional, a Omar de Jesús Ochoa García y a Nataly Strusberg Castañeda, a los correos electrónicos identificados en la parte motiva de esta providencia. </w:t>
      </w:r>
    </w:p>
    <w:p w14:paraId="10D9E61A" w14:textId="77777777" w:rsidR="00A24CD0" w:rsidRPr="00A24CD0" w:rsidRDefault="00A24CD0" w:rsidP="00A24CD0">
      <w:pPr>
        <w:spacing w:after="0" w:line="240" w:lineRule="auto"/>
        <w:ind w:left="708"/>
        <w:jc w:val="both"/>
        <w:rPr>
          <w:rFonts w:ascii="Arial" w:hAnsi="Arial" w:cs="Arial"/>
          <w:lang w:val="es-ES"/>
        </w:rPr>
      </w:pPr>
    </w:p>
    <w:p w14:paraId="125D40A0" w14:textId="77777777" w:rsidR="00A24CD0" w:rsidRDefault="00A24CD0" w:rsidP="00A24CD0">
      <w:pPr>
        <w:spacing w:after="0" w:line="240" w:lineRule="auto"/>
        <w:ind w:left="708"/>
        <w:jc w:val="both"/>
        <w:rPr>
          <w:rFonts w:ascii="Arial" w:eastAsia="Times New Roman" w:hAnsi="Arial" w:cs="Arial"/>
          <w:color w:val="000000"/>
          <w:lang w:val="es-ES_tradnl" w:eastAsia="es-ES"/>
        </w:rPr>
      </w:pPr>
      <w:r w:rsidRPr="00A24CD0">
        <w:rPr>
          <w:rFonts w:ascii="Arial" w:hAnsi="Arial" w:cs="Arial"/>
          <w:b/>
          <w:lang w:val="es-ES"/>
        </w:rPr>
        <w:t>QUINTO.</w:t>
      </w:r>
      <w:r w:rsidRPr="00A24CD0">
        <w:rPr>
          <w:rFonts w:ascii="Arial" w:hAnsi="Arial" w:cs="Arial"/>
          <w:lang w:val="es-ES"/>
        </w:rPr>
        <w:t xml:space="preserve"> </w:t>
      </w:r>
      <w:r w:rsidRPr="00A24CD0">
        <w:rPr>
          <w:rFonts w:ascii="Arial" w:eastAsia="Times New Roman" w:hAnsi="Arial" w:cs="Arial"/>
          <w:b/>
          <w:bCs/>
          <w:lang w:val="es-ES"/>
        </w:rPr>
        <w:t>COMUNICAR</w:t>
      </w:r>
      <w:r w:rsidRPr="00A24CD0">
        <w:rPr>
          <w:rFonts w:ascii="Arial" w:eastAsia="Times New Roman" w:hAnsi="Arial" w:cs="Arial"/>
          <w:lang w:val="es-ES"/>
        </w:rPr>
        <w:t xml:space="preserve"> a los magistrados que integran la Subsección B de la Sección Segunda del Consejo de Estado, al Tribunal Administrativo de Sucre, al Consejo Nacional Electoral, a la Registraduría Nacional del Estado Civil, a los partidos Centro Democrático y Social de la Unidad Nacional, a Omar de Jesús Ochoa García y a Nataly Strusberg Castañeda que, podrán presentar informes sobre los hechos en que se sustenta la presente acción, en el término de </w:t>
      </w:r>
      <w:r w:rsidRPr="00A24CD0">
        <w:rPr>
          <w:rFonts w:ascii="Arial" w:eastAsia="Times New Roman" w:hAnsi="Arial" w:cs="Arial"/>
          <w:lang w:val="es-ES_tradnl" w:eastAsia="es-ES"/>
        </w:rPr>
        <w:t>tres (3) días contados a partir del recibo de la presente notificación.</w:t>
      </w:r>
      <w:r w:rsidRPr="00A24CD0">
        <w:rPr>
          <w:rFonts w:ascii="Arial" w:eastAsia="Times New Roman" w:hAnsi="Arial" w:cs="Arial"/>
          <w:color w:val="000000"/>
          <w:lang w:val="es-ES_tradnl" w:eastAsia="es-ES"/>
        </w:rPr>
        <w:t xml:space="preserve"> Estos se considerarán rendidos bajo juramento (artículos 19 y 20 del Decreto 2591 de 1991)</w:t>
      </w:r>
      <w:r>
        <w:rPr>
          <w:rFonts w:ascii="Arial" w:eastAsia="Times New Roman" w:hAnsi="Arial" w:cs="Arial"/>
          <w:color w:val="000000"/>
          <w:lang w:val="es-ES_tradnl" w:eastAsia="es-ES"/>
        </w:rPr>
        <w:t>”</w:t>
      </w:r>
      <w:r w:rsidR="009B0682">
        <w:rPr>
          <w:rStyle w:val="Refdenotaalpie"/>
          <w:rFonts w:ascii="Arial" w:eastAsia="Times New Roman" w:hAnsi="Arial" w:cs="Arial"/>
          <w:color w:val="000000"/>
          <w:lang w:val="es-ES_tradnl" w:eastAsia="es-ES"/>
        </w:rPr>
        <w:footnoteReference w:id="45"/>
      </w:r>
      <w:r>
        <w:rPr>
          <w:rFonts w:ascii="Arial" w:eastAsia="Times New Roman" w:hAnsi="Arial" w:cs="Arial"/>
          <w:color w:val="000000"/>
          <w:lang w:val="es-ES_tradnl" w:eastAsia="es-ES"/>
        </w:rPr>
        <w:t xml:space="preserve">. </w:t>
      </w:r>
    </w:p>
    <w:p w14:paraId="1E85080E" w14:textId="77777777" w:rsidR="00996E06" w:rsidRPr="00996E06" w:rsidRDefault="00996E06" w:rsidP="00A24CD0">
      <w:pPr>
        <w:spacing w:after="0" w:line="240" w:lineRule="auto"/>
        <w:ind w:left="708"/>
        <w:jc w:val="both"/>
        <w:rPr>
          <w:rFonts w:ascii="Arial" w:eastAsia="Times New Roman" w:hAnsi="Arial" w:cs="Arial"/>
          <w:sz w:val="24"/>
          <w:szCs w:val="24"/>
          <w:lang w:val="es-ES"/>
        </w:rPr>
      </w:pPr>
    </w:p>
    <w:p w14:paraId="7092B0F6" w14:textId="572E8808" w:rsidR="00996E06" w:rsidRDefault="00996E06" w:rsidP="00996E06">
      <w:pPr>
        <w:spacing w:after="0" w:line="240" w:lineRule="auto"/>
        <w:jc w:val="both"/>
        <w:rPr>
          <w:rFonts w:ascii="Arial" w:eastAsia="Times New Roman" w:hAnsi="Arial" w:cs="Arial"/>
          <w:sz w:val="24"/>
          <w:szCs w:val="24"/>
          <w:lang w:val="es-ES"/>
        </w:rPr>
      </w:pPr>
      <w:r w:rsidRPr="00996E06">
        <w:rPr>
          <w:rFonts w:ascii="Arial" w:eastAsia="Times New Roman" w:hAnsi="Arial" w:cs="Arial"/>
          <w:sz w:val="24"/>
          <w:szCs w:val="24"/>
          <w:lang w:val="es-ES"/>
        </w:rPr>
        <w:t>1.5.7. Surtidas las notificaci</w:t>
      </w:r>
      <w:r>
        <w:rPr>
          <w:rFonts w:ascii="Arial" w:eastAsia="Times New Roman" w:hAnsi="Arial" w:cs="Arial"/>
          <w:sz w:val="24"/>
          <w:szCs w:val="24"/>
          <w:lang w:val="es-ES"/>
        </w:rPr>
        <w:t>ones</w:t>
      </w:r>
      <w:r w:rsidRPr="00996E06">
        <w:rPr>
          <w:rFonts w:ascii="Arial" w:eastAsia="Times New Roman" w:hAnsi="Arial" w:cs="Arial"/>
          <w:sz w:val="24"/>
          <w:szCs w:val="24"/>
          <w:lang w:val="es-ES"/>
        </w:rPr>
        <w:t xml:space="preserve"> en rigor</w:t>
      </w:r>
      <w:r w:rsidR="004B6EF2">
        <w:rPr>
          <w:rStyle w:val="Refdenotaalpie"/>
          <w:rFonts w:ascii="Arial" w:eastAsia="Times New Roman" w:hAnsi="Arial" w:cs="Arial"/>
          <w:sz w:val="24"/>
          <w:szCs w:val="24"/>
          <w:lang w:val="es-ES"/>
        </w:rPr>
        <w:footnoteReference w:id="46"/>
      </w:r>
      <w:r w:rsidRPr="00996E06">
        <w:rPr>
          <w:rFonts w:ascii="Arial" w:eastAsia="Times New Roman" w:hAnsi="Arial" w:cs="Arial"/>
          <w:sz w:val="24"/>
          <w:szCs w:val="24"/>
          <w:lang w:val="es-ES"/>
        </w:rPr>
        <w:t xml:space="preserve">, </w:t>
      </w:r>
      <w:r w:rsidR="00E561E7">
        <w:rPr>
          <w:rFonts w:ascii="Arial" w:eastAsia="Times New Roman" w:hAnsi="Arial" w:cs="Arial"/>
          <w:sz w:val="24"/>
          <w:szCs w:val="24"/>
          <w:lang w:val="es-ES"/>
        </w:rPr>
        <w:t xml:space="preserve">la </w:t>
      </w:r>
      <w:r w:rsidR="00E561E7" w:rsidRPr="00E561E7">
        <w:rPr>
          <w:rFonts w:ascii="Arial" w:eastAsia="Times New Roman" w:hAnsi="Arial" w:cs="Arial"/>
          <w:b/>
          <w:sz w:val="24"/>
          <w:szCs w:val="24"/>
          <w:lang w:val="es-ES"/>
        </w:rPr>
        <w:t>Subsección B de la Sección Segunda</w:t>
      </w:r>
      <w:r w:rsidR="00033A6C" w:rsidRPr="00E75272">
        <w:rPr>
          <w:rStyle w:val="Refdenotaalpie"/>
          <w:rFonts w:ascii="Arial" w:eastAsia="Times New Roman" w:hAnsi="Arial" w:cs="Arial"/>
          <w:sz w:val="24"/>
          <w:szCs w:val="24"/>
          <w:lang w:val="es-ES"/>
        </w:rPr>
        <w:footnoteReference w:id="47"/>
      </w:r>
      <w:r w:rsidR="00E561E7">
        <w:rPr>
          <w:rFonts w:ascii="Arial" w:eastAsia="Times New Roman" w:hAnsi="Arial" w:cs="Arial"/>
          <w:sz w:val="24"/>
          <w:szCs w:val="24"/>
          <w:lang w:val="es-ES"/>
        </w:rPr>
        <w:t>, por conducto del magistrado Carmelo Perdomo Cuéter, indicó que en lo concerniente a los hechos que fundamentan el amparo se atendr</w:t>
      </w:r>
      <w:r w:rsidR="00381E95">
        <w:rPr>
          <w:rFonts w:ascii="Arial" w:eastAsia="Times New Roman" w:hAnsi="Arial" w:cs="Arial"/>
          <w:sz w:val="24"/>
          <w:szCs w:val="24"/>
          <w:lang w:val="es-ES"/>
        </w:rPr>
        <w:t>ía</w:t>
      </w:r>
      <w:r w:rsidR="00E561E7">
        <w:rPr>
          <w:rFonts w:ascii="Arial" w:eastAsia="Times New Roman" w:hAnsi="Arial" w:cs="Arial"/>
          <w:sz w:val="24"/>
          <w:szCs w:val="24"/>
          <w:lang w:val="es-ES"/>
        </w:rPr>
        <w:t xml:space="preserve"> a lo que resulte probado en el proceso, mientras que en lo referente a la providencia que dictó el 9 de febrero de 2023, las razones que la legitimaron están allí consignadas. </w:t>
      </w:r>
    </w:p>
    <w:p w14:paraId="469BD031" w14:textId="77777777" w:rsidR="0015232A" w:rsidRDefault="0015232A" w:rsidP="00996E06">
      <w:pPr>
        <w:spacing w:after="0" w:line="240" w:lineRule="auto"/>
        <w:jc w:val="both"/>
        <w:rPr>
          <w:rFonts w:ascii="Arial" w:eastAsia="Times New Roman" w:hAnsi="Arial" w:cs="Arial"/>
          <w:sz w:val="24"/>
          <w:szCs w:val="24"/>
          <w:lang w:val="es-ES"/>
        </w:rPr>
      </w:pPr>
    </w:p>
    <w:p w14:paraId="628EC755" w14:textId="2F257934" w:rsidR="0015232A" w:rsidRDefault="0015232A" w:rsidP="00996E06">
      <w:pPr>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1.5.8. El </w:t>
      </w:r>
      <w:r w:rsidRPr="00EE2A49">
        <w:rPr>
          <w:rFonts w:ascii="Arial" w:eastAsia="Times New Roman" w:hAnsi="Arial" w:cs="Arial"/>
          <w:b/>
          <w:sz w:val="24"/>
          <w:szCs w:val="24"/>
          <w:lang w:val="es-ES"/>
        </w:rPr>
        <w:t>Consejo Nacional Electoral</w:t>
      </w:r>
      <w:r w:rsidR="00604A29" w:rsidRPr="00E75272">
        <w:rPr>
          <w:rStyle w:val="Refdenotaalpie"/>
          <w:rFonts w:ascii="Arial" w:eastAsia="Times New Roman" w:hAnsi="Arial" w:cs="Arial"/>
          <w:sz w:val="24"/>
          <w:szCs w:val="24"/>
          <w:lang w:val="es-ES"/>
        </w:rPr>
        <w:footnoteReference w:id="48"/>
      </w:r>
      <w:r>
        <w:rPr>
          <w:rFonts w:ascii="Arial" w:eastAsia="Times New Roman" w:hAnsi="Arial" w:cs="Arial"/>
          <w:sz w:val="24"/>
          <w:szCs w:val="24"/>
          <w:lang w:val="es-ES"/>
        </w:rPr>
        <w:t xml:space="preserve"> solicitó al juez de tutela su desvinculación del presente trámite constitucional por falta de legitimación en la causa por pasiva, en la medida en que no es la entidad que está llamada a responder por la vulneración de los derechos fundamentales del accionante</w:t>
      </w:r>
      <w:r w:rsidR="00EE2A49">
        <w:rPr>
          <w:rFonts w:ascii="Arial" w:eastAsia="Times New Roman" w:hAnsi="Arial" w:cs="Arial"/>
          <w:sz w:val="24"/>
          <w:szCs w:val="24"/>
          <w:lang w:val="es-ES"/>
        </w:rPr>
        <w:t xml:space="preserve">, pues esto es materia de las competencias de las secciones Primera y Subsección B de la Sección Segunda. </w:t>
      </w:r>
    </w:p>
    <w:p w14:paraId="1A81F86C" w14:textId="77777777" w:rsidR="00F330F0" w:rsidRDefault="00F330F0" w:rsidP="00996E06">
      <w:pPr>
        <w:spacing w:after="0" w:line="240" w:lineRule="auto"/>
        <w:jc w:val="both"/>
        <w:rPr>
          <w:rFonts w:ascii="Arial" w:eastAsia="Times New Roman" w:hAnsi="Arial" w:cs="Arial"/>
          <w:sz w:val="24"/>
          <w:szCs w:val="24"/>
          <w:lang w:val="es-ES"/>
        </w:rPr>
      </w:pPr>
    </w:p>
    <w:p w14:paraId="07241A55" w14:textId="465C8216" w:rsidR="00F330F0" w:rsidRDefault="00F330F0" w:rsidP="00996E06">
      <w:pPr>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1.5.9. La </w:t>
      </w:r>
      <w:r w:rsidRPr="005D2E01">
        <w:rPr>
          <w:rFonts w:ascii="Arial" w:eastAsia="Times New Roman" w:hAnsi="Arial" w:cs="Arial"/>
          <w:b/>
          <w:sz w:val="24"/>
          <w:szCs w:val="24"/>
          <w:lang w:val="es-ES"/>
        </w:rPr>
        <w:t>Registraduría Nacional del Estado Civil</w:t>
      </w:r>
      <w:r w:rsidR="00F64970" w:rsidRPr="007A012D">
        <w:rPr>
          <w:rStyle w:val="Refdenotaalpie"/>
          <w:rFonts w:ascii="Arial" w:eastAsia="Times New Roman" w:hAnsi="Arial" w:cs="Arial"/>
          <w:sz w:val="24"/>
          <w:szCs w:val="24"/>
          <w:lang w:val="es-ES"/>
        </w:rPr>
        <w:footnoteReference w:id="49"/>
      </w:r>
      <w:r>
        <w:rPr>
          <w:rFonts w:ascii="Arial" w:eastAsia="Times New Roman" w:hAnsi="Arial" w:cs="Arial"/>
          <w:sz w:val="24"/>
          <w:szCs w:val="24"/>
          <w:lang w:val="es-ES"/>
        </w:rPr>
        <w:t xml:space="preserve"> </w:t>
      </w:r>
      <w:r w:rsidR="005D2E01">
        <w:rPr>
          <w:rFonts w:ascii="Arial" w:eastAsia="Times New Roman" w:hAnsi="Arial" w:cs="Arial"/>
          <w:sz w:val="24"/>
          <w:szCs w:val="24"/>
          <w:lang w:val="es-ES"/>
        </w:rPr>
        <w:t>pidió su desvinculación de la acción de tutela de la referencia por falta de legitimación en la causa por pasiva, al considerar que no tiene dentro de sus competencias el trámite de las recusaciones que</w:t>
      </w:r>
      <w:r w:rsidR="005B5DAF">
        <w:rPr>
          <w:rFonts w:ascii="Arial" w:eastAsia="Times New Roman" w:hAnsi="Arial" w:cs="Arial"/>
          <w:sz w:val="24"/>
          <w:szCs w:val="24"/>
          <w:lang w:val="es-ES"/>
        </w:rPr>
        <w:t xml:space="preserve"> motivaron la solicitud de amparo</w:t>
      </w:r>
      <w:r w:rsidR="005D2E01">
        <w:rPr>
          <w:rFonts w:ascii="Arial" w:eastAsia="Times New Roman" w:hAnsi="Arial" w:cs="Arial"/>
          <w:sz w:val="24"/>
          <w:szCs w:val="24"/>
          <w:lang w:val="es-ES"/>
        </w:rPr>
        <w:t xml:space="preserve">. Agregó, además, que la acción de tutela no puede ser considerada como una tercera instancia cuando se interpone contra providencias judiciales. </w:t>
      </w:r>
    </w:p>
    <w:p w14:paraId="3C81DC5E" w14:textId="77777777" w:rsidR="00B00891" w:rsidRDefault="00B00891" w:rsidP="00996E06">
      <w:pPr>
        <w:spacing w:after="0" w:line="240" w:lineRule="auto"/>
        <w:jc w:val="both"/>
        <w:rPr>
          <w:rFonts w:ascii="Arial" w:eastAsia="Times New Roman" w:hAnsi="Arial" w:cs="Arial"/>
          <w:sz w:val="24"/>
          <w:szCs w:val="24"/>
          <w:lang w:val="es-ES"/>
        </w:rPr>
      </w:pPr>
    </w:p>
    <w:p w14:paraId="650951A1" w14:textId="0DB98572" w:rsidR="00692387" w:rsidRPr="00793251" w:rsidRDefault="00D36D90" w:rsidP="00793251">
      <w:pPr>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1.5.10. </w:t>
      </w:r>
      <w:r w:rsidRPr="00FA798C">
        <w:rPr>
          <w:rFonts w:ascii="Arial" w:eastAsia="Times New Roman" w:hAnsi="Arial" w:cs="Arial"/>
          <w:b/>
          <w:sz w:val="24"/>
          <w:szCs w:val="24"/>
          <w:lang w:val="es-ES"/>
        </w:rPr>
        <w:t>Elkin Enrique Díaz Camacho</w:t>
      </w:r>
      <w:r w:rsidR="00F168F9" w:rsidRPr="007A012D">
        <w:rPr>
          <w:rStyle w:val="Refdenotaalpie"/>
          <w:rFonts w:ascii="Arial" w:eastAsia="Times New Roman" w:hAnsi="Arial" w:cs="Arial"/>
          <w:sz w:val="24"/>
          <w:szCs w:val="24"/>
          <w:lang w:val="es-ES"/>
        </w:rPr>
        <w:footnoteReference w:id="50"/>
      </w:r>
      <w:r>
        <w:rPr>
          <w:rFonts w:ascii="Arial" w:eastAsia="Times New Roman" w:hAnsi="Arial" w:cs="Arial"/>
          <w:sz w:val="24"/>
          <w:szCs w:val="24"/>
          <w:lang w:val="es-ES"/>
        </w:rPr>
        <w:t xml:space="preserve"> </w:t>
      </w:r>
      <w:r w:rsidR="005F068B">
        <w:rPr>
          <w:rFonts w:ascii="Arial" w:eastAsia="Times New Roman" w:hAnsi="Arial" w:cs="Arial"/>
          <w:sz w:val="24"/>
          <w:szCs w:val="24"/>
          <w:lang w:val="es-ES"/>
        </w:rPr>
        <w:t xml:space="preserve">indicó que acaecieron hechos sobrevinientes que </w:t>
      </w:r>
      <w:r w:rsidR="005F068B" w:rsidRPr="00793251">
        <w:rPr>
          <w:rFonts w:ascii="Arial" w:eastAsia="Times New Roman" w:hAnsi="Arial" w:cs="Arial"/>
          <w:sz w:val="24"/>
          <w:szCs w:val="24"/>
          <w:lang w:val="es-ES"/>
        </w:rPr>
        <w:t>le dan alcance a su pedimento constitucional</w:t>
      </w:r>
      <w:r w:rsidR="00F02830" w:rsidRPr="00793251">
        <w:rPr>
          <w:rFonts w:ascii="Arial" w:eastAsia="Times New Roman" w:hAnsi="Arial" w:cs="Arial"/>
          <w:sz w:val="24"/>
          <w:szCs w:val="24"/>
          <w:lang w:val="es-ES"/>
        </w:rPr>
        <w:t>, en la medida en que la Subsección B de la Sección Segunda</w:t>
      </w:r>
      <w:r w:rsidR="002701CC" w:rsidRPr="00793251">
        <w:rPr>
          <w:rFonts w:ascii="Arial" w:eastAsia="Times New Roman" w:hAnsi="Arial" w:cs="Arial"/>
          <w:sz w:val="24"/>
          <w:szCs w:val="24"/>
          <w:lang w:val="es-ES"/>
        </w:rPr>
        <w:t>, el 23 de marzo</w:t>
      </w:r>
      <w:r w:rsidR="00FE66C2" w:rsidRPr="00793251">
        <w:rPr>
          <w:rFonts w:ascii="Arial" w:eastAsia="Times New Roman" w:hAnsi="Arial" w:cs="Arial"/>
          <w:sz w:val="24"/>
          <w:szCs w:val="24"/>
          <w:lang w:val="es-ES"/>
        </w:rPr>
        <w:t xml:space="preserve"> de 2023, rechazó de plano, por improcedentes, </w:t>
      </w:r>
      <w:r w:rsidR="002701CC" w:rsidRPr="00793251">
        <w:rPr>
          <w:rFonts w:ascii="Arial" w:eastAsia="Times New Roman" w:hAnsi="Arial" w:cs="Arial"/>
          <w:sz w:val="24"/>
          <w:szCs w:val="24"/>
          <w:lang w:val="es-ES"/>
        </w:rPr>
        <w:t>las recusaciones y la solicitud de nulidad</w:t>
      </w:r>
      <w:r w:rsidR="00B92913" w:rsidRPr="00793251">
        <w:rPr>
          <w:rFonts w:ascii="Arial" w:eastAsia="Times New Roman" w:hAnsi="Arial" w:cs="Arial"/>
          <w:sz w:val="24"/>
          <w:szCs w:val="24"/>
          <w:lang w:val="es-ES"/>
        </w:rPr>
        <w:t xml:space="preserve"> presentadas </w:t>
      </w:r>
      <w:r w:rsidR="00F208A4" w:rsidRPr="00793251">
        <w:rPr>
          <w:rFonts w:ascii="Arial" w:eastAsia="Times New Roman" w:hAnsi="Arial" w:cs="Arial"/>
          <w:sz w:val="24"/>
          <w:szCs w:val="24"/>
          <w:lang w:val="es-ES"/>
        </w:rPr>
        <w:t>el 21 de marzo de 2023</w:t>
      </w:r>
      <w:r w:rsidR="002701CC" w:rsidRPr="00793251">
        <w:rPr>
          <w:rFonts w:ascii="Arial" w:eastAsia="Times New Roman" w:hAnsi="Arial" w:cs="Arial"/>
          <w:sz w:val="24"/>
          <w:szCs w:val="24"/>
          <w:lang w:val="es-ES"/>
        </w:rPr>
        <w:t>, y orden</w:t>
      </w:r>
      <w:r w:rsidR="00381E95">
        <w:rPr>
          <w:rFonts w:ascii="Arial" w:eastAsia="Times New Roman" w:hAnsi="Arial" w:cs="Arial"/>
          <w:sz w:val="24"/>
          <w:szCs w:val="24"/>
          <w:lang w:val="es-ES"/>
        </w:rPr>
        <w:t>ó</w:t>
      </w:r>
      <w:r w:rsidR="002701CC" w:rsidRPr="00793251">
        <w:rPr>
          <w:rFonts w:ascii="Arial" w:eastAsia="Times New Roman" w:hAnsi="Arial" w:cs="Arial"/>
          <w:sz w:val="24"/>
          <w:szCs w:val="24"/>
          <w:lang w:val="es-ES"/>
        </w:rPr>
        <w:t xml:space="preserve"> enviar copia del proceso a la Comisión Seccional de Disciplina Judicial de Sucre</w:t>
      </w:r>
      <w:r w:rsidR="00FE66C2" w:rsidRPr="00793251">
        <w:rPr>
          <w:rFonts w:ascii="Arial" w:eastAsia="Times New Roman" w:hAnsi="Arial" w:cs="Arial"/>
          <w:sz w:val="24"/>
          <w:szCs w:val="24"/>
          <w:lang w:val="es-ES"/>
        </w:rPr>
        <w:t xml:space="preserve"> para investigar las conductas</w:t>
      </w:r>
      <w:r w:rsidR="000368A0" w:rsidRPr="00793251">
        <w:rPr>
          <w:rFonts w:ascii="Arial" w:eastAsia="Times New Roman" w:hAnsi="Arial" w:cs="Arial"/>
          <w:sz w:val="24"/>
          <w:szCs w:val="24"/>
          <w:lang w:val="es-ES"/>
        </w:rPr>
        <w:t xml:space="preserve"> de la defensa del demandado</w:t>
      </w:r>
      <w:r w:rsidR="00FE66C2" w:rsidRPr="00793251">
        <w:rPr>
          <w:rFonts w:ascii="Arial" w:eastAsia="Times New Roman" w:hAnsi="Arial" w:cs="Arial"/>
          <w:sz w:val="24"/>
          <w:szCs w:val="24"/>
          <w:lang w:val="es-ES"/>
        </w:rPr>
        <w:t xml:space="preserve"> contra la recta y leal realización de la justicia. </w:t>
      </w:r>
      <w:r w:rsidR="001E4867" w:rsidRPr="00793251">
        <w:rPr>
          <w:rFonts w:ascii="Arial" w:eastAsia="Times New Roman" w:hAnsi="Arial" w:cs="Arial"/>
          <w:sz w:val="24"/>
          <w:szCs w:val="24"/>
          <w:lang w:val="es-ES"/>
        </w:rPr>
        <w:t>Seguidamente, la apoderada de este último, el 19 de abril de 2023, presentó recurso de reposición y en subsidio súplica contra la anterior decisión, así</w:t>
      </w:r>
      <w:r w:rsidR="00381E95">
        <w:rPr>
          <w:rFonts w:ascii="Arial" w:eastAsia="Times New Roman" w:hAnsi="Arial" w:cs="Arial"/>
          <w:sz w:val="24"/>
          <w:szCs w:val="24"/>
          <w:lang w:val="es-ES"/>
        </w:rPr>
        <w:t xml:space="preserve"> como</w:t>
      </w:r>
      <w:r w:rsidR="001E4867" w:rsidRPr="00793251">
        <w:rPr>
          <w:rFonts w:ascii="Arial" w:eastAsia="Times New Roman" w:hAnsi="Arial" w:cs="Arial"/>
          <w:sz w:val="24"/>
          <w:szCs w:val="24"/>
          <w:lang w:val="es-ES"/>
        </w:rPr>
        <w:t xml:space="preserve"> incidente de recusación contra la totalidad de los magistrados integrantes de la Subsección B de la Sección Segunda, para conocer del trámite de los respectivos recursos interpuestos. Posteriormente la misma apoderada, el 23 de marzo siguiente, presentó nuevamente incidente de nulidad.</w:t>
      </w:r>
      <w:r w:rsidR="0062045A">
        <w:rPr>
          <w:rFonts w:ascii="Arial" w:eastAsia="Times New Roman" w:hAnsi="Arial" w:cs="Arial"/>
          <w:sz w:val="24"/>
          <w:szCs w:val="24"/>
          <w:lang w:val="es-ES"/>
        </w:rPr>
        <w:t xml:space="preserve"> </w:t>
      </w:r>
    </w:p>
    <w:p w14:paraId="318D86B9" w14:textId="77777777" w:rsidR="0046703E" w:rsidRPr="00793251" w:rsidRDefault="0046703E" w:rsidP="00793251">
      <w:pPr>
        <w:spacing w:after="0" w:line="240" w:lineRule="auto"/>
        <w:jc w:val="both"/>
        <w:rPr>
          <w:rFonts w:ascii="Arial" w:eastAsia="Times New Roman" w:hAnsi="Arial" w:cs="Arial"/>
          <w:sz w:val="24"/>
          <w:szCs w:val="24"/>
          <w:lang w:val="es-ES"/>
        </w:rPr>
      </w:pPr>
    </w:p>
    <w:p w14:paraId="2982B345" w14:textId="468DE27F" w:rsidR="00793251" w:rsidRDefault="0046703E" w:rsidP="00793251">
      <w:pPr>
        <w:spacing w:after="0" w:line="240" w:lineRule="auto"/>
        <w:jc w:val="both"/>
        <w:rPr>
          <w:rFonts w:ascii="Arial" w:eastAsia="Times New Roman" w:hAnsi="Arial" w:cs="Arial"/>
          <w:sz w:val="24"/>
          <w:szCs w:val="24"/>
          <w:lang w:val="es-ES"/>
        </w:rPr>
      </w:pPr>
      <w:r w:rsidRPr="00793251">
        <w:rPr>
          <w:rFonts w:ascii="Arial" w:eastAsia="Times New Roman" w:hAnsi="Arial" w:cs="Arial"/>
          <w:sz w:val="24"/>
          <w:szCs w:val="24"/>
          <w:lang w:val="es-ES"/>
        </w:rPr>
        <w:t xml:space="preserve">1.5.11. El expediente </w:t>
      </w:r>
      <w:r w:rsidR="00405866" w:rsidRPr="00793251">
        <w:rPr>
          <w:rFonts w:ascii="Arial" w:eastAsia="Times New Roman" w:hAnsi="Arial" w:cs="Arial"/>
          <w:sz w:val="24"/>
          <w:szCs w:val="24"/>
          <w:lang w:val="es-ES"/>
        </w:rPr>
        <w:t>reingresó</w:t>
      </w:r>
      <w:r w:rsidRPr="00793251">
        <w:rPr>
          <w:rFonts w:ascii="Arial" w:eastAsia="Times New Roman" w:hAnsi="Arial" w:cs="Arial"/>
          <w:sz w:val="24"/>
          <w:szCs w:val="24"/>
          <w:lang w:val="es-ES"/>
        </w:rPr>
        <w:t xml:space="preserve"> al Despacho del suscrito magistrado el 26 de abril del año en curso</w:t>
      </w:r>
      <w:r w:rsidR="00513EE5" w:rsidRPr="00793251">
        <w:rPr>
          <w:rStyle w:val="Refdenotaalpie"/>
          <w:rFonts w:ascii="Arial" w:eastAsia="Times New Roman" w:hAnsi="Arial" w:cs="Arial"/>
          <w:sz w:val="24"/>
          <w:szCs w:val="24"/>
          <w:lang w:val="es-ES"/>
        </w:rPr>
        <w:footnoteReference w:id="51"/>
      </w:r>
      <w:r w:rsidRPr="00793251">
        <w:rPr>
          <w:rFonts w:ascii="Arial" w:eastAsia="Times New Roman" w:hAnsi="Arial" w:cs="Arial"/>
          <w:sz w:val="24"/>
          <w:szCs w:val="24"/>
          <w:lang w:val="es-ES"/>
        </w:rPr>
        <w:t>, para dictar sentencia de primera instancia.</w:t>
      </w:r>
      <w:r w:rsidR="00864BE4">
        <w:rPr>
          <w:rFonts w:ascii="Arial" w:eastAsia="Times New Roman" w:hAnsi="Arial" w:cs="Arial"/>
          <w:sz w:val="24"/>
          <w:szCs w:val="24"/>
          <w:lang w:val="es-ES"/>
        </w:rPr>
        <w:t xml:space="preserve"> </w:t>
      </w:r>
    </w:p>
    <w:p w14:paraId="4C36FA54" w14:textId="7988F9B2" w:rsidR="000E71D2" w:rsidRDefault="000E71D2" w:rsidP="00793251">
      <w:pPr>
        <w:spacing w:after="0" w:line="240" w:lineRule="auto"/>
        <w:jc w:val="both"/>
        <w:rPr>
          <w:rFonts w:ascii="Arial" w:eastAsia="Times New Roman" w:hAnsi="Arial" w:cs="Arial"/>
          <w:sz w:val="24"/>
          <w:szCs w:val="24"/>
          <w:lang w:val="es-ES"/>
        </w:rPr>
      </w:pPr>
    </w:p>
    <w:p w14:paraId="16E00FAA" w14:textId="2CC59E49" w:rsidR="000E71D2" w:rsidRDefault="000E71D2" w:rsidP="00793251">
      <w:pPr>
        <w:spacing w:after="0" w:line="240" w:lineRule="auto"/>
        <w:jc w:val="both"/>
        <w:rPr>
          <w:rFonts w:ascii="Arial" w:eastAsia="Times New Roman" w:hAnsi="Arial" w:cs="Arial"/>
          <w:sz w:val="24"/>
          <w:szCs w:val="24"/>
          <w:lang w:val="es-ES"/>
        </w:rPr>
      </w:pPr>
    </w:p>
    <w:p w14:paraId="345632D5" w14:textId="69E8E6D3" w:rsidR="000E71D2" w:rsidRDefault="000E71D2" w:rsidP="00793251">
      <w:pPr>
        <w:spacing w:after="0" w:line="240" w:lineRule="auto"/>
        <w:jc w:val="both"/>
        <w:rPr>
          <w:rFonts w:ascii="Arial" w:eastAsia="Times New Roman" w:hAnsi="Arial" w:cs="Arial"/>
          <w:sz w:val="24"/>
          <w:szCs w:val="24"/>
          <w:lang w:val="es-ES"/>
        </w:rPr>
      </w:pPr>
    </w:p>
    <w:p w14:paraId="26EC1780" w14:textId="4A4E6417" w:rsidR="000E71D2" w:rsidRDefault="000E71D2" w:rsidP="00793251">
      <w:pPr>
        <w:spacing w:after="0" w:line="240" w:lineRule="auto"/>
        <w:jc w:val="both"/>
        <w:rPr>
          <w:rFonts w:ascii="Arial" w:eastAsia="Times New Roman" w:hAnsi="Arial" w:cs="Arial"/>
          <w:sz w:val="24"/>
          <w:szCs w:val="24"/>
          <w:lang w:val="es-ES"/>
        </w:rPr>
      </w:pPr>
    </w:p>
    <w:p w14:paraId="3C6290FC" w14:textId="77777777" w:rsidR="000E71D2" w:rsidRPr="00793251" w:rsidRDefault="000E71D2" w:rsidP="00793251">
      <w:pPr>
        <w:spacing w:after="0" w:line="240" w:lineRule="auto"/>
        <w:jc w:val="both"/>
        <w:rPr>
          <w:rFonts w:ascii="Arial" w:eastAsia="Times New Roman" w:hAnsi="Arial" w:cs="Arial"/>
          <w:sz w:val="24"/>
          <w:szCs w:val="24"/>
          <w:lang w:val="es-ES"/>
        </w:rPr>
      </w:pPr>
    </w:p>
    <w:p w14:paraId="20B0EF0F" w14:textId="77777777" w:rsidR="00793251" w:rsidRPr="00793251" w:rsidRDefault="00793251" w:rsidP="00793251">
      <w:pPr>
        <w:pStyle w:val="Ttulo1"/>
        <w:numPr>
          <w:ilvl w:val="0"/>
          <w:numId w:val="0"/>
        </w:numPr>
        <w:ind w:left="720"/>
        <w:rPr>
          <w:rFonts w:cs="Arial"/>
          <w:lang w:val="es-ES_tradnl"/>
        </w:rPr>
      </w:pPr>
      <w:r w:rsidRPr="00793251">
        <w:rPr>
          <w:rFonts w:cs="Arial"/>
          <w:lang w:val="es-ES_tradnl"/>
        </w:rPr>
        <w:t>II. CONSIDERACIONES</w:t>
      </w:r>
    </w:p>
    <w:p w14:paraId="3ECFC8D9" w14:textId="6D34D61C" w:rsidR="00793251" w:rsidRPr="00793251" w:rsidRDefault="00793251" w:rsidP="00CC4ECE">
      <w:pPr>
        <w:tabs>
          <w:tab w:val="left" w:pos="426"/>
        </w:tabs>
        <w:spacing w:line="240" w:lineRule="auto"/>
        <w:contextualSpacing/>
        <w:jc w:val="both"/>
        <w:rPr>
          <w:rFonts w:ascii="Arial" w:hAnsi="Arial" w:cs="Arial"/>
          <w:b/>
          <w:color w:val="000000"/>
          <w:sz w:val="24"/>
          <w:szCs w:val="24"/>
          <w:lang w:val="es-ES_tradnl"/>
        </w:rPr>
      </w:pPr>
      <w:r w:rsidRPr="00793251">
        <w:rPr>
          <w:rFonts w:ascii="Arial" w:hAnsi="Arial" w:cs="Arial"/>
          <w:b/>
          <w:color w:val="000000"/>
          <w:sz w:val="24"/>
          <w:szCs w:val="24"/>
          <w:lang w:val="es-ES_tradnl"/>
        </w:rPr>
        <w:t>2.1. Competencia</w:t>
      </w:r>
    </w:p>
    <w:p w14:paraId="445901BA" w14:textId="77777777" w:rsidR="00793251" w:rsidRPr="00793251" w:rsidRDefault="00793251" w:rsidP="00CC4ECE">
      <w:pPr>
        <w:spacing w:line="240" w:lineRule="auto"/>
        <w:contextualSpacing/>
        <w:jc w:val="both"/>
        <w:rPr>
          <w:rFonts w:ascii="Arial" w:hAnsi="Arial" w:cs="Arial"/>
          <w:b/>
          <w:sz w:val="24"/>
          <w:szCs w:val="24"/>
          <w:lang w:val="es-ES_tradnl"/>
        </w:rPr>
      </w:pPr>
    </w:p>
    <w:p w14:paraId="25A40EB2" w14:textId="3B44E9BC" w:rsidR="00793251" w:rsidRDefault="00793251"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r w:rsidRPr="00793251">
        <w:rPr>
          <w:rFonts w:ascii="Arial" w:eastAsia="Times New Roman" w:hAnsi="Arial" w:cs="Arial"/>
          <w:color w:val="000000"/>
          <w:sz w:val="24"/>
          <w:szCs w:val="24"/>
          <w:lang w:val="es-ES_tradnl" w:eastAsia="es-ES"/>
        </w:rPr>
        <w:t xml:space="preserve">La Sala es competente para conocer del amparo constitucional deprecado por la parte actora, </w:t>
      </w:r>
      <w:r w:rsidR="005B5DAF">
        <w:rPr>
          <w:rFonts w:ascii="Arial" w:eastAsia="Times New Roman" w:hAnsi="Arial" w:cs="Arial"/>
          <w:color w:val="000000"/>
          <w:sz w:val="24"/>
          <w:szCs w:val="24"/>
          <w:lang w:val="es-ES_tradnl" w:eastAsia="es-ES"/>
        </w:rPr>
        <w:t xml:space="preserve">de conformidad a </w:t>
      </w:r>
      <w:r w:rsidRPr="00793251">
        <w:rPr>
          <w:rFonts w:ascii="Arial" w:eastAsia="Times New Roman" w:hAnsi="Arial" w:cs="Arial"/>
          <w:color w:val="000000"/>
          <w:sz w:val="24"/>
          <w:szCs w:val="24"/>
          <w:lang w:val="es-ES_tradnl" w:eastAsia="es-ES"/>
        </w:rPr>
        <w:t>lo dispuesto en los artículos 86 de la Constitución Política y 37 del Decreto 2591 de 1991.</w:t>
      </w:r>
      <w:r w:rsidR="00CC4ECE">
        <w:rPr>
          <w:rFonts w:ascii="Arial" w:eastAsia="Times New Roman" w:hAnsi="Arial" w:cs="Arial"/>
          <w:color w:val="000000"/>
          <w:sz w:val="24"/>
          <w:szCs w:val="24"/>
          <w:lang w:val="es-ES_tradnl" w:eastAsia="es-ES"/>
        </w:rPr>
        <w:t xml:space="preserve"> </w:t>
      </w:r>
    </w:p>
    <w:p w14:paraId="55F20302" w14:textId="77777777" w:rsidR="00864BE4" w:rsidRDefault="00864BE4"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p>
    <w:p w14:paraId="493E3906" w14:textId="4C1BD247" w:rsidR="00864BE4" w:rsidRDefault="00864BE4"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r w:rsidRPr="00864BE4">
        <w:rPr>
          <w:rFonts w:ascii="Arial" w:eastAsia="Times New Roman" w:hAnsi="Arial" w:cs="Arial"/>
          <w:b/>
          <w:bCs/>
          <w:color w:val="000000"/>
          <w:sz w:val="24"/>
          <w:szCs w:val="24"/>
          <w:lang w:val="es-ES_tradnl" w:eastAsia="es-ES"/>
        </w:rPr>
        <w:t xml:space="preserve">2.2. Legitimación en la causa </w:t>
      </w:r>
    </w:p>
    <w:p w14:paraId="311936BB" w14:textId="77777777" w:rsidR="00864BE4" w:rsidRDefault="00864BE4"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p>
    <w:p w14:paraId="7DD26615" w14:textId="1A43A662" w:rsidR="00864BE4" w:rsidRPr="005B5EE5" w:rsidRDefault="00864BE4"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En el presente asunto está superada la </w:t>
      </w:r>
      <w:r>
        <w:rPr>
          <w:rFonts w:ascii="Arial" w:eastAsia="Times New Roman" w:hAnsi="Arial" w:cs="Arial"/>
          <w:b/>
          <w:bCs/>
          <w:color w:val="000000"/>
          <w:sz w:val="24"/>
          <w:szCs w:val="24"/>
          <w:lang w:val="es-ES_tradnl" w:eastAsia="es-ES"/>
        </w:rPr>
        <w:t>legitimación en la causa por activa</w:t>
      </w:r>
      <w:r>
        <w:rPr>
          <w:rFonts w:ascii="Arial" w:eastAsia="Times New Roman" w:hAnsi="Arial" w:cs="Arial"/>
          <w:color w:val="000000"/>
          <w:sz w:val="24"/>
          <w:szCs w:val="24"/>
          <w:lang w:val="es-ES_tradnl" w:eastAsia="es-ES"/>
        </w:rPr>
        <w:t xml:space="preserve">, en la medida en que Elkin Enrique Díaz Camacho fue demandante en el proceso de nulidad electoral en </w:t>
      </w:r>
      <w:r w:rsidRPr="005B5EE5">
        <w:rPr>
          <w:rFonts w:ascii="Arial" w:eastAsia="Times New Roman" w:hAnsi="Arial" w:cs="Arial"/>
          <w:color w:val="000000"/>
          <w:sz w:val="24"/>
          <w:szCs w:val="24"/>
          <w:lang w:val="es-ES_tradnl" w:eastAsia="es-ES"/>
        </w:rPr>
        <w:t>cuyo curso, y de manera sobreviniente a la providencia que se dictó el 23 de junio de 2022, se profirieron los autos fechados 1 de diciembre de 2022</w:t>
      </w:r>
      <w:r w:rsidR="00381E95">
        <w:rPr>
          <w:rFonts w:ascii="Arial" w:eastAsia="Times New Roman" w:hAnsi="Arial" w:cs="Arial"/>
          <w:color w:val="000000"/>
          <w:sz w:val="24"/>
          <w:szCs w:val="24"/>
          <w:lang w:val="es-ES_tradnl" w:eastAsia="es-ES"/>
        </w:rPr>
        <w:t xml:space="preserve"> </w:t>
      </w:r>
      <w:r w:rsidRPr="005B5EE5">
        <w:rPr>
          <w:rFonts w:ascii="Arial" w:eastAsia="Times New Roman" w:hAnsi="Arial" w:cs="Arial"/>
          <w:color w:val="000000"/>
          <w:sz w:val="24"/>
          <w:szCs w:val="24"/>
          <w:lang w:val="es-ES_tradnl" w:eastAsia="es-ES"/>
        </w:rPr>
        <w:t>y 9 de febrero de 2023, que consideró vulneran sus derechos fundamentales. Así las cosas, el actor es titular de la garantía constitucional al debido proceso</w:t>
      </w:r>
      <w:r w:rsidR="005B5EE5" w:rsidRPr="005B5EE5">
        <w:rPr>
          <w:rFonts w:ascii="Arial" w:eastAsia="Times New Roman" w:hAnsi="Arial" w:cs="Arial"/>
          <w:color w:val="000000"/>
          <w:sz w:val="24"/>
          <w:szCs w:val="24"/>
          <w:lang w:val="es-ES_tradnl" w:eastAsia="es-ES"/>
        </w:rPr>
        <w:t xml:space="preserve">. </w:t>
      </w:r>
    </w:p>
    <w:p w14:paraId="7A30CBBD" w14:textId="77777777" w:rsidR="005B5EE5" w:rsidRPr="005B5EE5" w:rsidRDefault="005B5EE5"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p>
    <w:p w14:paraId="765B6A49" w14:textId="77777777" w:rsidR="005B5EE5" w:rsidRDefault="005B5EE5" w:rsidP="00CC4ECE">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r w:rsidRPr="005B5EE5">
        <w:rPr>
          <w:rFonts w:ascii="Arial" w:eastAsia="Times New Roman" w:hAnsi="Arial" w:cs="Arial"/>
          <w:color w:val="000000"/>
          <w:sz w:val="24"/>
          <w:szCs w:val="24"/>
          <w:lang w:val="es-ES_tradnl" w:eastAsia="es-ES"/>
        </w:rPr>
        <w:t xml:space="preserve">En tal sentido, si bien en la presente solicitud de amparo demanda la protección de otras garantías </w:t>
      </w:r>
      <w:r w:rsidRPr="005B5EE5">
        <w:rPr>
          <w:rFonts w:ascii="Arial" w:eastAsia="Times New Roman" w:hAnsi="Arial" w:cs="Arial"/>
          <w:i/>
          <w:iCs/>
          <w:color w:val="000000"/>
          <w:sz w:val="24"/>
          <w:szCs w:val="24"/>
          <w:lang w:val="es-ES_tradnl" w:eastAsia="es-ES"/>
        </w:rPr>
        <w:t xml:space="preserve">iusfundamentales </w:t>
      </w:r>
      <w:r w:rsidRPr="005B5EE5">
        <w:rPr>
          <w:rFonts w:ascii="Arial" w:eastAsia="Times New Roman" w:hAnsi="Arial" w:cs="Arial"/>
          <w:color w:val="000000"/>
          <w:sz w:val="24"/>
          <w:szCs w:val="24"/>
          <w:lang w:val="es-ES_tradnl" w:eastAsia="es-ES"/>
        </w:rPr>
        <w:t>como la tutela judicial efectiva y la confianza legítima, la Corte Constitucional ha sido clara en puntualizar que en las acciones de tutela contra providencias judiciales debe existir un “probado desconocimiento de los derechos fundamentales al debido proceso y de acceso a la administración de justicia</w:t>
      </w:r>
      <w:r w:rsidRPr="005B5EE5">
        <w:rPr>
          <w:rStyle w:val="Refdenotaalpie"/>
          <w:rFonts w:ascii="Arial" w:eastAsia="Times New Roman" w:hAnsi="Arial" w:cs="Arial"/>
          <w:color w:val="000000"/>
          <w:sz w:val="24"/>
          <w:szCs w:val="24"/>
          <w:lang w:val="es-ES_tradnl" w:eastAsia="es-ES"/>
        </w:rPr>
        <w:footnoteReference w:id="52"/>
      </w:r>
      <w:r w:rsidRPr="005B5EE5">
        <w:rPr>
          <w:rFonts w:ascii="Arial" w:eastAsia="Times New Roman" w:hAnsi="Arial" w:cs="Arial"/>
          <w:color w:val="000000"/>
          <w:sz w:val="24"/>
          <w:szCs w:val="24"/>
          <w:lang w:val="es-ES_tradnl" w:eastAsia="es-ES"/>
        </w:rPr>
        <w:t xml:space="preserve">”, siendo estos, en principio, los relevantes para dictar una eventual orden de amparo. </w:t>
      </w:r>
    </w:p>
    <w:p w14:paraId="110B138E" w14:textId="77777777" w:rsidR="005B5EE5" w:rsidRDefault="005B5EE5" w:rsidP="005B5EE5">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p>
    <w:p w14:paraId="3DD82C2F" w14:textId="6FE72B2B" w:rsidR="005B5EE5" w:rsidRDefault="005B5EE5" w:rsidP="005B5EE5">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En la misma línea, está superada la </w:t>
      </w:r>
      <w:r w:rsidRPr="005B5EE5">
        <w:rPr>
          <w:rFonts w:ascii="Arial" w:eastAsia="Times New Roman" w:hAnsi="Arial" w:cs="Arial"/>
          <w:b/>
          <w:bCs/>
          <w:color w:val="000000"/>
          <w:sz w:val="24"/>
          <w:szCs w:val="24"/>
          <w:lang w:val="es-ES_tradnl" w:eastAsia="es-ES"/>
        </w:rPr>
        <w:t>legitimación en la causa por pasiva</w:t>
      </w:r>
      <w:r>
        <w:rPr>
          <w:rFonts w:ascii="Arial" w:eastAsia="Times New Roman" w:hAnsi="Arial" w:cs="Arial"/>
          <w:color w:val="000000"/>
          <w:sz w:val="24"/>
          <w:szCs w:val="24"/>
          <w:lang w:val="es-ES_tradnl" w:eastAsia="es-ES"/>
        </w:rPr>
        <w:t xml:space="preserve">, pues las secciones Primera y Segunda – Subsección B fueron las autoridades que dictaron los autos del 1 de diciembre de 2022 y del 9 de febrero de 2023, que el actor tildó de violatorios de sus derechos fundamentales. </w:t>
      </w:r>
    </w:p>
    <w:p w14:paraId="23BEB0F3" w14:textId="77777777" w:rsidR="003B4CEF" w:rsidRDefault="003B4CEF" w:rsidP="005B5EE5">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p>
    <w:p w14:paraId="722D91CC" w14:textId="127003DD" w:rsidR="003B4CEF" w:rsidRDefault="003B4CEF" w:rsidP="005B5EE5">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En este punto, conviene pronunciarse sobre la solicitud de desvinculación del presente trámite que, por falta de legitimación en la causa por pasiva, presentaron la Sección Quinta, la Comisión Nacional Electoral y la Registraduría Nacional del Estado Civil. </w:t>
      </w:r>
    </w:p>
    <w:p w14:paraId="3216B0D2" w14:textId="77777777" w:rsidR="00314350" w:rsidRDefault="00314350" w:rsidP="005B5EE5">
      <w:pPr>
        <w:overflowPunct w:val="0"/>
        <w:autoSpaceDE w:val="0"/>
        <w:autoSpaceDN w:val="0"/>
        <w:adjustRightInd w:val="0"/>
        <w:spacing w:line="240" w:lineRule="auto"/>
        <w:contextualSpacing/>
        <w:jc w:val="both"/>
        <w:rPr>
          <w:rFonts w:ascii="Arial" w:eastAsia="Times New Roman" w:hAnsi="Arial" w:cs="Arial"/>
          <w:color w:val="000000"/>
          <w:sz w:val="24"/>
          <w:szCs w:val="24"/>
          <w:lang w:val="es-ES_tradnl" w:eastAsia="es-ES"/>
        </w:rPr>
      </w:pPr>
    </w:p>
    <w:p w14:paraId="39E851B3" w14:textId="1C63C546" w:rsidR="00314350" w:rsidRPr="00314350" w:rsidRDefault="00314350" w:rsidP="00314350">
      <w:pPr>
        <w:spacing w:after="0" w:line="240" w:lineRule="auto"/>
        <w:ind w:right="51"/>
        <w:jc w:val="both"/>
        <w:rPr>
          <w:rFonts w:ascii="Arial" w:eastAsia="Times New Roman" w:hAnsi="Arial" w:cs="Arial"/>
          <w:sz w:val="24"/>
          <w:szCs w:val="24"/>
          <w:lang w:val="es-MX" w:eastAsia="es-ES"/>
        </w:rPr>
      </w:pPr>
      <w:r w:rsidRPr="00314350">
        <w:rPr>
          <w:rFonts w:ascii="Arial" w:eastAsia="Times New Roman" w:hAnsi="Arial" w:cs="Arial"/>
          <w:sz w:val="24"/>
          <w:szCs w:val="24"/>
          <w:lang w:val="es-MX" w:eastAsia="es-ES"/>
        </w:rPr>
        <w:t xml:space="preserve">Frente a la diferenciación </w:t>
      </w:r>
      <w:r w:rsidR="00381E95">
        <w:rPr>
          <w:rFonts w:ascii="Arial" w:eastAsia="Times New Roman" w:hAnsi="Arial" w:cs="Arial"/>
          <w:sz w:val="24"/>
          <w:szCs w:val="24"/>
          <w:lang w:val="es-MX" w:eastAsia="es-ES"/>
        </w:rPr>
        <w:t xml:space="preserve">que </w:t>
      </w:r>
      <w:r w:rsidRPr="00314350">
        <w:rPr>
          <w:rFonts w:ascii="Arial" w:eastAsia="Times New Roman" w:hAnsi="Arial" w:cs="Arial"/>
          <w:sz w:val="24"/>
          <w:szCs w:val="24"/>
          <w:lang w:val="es-MX" w:eastAsia="es-ES"/>
        </w:rPr>
        <w:t xml:space="preserve">existe entre la condición de parte y de tercero con interés, la Corte Constitucional ha sido enfática en sostener que: </w:t>
      </w:r>
    </w:p>
    <w:p w14:paraId="209325EF" w14:textId="77777777" w:rsidR="00314350" w:rsidRPr="00314350" w:rsidRDefault="00314350" w:rsidP="00314350">
      <w:pPr>
        <w:spacing w:after="0" w:line="240" w:lineRule="auto"/>
        <w:ind w:right="51"/>
        <w:jc w:val="both"/>
        <w:rPr>
          <w:rFonts w:ascii="Arial" w:eastAsia="Times New Roman" w:hAnsi="Arial" w:cs="Arial"/>
          <w:sz w:val="24"/>
          <w:szCs w:val="24"/>
          <w:lang w:val="es-MX" w:eastAsia="es-ES"/>
        </w:rPr>
      </w:pPr>
    </w:p>
    <w:p w14:paraId="4822F680" w14:textId="77777777" w:rsidR="00314350" w:rsidRPr="00314350" w:rsidRDefault="00314350" w:rsidP="00314350">
      <w:pPr>
        <w:spacing w:after="0" w:line="240" w:lineRule="auto"/>
        <w:ind w:left="708" w:right="51"/>
        <w:jc w:val="both"/>
        <w:rPr>
          <w:rFonts w:ascii="Arial" w:hAnsi="Arial" w:cs="Arial"/>
          <w:iCs/>
          <w:color w:val="000000" w:themeColor="text1"/>
          <w:bdr w:val="none" w:sz="0" w:space="0" w:color="auto" w:frame="1"/>
          <w:lang w:eastAsia="es-ES_tradnl"/>
        </w:rPr>
      </w:pPr>
      <w:r w:rsidRPr="00314350">
        <w:rPr>
          <w:rFonts w:ascii="Arial" w:eastAsia="Times New Roman" w:hAnsi="Arial" w:cs="Arial"/>
          <w:color w:val="000000" w:themeColor="text1"/>
          <w:lang w:val="es-MX" w:eastAsia="es-ES"/>
        </w:rPr>
        <w:t xml:space="preserve">“(…) </w:t>
      </w:r>
      <w:r w:rsidRPr="00314350">
        <w:rPr>
          <w:rFonts w:ascii="Arial" w:hAnsi="Arial" w:cs="Arial"/>
          <w:iCs/>
          <w:color w:val="000000" w:themeColor="text1"/>
          <w:bdr w:val="none" w:sz="0" w:space="0" w:color="auto" w:frame="1"/>
          <w:lang w:eastAsia="es-ES_tradnl"/>
        </w:rPr>
        <w:t>son partes quienes intervienen en el proceso como demandantes o demandados, en procura de que se les satisfaga una pretensión procesal, independientemente de que les asista razón o no; de manera que desde este punto de vista la noción de parte es puramente formal. En sentido material tienen la condición de partes los sujetos de la relación jurídica sustancial objeto de la controversia o motivo del reconocimiento, así no intervengan en el proceso”.</w:t>
      </w:r>
      <w:r w:rsidRPr="00314350">
        <w:rPr>
          <w:rFonts w:ascii="Arial" w:hAnsi="Arial" w:cs="Arial"/>
          <w:iCs/>
          <w:color w:val="000000" w:themeColor="text1"/>
          <w:lang w:eastAsia="es-ES_tradnl"/>
        </w:rPr>
        <w:t> </w:t>
      </w:r>
      <w:r w:rsidRPr="00314350">
        <w:rPr>
          <w:rFonts w:ascii="Arial" w:hAnsi="Arial" w:cs="Arial"/>
          <w:iCs/>
          <w:color w:val="000000" w:themeColor="text1"/>
          <w:bdr w:val="none" w:sz="0" w:space="0" w:color="auto" w:frame="1"/>
          <w:lang w:eastAsia="es-ES_tradnl"/>
        </w:rPr>
        <w:t>Por el contrario, de los terceros se dijo que son aquellos que “no tienen la condición de partes. Sin embargo, puede ocurrir que dichos terceros se encuentren vinculados a la situación jurídica de una de las partes o a la pretensión que se discute, al punto de que a la postre puedan resultar afectados por el fallo que se pronuncie. (…) En este evento, el interés del cual son titulares los legitima para participar en el proceso, con el fin de que se les asegure la protección de sus derechos”</w:t>
      </w:r>
      <w:r w:rsidRPr="00314350">
        <w:rPr>
          <w:rFonts w:ascii="Arial" w:hAnsi="Arial" w:cs="Arial"/>
          <w:iCs/>
          <w:color w:val="000000" w:themeColor="text1"/>
          <w:bdr w:val="none" w:sz="0" w:space="0" w:color="auto" w:frame="1"/>
          <w:vertAlign w:val="superscript"/>
          <w:lang w:eastAsia="es-ES_tradnl"/>
        </w:rPr>
        <w:footnoteReference w:id="53"/>
      </w:r>
      <w:r w:rsidRPr="00314350">
        <w:rPr>
          <w:rFonts w:ascii="Arial" w:hAnsi="Arial" w:cs="Arial"/>
          <w:iCs/>
          <w:color w:val="000000" w:themeColor="text1"/>
          <w:bdr w:val="none" w:sz="0" w:space="0" w:color="auto" w:frame="1"/>
          <w:lang w:eastAsia="es-ES_tradnl"/>
        </w:rPr>
        <w:t>.</w:t>
      </w:r>
    </w:p>
    <w:p w14:paraId="00575A94" w14:textId="77777777" w:rsidR="00314350" w:rsidRPr="00314350" w:rsidRDefault="00314350" w:rsidP="00314350">
      <w:pPr>
        <w:spacing w:after="0" w:line="240" w:lineRule="auto"/>
        <w:ind w:left="708" w:right="51"/>
        <w:jc w:val="both"/>
        <w:rPr>
          <w:rFonts w:ascii="Arial" w:hAnsi="Arial" w:cs="Arial"/>
          <w:iCs/>
          <w:color w:val="2D2D2D"/>
          <w:bdr w:val="none" w:sz="0" w:space="0" w:color="auto" w:frame="1"/>
          <w:lang w:eastAsia="es-ES_tradnl"/>
        </w:rPr>
      </w:pPr>
    </w:p>
    <w:p w14:paraId="323A9D95" w14:textId="77777777" w:rsidR="00314350" w:rsidRDefault="00314350" w:rsidP="00314350">
      <w:pPr>
        <w:spacing w:after="0" w:line="240" w:lineRule="auto"/>
        <w:ind w:right="51"/>
        <w:jc w:val="both"/>
        <w:rPr>
          <w:rFonts w:ascii="Arial" w:hAnsi="Arial" w:cs="Arial"/>
          <w:color w:val="000000"/>
          <w:sz w:val="24"/>
          <w:szCs w:val="24"/>
          <w:shd w:val="clear" w:color="auto" w:fill="FFFFFF"/>
          <w:lang w:val="es-ES_tradnl" w:eastAsia="es-ES_tradnl"/>
        </w:rPr>
      </w:pPr>
      <w:r w:rsidRPr="00314350">
        <w:rPr>
          <w:rFonts w:ascii="Arial" w:hAnsi="Arial" w:cs="Arial"/>
          <w:iCs/>
          <w:color w:val="2D2D2D"/>
          <w:sz w:val="24"/>
          <w:szCs w:val="24"/>
          <w:bdr w:val="none" w:sz="0" w:space="0" w:color="auto" w:frame="1"/>
          <w:lang w:eastAsia="es-ES_tradnl"/>
        </w:rPr>
        <w:t xml:space="preserve">En línea con lo expuesto, el máximo tribunal de la jurisdicción constitucional ha desarrollado el requisito de </w:t>
      </w:r>
      <w:r w:rsidRPr="00314350">
        <w:rPr>
          <w:rFonts w:ascii="Arial" w:hAnsi="Arial" w:cs="Arial"/>
          <w:b/>
          <w:iCs/>
          <w:color w:val="2D2D2D"/>
          <w:sz w:val="24"/>
          <w:szCs w:val="24"/>
          <w:bdr w:val="none" w:sz="0" w:space="0" w:color="auto" w:frame="1"/>
          <w:lang w:eastAsia="es-ES_tradnl"/>
        </w:rPr>
        <w:t>legitimación en la causa por pasiva</w:t>
      </w:r>
      <w:r w:rsidRPr="00314350">
        <w:rPr>
          <w:rFonts w:ascii="Arial" w:hAnsi="Arial" w:cs="Arial"/>
          <w:iCs/>
          <w:color w:val="2D2D2D"/>
          <w:sz w:val="24"/>
          <w:szCs w:val="24"/>
          <w:bdr w:val="none" w:sz="0" w:space="0" w:color="auto" w:frame="1"/>
          <w:lang w:eastAsia="es-ES_tradnl"/>
        </w:rPr>
        <w:t xml:space="preserve"> al considerar que este “</w:t>
      </w:r>
      <w:r w:rsidRPr="00314350">
        <w:rPr>
          <w:rFonts w:ascii="Arial" w:hAnsi="Arial" w:cs="Arial"/>
          <w:iCs/>
          <w:color w:val="000000"/>
          <w:sz w:val="24"/>
          <w:szCs w:val="24"/>
          <w:shd w:val="clear" w:color="auto" w:fill="FFFFFF"/>
          <w:lang w:val="es-ES_tradnl" w:eastAsia="es-ES_tradnl"/>
        </w:rPr>
        <w:t>hace referencia a la aptitud legal de la entidad contra quien se dirige la acción, de ser la llamada a responder por la vulneración o amenaza del derecho fundamental, en caso de que la transgresión del derecho alegado resulte demostrada. </w:t>
      </w:r>
      <w:r w:rsidRPr="00314350">
        <w:rPr>
          <w:rFonts w:ascii="Arial" w:hAnsi="Arial" w:cs="Arial"/>
          <w:color w:val="000000"/>
          <w:sz w:val="24"/>
          <w:szCs w:val="24"/>
          <w:shd w:val="clear" w:color="auto" w:fill="FFFFFF"/>
          <w:lang w:val="es-ES_tradnl" w:eastAsia="es-ES_tradnl"/>
        </w:rPr>
        <w:t>Por tanto, la autoridad accionada no estará legitimada en la causa por pasiva cuando no le sea atribuible la amenaza o la vulneración de derechos fundamentales alegada por el accionante”</w:t>
      </w:r>
      <w:r w:rsidRPr="00314350">
        <w:rPr>
          <w:rFonts w:ascii="Arial" w:hAnsi="Arial" w:cs="Arial"/>
          <w:color w:val="000000"/>
          <w:sz w:val="24"/>
          <w:szCs w:val="24"/>
          <w:shd w:val="clear" w:color="auto" w:fill="FFFFFF"/>
          <w:vertAlign w:val="superscript"/>
          <w:lang w:val="es-ES_tradnl" w:eastAsia="es-ES_tradnl"/>
        </w:rPr>
        <w:footnoteReference w:id="54"/>
      </w:r>
      <w:r w:rsidRPr="00314350">
        <w:rPr>
          <w:rFonts w:ascii="Arial" w:hAnsi="Arial" w:cs="Arial"/>
          <w:color w:val="000000"/>
          <w:sz w:val="24"/>
          <w:szCs w:val="24"/>
          <w:shd w:val="clear" w:color="auto" w:fill="FFFFFF"/>
          <w:lang w:val="es-ES_tradnl" w:eastAsia="es-ES_tradnl"/>
        </w:rPr>
        <w:t xml:space="preserve">. </w:t>
      </w:r>
    </w:p>
    <w:p w14:paraId="470FA773" w14:textId="77777777" w:rsidR="00314350" w:rsidRDefault="00314350" w:rsidP="00314350">
      <w:pPr>
        <w:spacing w:after="0" w:line="240" w:lineRule="auto"/>
        <w:ind w:right="51"/>
        <w:jc w:val="both"/>
        <w:rPr>
          <w:rFonts w:ascii="Arial" w:hAnsi="Arial" w:cs="Arial"/>
          <w:color w:val="000000"/>
          <w:sz w:val="24"/>
          <w:szCs w:val="24"/>
          <w:shd w:val="clear" w:color="auto" w:fill="FFFFFF"/>
          <w:lang w:val="es-ES_tradnl" w:eastAsia="es-ES_tradnl"/>
        </w:rPr>
      </w:pPr>
    </w:p>
    <w:p w14:paraId="5703F7D7" w14:textId="77777777" w:rsidR="007718E7" w:rsidRDefault="00314350" w:rsidP="00314350">
      <w:pPr>
        <w:spacing w:after="0" w:line="240" w:lineRule="auto"/>
        <w:ind w:right="51"/>
        <w:jc w:val="both"/>
        <w:rPr>
          <w:rFonts w:ascii="Arial" w:hAnsi="Arial" w:cs="Arial"/>
          <w:color w:val="000000"/>
          <w:sz w:val="24"/>
          <w:szCs w:val="24"/>
          <w:shd w:val="clear" w:color="auto" w:fill="FFFFFF"/>
          <w:lang w:val="es-ES_tradnl" w:eastAsia="es-ES_tradnl"/>
        </w:rPr>
      </w:pPr>
      <w:r>
        <w:rPr>
          <w:rFonts w:ascii="Arial" w:hAnsi="Arial" w:cs="Arial"/>
          <w:color w:val="000000"/>
          <w:sz w:val="24"/>
          <w:szCs w:val="24"/>
          <w:shd w:val="clear" w:color="auto" w:fill="FFFFFF"/>
          <w:lang w:val="es-ES_tradnl" w:eastAsia="es-ES_tradnl"/>
        </w:rPr>
        <w:t xml:space="preserve">Visto lo anterior, esta Sala reconoce que, como la Sección Quinta, la Comisión Nacional Electoral y la Registraduría Nacional del Estado Civil no son accionadas en la presente causa constitucional, frente a esas no es predicable el requisito de legitimación en la causa por pasiva. </w:t>
      </w:r>
    </w:p>
    <w:p w14:paraId="3586AAED" w14:textId="77777777" w:rsidR="007718E7" w:rsidRDefault="007718E7" w:rsidP="00314350">
      <w:pPr>
        <w:spacing w:after="0" w:line="240" w:lineRule="auto"/>
        <w:ind w:right="51"/>
        <w:jc w:val="both"/>
        <w:rPr>
          <w:rFonts w:ascii="Arial" w:hAnsi="Arial" w:cs="Arial"/>
          <w:color w:val="000000"/>
          <w:sz w:val="24"/>
          <w:szCs w:val="24"/>
          <w:shd w:val="clear" w:color="auto" w:fill="FFFFFF"/>
          <w:lang w:val="es-ES_tradnl" w:eastAsia="es-ES_tradnl"/>
        </w:rPr>
      </w:pPr>
    </w:p>
    <w:p w14:paraId="30EDA95A" w14:textId="4E47DA18" w:rsidR="00314350" w:rsidRDefault="00314350" w:rsidP="00314350">
      <w:pPr>
        <w:spacing w:after="0" w:line="240" w:lineRule="auto"/>
        <w:ind w:right="51"/>
        <w:jc w:val="both"/>
        <w:rPr>
          <w:rFonts w:ascii="Arial" w:hAnsi="Arial" w:cs="Arial"/>
          <w:color w:val="000000"/>
          <w:sz w:val="24"/>
          <w:szCs w:val="24"/>
          <w:shd w:val="clear" w:color="auto" w:fill="FFFFFF"/>
          <w:lang w:val="es-ES_tradnl" w:eastAsia="es-ES_tradnl"/>
        </w:rPr>
      </w:pPr>
      <w:r>
        <w:rPr>
          <w:rFonts w:ascii="Arial" w:hAnsi="Arial" w:cs="Arial"/>
          <w:color w:val="000000"/>
          <w:sz w:val="24"/>
          <w:szCs w:val="24"/>
          <w:shd w:val="clear" w:color="auto" w:fill="FFFFFF"/>
          <w:lang w:val="es-ES_tradnl" w:eastAsia="es-ES_tradnl"/>
        </w:rPr>
        <w:t xml:space="preserve">En cambio, su vinculación a la causa de la referencia se debe al eventual interés que tendrían en las resultas del proceso electoral -y consecuentemente de este trámite tutelar-, de modo que es imprescindible su participación para el ejercicio de sus derechos a la defensa y a la contradicción. Así las cosas, esta Subsección negará la solicitud de desvinculación que formularon las autoridades citadas, y así lo dispondrá en la parte resolutiva de la presente providencia. </w:t>
      </w:r>
    </w:p>
    <w:p w14:paraId="6D913673" w14:textId="77777777" w:rsidR="00A33583" w:rsidRDefault="00A33583" w:rsidP="00314350">
      <w:pPr>
        <w:spacing w:after="0" w:line="240" w:lineRule="auto"/>
        <w:ind w:right="51"/>
        <w:jc w:val="both"/>
        <w:rPr>
          <w:rFonts w:ascii="Arial" w:hAnsi="Arial" w:cs="Arial"/>
          <w:color w:val="000000"/>
          <w:sz w:val="24"/>
          <w:szCs w:val="24"/>
          <w:shd w:val="clear" w:color="auto" w:fill="FFFFFF"/>
          <w:lang w:val="es-ES_tradnl" w:eastAsia="es-ES_tradnl"/>
        </w:rPr>
      </w:pPr>
    </w:p>
    <w:p w14:paraId="1059A8FD" w14:textId="77777777" w:rsidR="00B208DD" w:rsidRDefault="00A33583" w:rsidP="00D7062C">
      <w:pPr>
        <w:spacing w:after="0" w:line="240" w:lineRule="auto"/>
        <w:ind w:right="51"/>
        <w:jc w:val="both"/>
        <w:rPr>
          <w:rFonts w:ascii="Arial" w:hAnsi="Arial" w:cs="Arial"/>
          <w:b/>
          <w:bCs/>
          <w:color w:val="000000"/>
          <w:sz w:val="24"/>
          <w:szCs w:val="24"/>
          <w:shd w:val="clear" w:color="auto" w:fill="FFFFFF"/>
          <w:lang w:val="es-ES_tradnl" w:eastAsia="es-ES_tradnl"/>
        </w:rPr>
      </w:pPr>
      <w:r w:rsidRPr="00A33583">
        <w:rPr>
          <w:rFonts w:ascii="Arial" w:hAnsi="Arial" w:cs="Arial"/>
          <w:b/>
          <w:bCs/>
          <w:color w:val="000000"/>
          <w:sz w:val="24"/>
          <w:szCs w:val="24"/>
          <w:shd w:val="clear" w:color="auto" w:fill="FFFFFF"/>
          <w:lang w:val="es-ES_tradnl" w:eastAsia="es-ES_tradnl"/>
        </w:rPr>
        <w:t xml:space="preserve">2.3. Procedibilidad de la acción </w:t>
      </w:r>
    </w:p>
    <w:p w14:paraId="7C64DC01" w14:textId="77777777" w:rsidR="00B00891" w:rsidRDefault="00B00891" w:rsidP="00D7062C">
      <w:pPr>
        <w:spacing w:after="0" w:line="240" w:lineRule="auto"/>
        <w:ind w:right="51"/>
        <w:jc w:val="both"/>
        <w:rPr>
          <w:rFonts w:ascii="Arial" w:hAnsi="Arial" w:cs="Arial"/>
          <w:b/>
          <w:bCs/>
          <w:color w:val="000000"/>
          <w:sz w:val="24"/>
          <w:szCs w:val="24"/>
          <w:shd w:val="clear" w:color="auto" w:fill="FFFFFF"/>
          <w:lang w:val="es-ES_tradnl" w:eastAsia="es-ES_tradnl"/>
        </w:rPr>
      </w:pPr>
    </w:p>
    <w:p w14:paraId="1CEB045A" w14:textId="31AC3A72" w:rsidR="00A33583" w:rsidRPr="007718E7" w:rsidRDefault="00A33583" w:rsidP="007718E7">
      <w:pPr>
        <w:spacing w:after="0" w:line="240" w:lineRule="auto"/>
        <w:ind w:right="51"/>
        <w:jc w:val="both"/>
        <w:rPr>
          <w:rFonts w:ascii="Arial" w:hAnsi="Arial" w:cs="Arial"/>
          <w:b/>
          <w:bCs/>
          <w:color w:val="000000"/>
          <w:sz w:val="24"/>
          <w:szCs w:val="24"/>
          <w:shd w:val="clear" w:color="auto" w:fill="FFFFFF"/>
          <w:lang w:val="es-ES_tradnl" w:eastAsia="es-ES_tradnl"/>
        </w:rPr>
      </w:pPr>
      <w:r w:rsidRPr="00A33583">
        <w:rPr>
          <w:rFonts w:ascii="Arial" w:eastAsia="Times New Roman" w:hAnsi="Arial" w:cs="Arial"/>
          <w:sz w:val="24"/>
          <w:szCs w:val="24"/>
          <w:lang w:val="es-ES"/>
        </w:rPr>
        <w:t>La jurisprudencia constitucional ha establecido que, cuando una solicitud de amparo va dirigida en contra de una providencia judicial, el juez de tutela debe, de forma preliminar, analizar los requisitos generales de procedibilidad de la acción. Tales condiciones son</w:t>
      </w:r>
      <w:r w:rsidR="007718E7">
        <w:rPr>
          <w:rFonts w:ascii="Arial" w:eastAsia="Times New Roman" w:hAnsi="Arial" w:cs="Arial"/>
          <w:sz w:val="24"/>
          <w:szCs w:val="24"/>
          <w:lang w:val="es-ES"/>
        </w:rPr>
        <w:t xml:space="preserve">, además de la </w:t>
      </w:r>
      <w:r w:rsidR="007718E7" w:rsidRPr="007718E7">
        <w:rPr>
          <w:rFonts w:ascii="Arial" w:eastAsia="Times New Roman" w:hAnsi="Arial" w:cs="Arial"/>
          <w:i/>
          <w:sz w:val="24"/>
          <w:szCs w:val="24"/>
          <w:lang w:val="es-ES"/>
        </w:rPr>
        <w:t>legitimación en la causa</w:t>
      </w:r>
      <w:r w:rsidRPr="00A33583">
        <w:rPr>
          <w:rFonts w:ascii="Arial" w:eastAsia="Times New Roman" w:hAnsi="Arial" w:cs="Arial"/>
          <w:sz w:val="24"/>
          <w:szCs w:val="24"/>
          <w:lang w:val="es-ES"/>
        </w:rPr>
        <w:t>: (i) que la cuestión sea de relevancia constitucional; (ii) que se hayan agotado todos los medios de defensa judicial al alcance; (iii) que se cumpla el principio de inmediatez; (iv) si se trata de una irregularidad procesal, que la misma sea decisiva en el proceso; (v) que se identifiquen, de manera razonable, los hechos que generaron la vulneración de derechos fundamentales (vi) que no se trate de una tutela contra otra tutela”</w:t>
      </w:r>
      <w:r w:rsidRPr="00A33583">
        <w:rPr>
          <w:rFonts w:ascii="Arial" w:eastAsia="Times New Roman" w:hAnsi="Arial" w:cs="Arial"/>
          <w:sz w:val="24"/>
          <w:szCs w:val="24"/>
          <w:vertAlign w:val="superscript"/>
          <w:lang w:val="es-ES"/>
        </w:rPr>
        <w:footnoteReference w:id="55"/>
      </w:r>
      <w:r w:rsidRPr="00A33583">
        <w:rPr>
          <w:rFonts w:ascii="Arial" w:eastAsia="Times New Roman" w:hAnsi="Arial" w:cs="Arial"/>
          <w:sz w:val="24"/>
          <w:szCs w:val="24"/>
          <w:lang w:val="es-ES"/>
        </w:rPr>
        <w:t>.</w:t>
      </w:r>
      <w:r w:rsidR="007718E7">
        <w:rPr>
          <w:rFonts w:ascii="Arial" w:eastAsia="Times New Roman" w:hAnsi="Arial" w:cs="Arial"/>
          <w:sz w:val="24"/>
          <w:szCs w:val="24"/>
          <w:lang w:val="es-ES"/>
        </w:rPr>
        <w:t xml:space="preserve"> </w:t>
      </w:r>
      <w:r w:rsidRPr="00A33583">
        <w:rPr>
          <w:rFonts w:ascii="Arial" w:eastAsia="Times New Roman" w:hAnsi="Arial" w:cs="Arial"/>
          <w:sz w:val="24"/>
          <w:szCs w:val="24"/>
          <w:lang w:val="es-ES"/>
        </w:rPr>
        <w:t>Así, una vez verificado el cumplimiento de los presupuestos que la determinan, procede definir la problemática que el actor plantea en función de los defectos atribuidos a la actuación acusada y conforme a las causales específicas de procedencia de la acción de tutela contra providencias judiciales</w:t>
      </w:r>
      <w:r w:rsidRPr="00A33583">
        <w:rPr>
          <w:rFonts w:ascii="Arial" w:eastAsia="Times New Roman" w:hAnsi="Arial" w:cs="Arial"/>
          <w:sz w:val="24"/>
          <w:szCs w:val="24"/>
          <w:vertAlign w:val="superscript"/>
          <w:lang w:eastAsia="es-CO"/>
        </w:rPr>
        <w:footnoteReference w:id="56"/>
      </w:r>
      <w:r w:rsidRPr="00A33583">
        <w:rPr>
          <w:rFonts w:ascii="Arial" w:eastAsia="Times New Roman" w:hAnsi="Arial" w:cs="Arial"/>
          <w:sz w:val="24"/>
          <w:szCs w:val="24"/>
          <w:lang w:val="es-ES"/>
        </w:rPr>
        <w:t xml:space="preserve">. </w:t>
      </w:r>
    </w:p>
    <w:p w14:paraId="4EA95DD9" w14:textId="77777777" w:rsidR="00A33583" w:rsidRDefault="00A33583" w:rsidP="00900673">
      <w:pPr>
        <w:spacing w:after="0" w:line="240" w:lineRule="auto"/>
        <w:jc w:val="both"/>
        <w:rPr>
          <w:rFonts w:ascii="Arial" w:eastAsia="Times New Roman" w:hAnsi="Arial" w:cs="Arial"/>
          <w:sz w:val="24"/>
          <w:szCs w:val="24"/>
          <w:lang w:val="es-ES"/>
        </w:rPr>
      </w:pPr>
    </w:p>
    <w:p w14:paraId="6929E145" w14:textId="17CB8642" w:rsidR="00A33583" w:rsidRPr="00246323" w:rsidRDefault="00A33583" w:rsidP="00900673">
      <w:pPr>
        <w:spacing w:after="0" w:line="240" w:lineRule="auto"/>
        <w:jc w:val="both"/>
        <w:rPr>
          <w:rFonts w:ascii="Arial" w:eastAsia="Times New Roman" w:hAnsi="Arial" w:cs="Arial"/>
          <w:sz w:val="24"/>
          <w:szCs w:val="24"/>
          <w:lang w:val="es-ES"/>
        </w:rPr>
      </w:pPr>
      <w:r w:rsidRPr="00246323">
        <w:rPr>
          <w:rFonts w:ascii="Arial" w:eastAsia="Times New Roman" w:hAnsi="Arial" w:cs="Arial"/>
          <w:sz w:val="24"/>
          <w:szCs w:val="24"/>
          <w:lang w:val="es-ES"/>
        </w:rPr>
        <w:t xml:space="preserve">Esta Sala analizará si en el caso </w:t>
      </w:r>
      <w:r w:rsidRPr="00246323">
        <w:rPr>
          <w:rFonts w:ascii="Arial" w:eastAsia="Times New Roman" w:hAnsi="Arial" w:cs="Arial"/>
          <w:i/>
          <w:iCs/>
          <w:sz w:val="24"/>
          <w:szCs w:val="24"/>
          <w:lang w:val="es-ES"/>
        </w:rPr>
        <w:t xml:space="preserve">sub judice </w:t>
      </w:r>
      <w:r w:rsidRPr="00246323">
        <w:rPr>
          <w:rFonts w:ascii="Arial" w:eastAsia="Times New Roman" w:hAnsi="Arial" w:cs="Arial"/>
          <w:sz w:val="24"/>
          <w:szCs w:val="24"/>
          <w:lang w:val="es-ES"/>
        </w:rPr>
        <w:t xml:space="preserve">está superado el requisito de subsidiariedad, para lo que realizará un recuento de su naturaleza, que después aplicará al caso en concreto. </w:t>
      </w:r>
    </w:p>
    <w:p w14:paraId="1BDE6B78" w14:textId="77777777" w:rsidR="00246323" w:rsidRPr="00246323" w:rsidRDefault="00246323" w:rsidP="00900673">
      <w:pPr>
        <w:spacing w:after="0" w:line="240" w:lineRule="auto"/>
        <w:jc w:val="both"/>
        <w:rPr>
          <w:rFonts w:ascii="Arial" w:eastAsia="Times New Roman" w:hAnsi="Arial" w:cs="Arial"/>
          <w:sz w:val="24"/>
          <w:szCs w:val="24"/>
          <w:lang w:val="es-ES"/>
        </w:rPr>
      </w:pPr>
    </w:p>
    <w:p w14:paraId="02B786C0" w14:textId="1DEE7CE3" w:rsidR="00246323" w:rsidRDefault="00BC5653" w:rsidP="00900673">
      <w:pPr>
        <w:keepNext/>
        <w:spacing w:after="240" w:line="240" w:lineRule="auto"/>
        <w:jc w:val="both"/>
        <w:textAlignment w:val="baseline"/>
        <w:rPr>
          <w:rFonts w:ascii="Arial" w:hAnsi="Arial" w:cs="Arial"/>
          <w:sz w:val="24"/>
          <w:szCs w:val="24"/>
          <w:shd w:val="clear" w:color="auto" w:fill="FFFFFF"/>
        </w:rPr>
      </w:pPr>
      <w:r>
        <w:rPr>
          <w:rFonts w:ascii="Arial" w:hAnsi="Arial" w:cs="Arial"/>
          <w:sz w:val="24"/>
          <w:szCs w:val="24"/>
        </w:rPr>
        <w:t xml:space="preserve">2.4. </w:t>
      </w:r>
      <w:r w:rsidR="00246323">
        <w:rPr>
          <w:rFonts w:ascii="Arial" w:hAnsi="Arial" w:cs="Arial"/>
          <w:sz w:val="24"/>
          <w:szCs w:val="24"/>
        </w:rPr>
        <w:t>E</w:t>
      </w:r>
      <w:r w:rsidR="00246323" w:rsidRPr="00246323">
        <w:rPr>
          <w:rFonts w:ascii="Arial" w:hAnsi="Arial" w:cs="Arial"/>
          <w:sz w:val="24"/>
          <w:szCs w:val="24"/>
        </w:rPr>
        <w:t xml:space="preserve">l presupuesto de </w:t>
      </w:r>
      <w:r w:rsidR="00246323" w:rsidRPr="00246323">
        <w:rPr>
          <w:rFonts w:ascii="Arial" w:hAnsi="Arial" w:cs="Arial"/>
          <w:b/>
          <w:sz w:val="24"/>
          <w:szCs w:val="24"/>
        </w:rPr>
        <w:t xml:space="preserve">subsidiariedad </w:t>
      </w:r>
      <w:r w:rsidR="00246323" w:rsidRPr="00246323">
        <w:rPr>
          <w:rFonts w:ascii="Arial" w:hAnsi="Arial" w:cs="Arial"/>
          <w:sz w:val="24"/>
          <w:szCs w:val="24"/>
          <w:lang w:eastAsia="es-CO"/>
        </w:rPr>
        <w:t>se encuentra previsto en el artículo 86 superior que establece que el mecanismo de amparo “solo procederá cuando el afectado no disponga de otro mecanismo de defensa judicial, salvo que aquella se utilice como mecanismo transitorio para evitar un perjuicio irremediable”</w:t>
      </w:r>
      <w:r w:rsidR="00246323" w:rsidRPr="00246323">
        <w:rPr>
          <w:rFonts w:ascii="Arial" w:hAnsi="Arial" w:cs="Arial"/>
          <w:sz w:val="24"/>
          <w:szCs w:val="24"/>
          <w:vertAlign w:val="superscript"/>
          <w:lang w:eastAsia="es-CO"/>
        </w:rPr>
        <w:footnoteReference w:id="57"/>
      </w:r>
      <w:r w:rsidR="00246323" w:rsidRPr="00246323">
        <w:rPr>
          <w:rFonts w:ascii="Arial" w:hAnsi="Arial" w:cs="Arial"/>
          <w:sz w:val="24"/>
          <w:szCs w:val="24"/>
          <w:lang w:eastAsia="es-CO"/>
        </w:rPr>
        <w:t>, “</w:t>
      </w:r>
      <w:r w:rsidR="00246323" w:rsidRPr="00246323">
        <w:rPr>
          <w:rFonts w:ascii="Arial" w:hAnsi="Arial" w:cs="Arial"/>
          <w:sz w:val="24"/>
          <w:szCs w:val="24"/>
          <w:shd w:val="clear" w:color="auto" w:fill="FFFFFF"/>
        </w:rPr>
        <w:t>entendido este último como aquél que tan sólo puede resarcirse en su integridad mediante el pago de una indemnización”</w:t>
      </w:r>
      <w:r w:rsidR="00246323" w:rsidRPr="00246323">
        <w:rPr>
          <w:rFonts w:ascii="Arial" w:hAnsi="Arial" w:cs="Arial"/>
          <w:sz w:val="24"/>
          <w:szCs w:val="24"/>
          <w:shd w:val="clear" w:color="auto" w:fill="FFFFFF"/>
          <w:vertAlign w:val="superscript"/>
        </w:rPr>
        <w:footnoteReference w:id="58"/>
      </w:r>
      <w:r w:rsidR="00246323" w:rsidRPr="00246323">
        <w:rPr>
          <w:rFonts w:ascii="Arial" w:hAnsi="Arial" w:cs="Arial"/>
          <w:sz w:val="24"/>
          <w:szCs w:val="24"/>
          <w:shd w:val="clear" w:color="auto" w:fill="FFFFFF"/>
        </w:rPr>
        <w:t xml:space="preserve">. </w:t>
      </w:r>
    </w:p>
    <w:p w14:paraId="5C42E472" w14:textId="799FA59B" w:rsidR="00FE0BA7" w:rsidRPr="00FE0BA7" w:rsidRDefault="00FE0BA7" w:rsidP="00FE0BA7">
      <w:pPr>
        <w:keepNext/>
        <w:spacing w:after="240" w:line="240" w:lineRule="auto"/>
        <w:jc w:val="both"/>
        <w:textAlignment w:val="baseline"/>
        <w:rPr>
          <w:rFonts w:ascii="Arial" w:hAnsi="Arial" w:cs="Arial"/>
          <w:color w:val="000000" w:themeColor="text1"/>
          <w:sz w:val="24"/>
          <w:szCs w:val="24"/>
          <w:lang w:eastAsia="es-CO"/>
        </w:rPr>
      </w:pPr>
      <w:r w:rsidRPr="00FE0BA7">
        <w:rPr>
          <w:rFonts w:ascii="Arial" w:hAnsi="Arial" w:cs="Arial"/>
          <w:sz w:val="24"/>
          <w:szCs w:val="24"/>
          <w:lang w:eastAsia="es-CO"/>
        </w:rPr>
        <w:t>En particular, la procedencia de la acción de tutela debe verificarse en tres sentidos: i) de forma definitiva, cuando el afectado no disponga de otro mecanismo de defensa judicial idóneo y eficaz, que implica un análisis “a partir de la naturaleza de la disputa, de los hechos del caso y de su impacto respecto de los derechos o garantías constitucionales”</w:t>
      </w:r>
      <w:r w:rsidRPr="00FE0BA7">
        <w:rPr>
          <w:rFonts w:ascii="Arial" w:hAnsi="Arial" w:cs="Arial"/>
          <w:sz w:val="24"/>
          <w:szCs w:val="24"/>
          <w:vertAlign w:val="superscript"/>
          <w:lang w:eastAsia="es-CO"/>
        </w:rPr>
        <w:footnoteReference w:id="59"/>
      </w:r>
      <w:r w:rsidRPr="00FE0BA7">
        <w:rPr>
          <w:rFonts w:ascii="Arial" w:hAnsi="Arial" w:cs="Arial"/>
          <w:sz w:val="24"/>
          <w:szCs w:val="24"/>
          <w:lang w:eastAsia="es-CO"/>
        </w:rPr>
        <w:t xml:space="preserve">; ii) como mecanismo transitorio, cuando la acción de tutela se interpone para evitar la </w:t>
      </w:r>
      <w:r w:rsidRPr="00FE0BA7">
        <w:rPr>
          <w:rFonts w:ascii="Arial" w:hAnsi="Arial" w:cs="Arial"/>
          <w:color w:val="000000" w:themeColor="text1"/>
          <w:sz w:val="24"/>
          <w:szCs w:val="24"/>
          <w:lang w:eastAsia="es-CO"/>
        </w:rPr>
        <w:t>consumación de un perjuicio irremediable. “En este último evento, la protección se extenderá hasta tanto se produzca una decisión definitiva por parte del juez ordinario”</w:t>
      </w:r>
      <w:r w:rsidRPr="00FE0BA7">
        <w:rPr>
          <w:rFonts w:ascii="Arial" w:hAnsi="Arial" w:cs="Arial"/>
          <w:color w:val="000000" w:themeColor="text1"/>
          <w:sz w:val="24"/>
          <w:szCs w:val="24"/>
          <w:vertAlign w:val="superscript"/>
          <w:lang w:eastAsia="es-CO"/>
        </w:rPr>
        <w:footnoteReference w:id="60"/>
      </w:r>
      <w:r w:rsidRPr="00FE0BA7">
        <w:rPr>
          <w:rFonts w:ascii="Arial" w:hAnsi="Arial" w:cs="Arial"/>
          <w:color w:val="000000" w:themeColor="text1"/>
          <w:sz w:val="24"/>
          <w:szCs w:val="24"/>
          <w:lang w:eastAsia="es-CO"/>
        </w:rPr>
        <w:t>. Finalmente, iii) “cuando la acción de tutela es promovida por personas que requieren especial protección constitucional, como los niños y niñas, mujeres cabeza de familia, personas en condición de discapacidad, personas de la tercera edad, entre otros, el examen de procedencia de la acción de tutela es menos estricto, a través de criterios de análisis más amplios, pero no menos rigurosos”</w:t>
      </w:r>
      <w:r w:rsidRPr="00FE0BA7">
        <w:rPr>
          <w:rFonts w:ascii="Arial" w:hAnsi="Arial" w:cs="Arial"/>
          <w:color w:val="000000" w:themeColor="text1"/>
          <w:sz w:val="24"/>
          <w:szCs w:val="24"/>
          <w:vertAlign w:val="superscript"/>
          <w:lang w:eastAsia="es-CO"/>
        </w:rPr>
        <w:footnoteReference w:id="61"/>
      </w:r>
      <w:r w:rsidRPr="00FE0BA7">
        <w:rPr>
          <w:rFonts w:ascii="Arial" w:hAnsi="Arial" w:cs="Arial"/>
          <w:color w:val="000000" w:themeColor="text1"/>
          <w:sz w:val="24"/>
          <w:szCs w:val="24"/>
          <w:lang w:eastAsia="es-CO"/>
        </w:rPr>
        <w:t xml:space="preserve">. </w:t>
      </w:r>
    </w:p>
    <w:p w14:paraId="00B64C98" w14:textId="4D699FD8" w:rsidR="00FE0BA7" w:rsidRPr="00FE0BA7" w:rsidRDefault="00FE0BA7" w:rsidP="00900673">
      <w:pPr>
        <w:keepNext/>
        <w:spacing w:after="240" w:line="240" w:lineRule="auto"/>
        <w:jc w:val="both"/>
        <w:textAlignment w:val="baseline"/>
        <w:rPr>
          <w:rFonts w:ascii="Arial" w:hAnsi="Arial" w:cs="Arial"/>
          <w:color w:val="000000" w:themeColor="text1"/>
          <w:sz w:val="24"/>
          <w:szCs w:val="24"/>
          <w:lang w:eastAsia="es-CO"/>
        </w:rPr>
      </w:pPr>
      <w:r w:rsidRPr="00FE0BA7">
        <w:rPr>
          <w:rFonts w:ascii="Arial" w:hAnsi="Arial" w:cs="Arial"/>
          <w:color w:val="000000" w:themeColor="text1"/>
          <w:sz w:val="24"/>
          <w:szCs w:val="24"/>
          <w:lang w:eastAsia="es-CO"/>
        </w:rPr>
        <w:t>En lo atinente a la configuración del mencionado perjuicio irremediable, la Corporación Constitucional ha determinado que deben concurrir ciertos requisitos para que la acción de tutela se torne procedente en este sentido, así: i) “que se trate de un hecho cierto e inminente”</w:t>
      </w:r>
      <w:r w:rsidRPr="00FE0BA7">
        <w:rPr>
          <w:rFonts w:ascii="Arial" w:hAnsi="Arial" w:cs="Arial"/>
          <w:color w:val="000000" w:themeColor="text1"/>
          <w:sz w:val="24"/>
          <w:szCs w:val="24"/>
          <w:vertAlign w:val="superscript"/>
          <w:lang w:eastAsia="es-CO"/>
        </w:rPr>
        <w:footnoteReference w:id="62"/>
      </w:r>
      <w:r w:rsidRPr="00FE0BA7">
        <w:rPr>
          <w:rFonts w:ascii="Arial" w:hAnsi="Arial" w:cs="Arial"/>
          <w:color w:val="000000" w:themeColor="text1"/>
          <w:sz w:val="24"/>
          <w:szCs w:val="24"/>
          <w:lang w:eastAsia="es-CO"/>
        </w:rPr>
        <w:t>, “es decir que está por suceder en un tiempo cercano, a diferencia de la mera expectativa ante un posible menoscabo”</w:t>
      </w:r>
      <w:r w:rsidRPr="00FE0BA7">
        <w:rPr>
          <w:rFonts w:ascii="Arial" w:hAnsi="Arial" w:cs="Arial"/>
          <w:color w:val="000000" w:themeColor="text1"/>
          <w:sz w:val="24"/>
          <w:szCs w:val="24"/>
          <w:vertAlign w:val="superscript"/>
          <w:lang w:eastAsia="es-CO"/>
        </w:rPr>
        <w:footnoteReference w:id="63"/>
      </w:r>
      <w:r w:rsidRPr="00FE0BA7">
        <w:rPr>
          <w:rFonts w:ascii="Arial" w:hAnsi="Arial" w:cs="Arial"/>
          <w:color w:val="000000" w:themeColor="text1"/>
          <w:sz w:val="24"/>
          <w:szCs w:val="24"/>
          <w:lang w:eastAsia="es-CO"/>
        </w:rPr>
        <w:t>; ii) “que las medidas a tomar deben ser urgentes”</w:t>
      </w:r>
      <w:r w:rsidRPr="00FE0BA7">
        <w:rPr>
          <w:rFonts w:ascii="Arial" w:hAnsi="Arial" w:cs="Arial"/>
          <w:color w:val="000000" w:themeColor="text1"/>
          <w:sz w:val="24"/>
          <w:szCs w:val="24"/>
          <w:vertAlign w:val="superscript"/>
          <w:lang w:eastAsia="es-CO"/>
        </w:rPr>
        <w:t xml:space="preserve"> </w:t>
      </w:r>
      <w:r w:rsidRPr="00FE0BA7">
        <w:rPr>
          <w:rFonts w:ascii="Arial" w:hAnsi="Arial" w:cs="Arial"/>
          <w:color w:val="000000" w:themeColor="text1"/>
          <w:sz w:val="24"/>
          <w:szCs w:val="24"/>
          <w:vertAlign w:val="superscript"/>
          <w:lang w:eastAsia="es-CO"/>
        </w:rPr>
        <w:footnoteReference w:id="64"/>
      </w:r>
      <w:r w:rsidRPr="00FE0BA7">
        <w:rPr>
          <w:rFonts w:ascii="Arial" w:hAnsi="Arial" w:cs="Arial"/>
          <w:color w:val="000000" w:themeColor="text1"/>
          <w:sz w:val="24"/>
          <w:szCs w:val="24"/>
          <w:lang w:eastAsia="es-CO"/>
        </w:rPr>
        <w:t>; iii) “que la situación a la que se enfrenta la persona es grave”</w:t>
      </w:r>
      <w:r w:rsidRPr="00FE0BA7">
        <w:rPr>
          <w:rFonts w:ascii="Arial" w:hAnsi="Arial" w:cs="Arial"/>
          <w:color w:val="000000" w:themeColor="text1"/>
          <w:sz w:val="24"/>
          <w:szCs w:val="24"/>
          <w:vertAlign w:val="superscript"/>
          <w:lang w:eastAsia="es-CO"/>
        </w:rPr>
        <w:footnoteReference w:id="65"/>
      </w:r>
      <w:r w:rsidRPr="00FE0BA7">
        <w:rPr>
          <w:rFonts w:ascii="Arial" w:hAnsi="Arial" w:cs="Arial"/>
          <w:color w:val="000000" w:themeColor="text1"/>
          <w:sz w:val="24"/>
          <w:szCs w:val="24"/>
          <w:lang w:eastAsia="es-CO"/>
        </w:rPr>
        <w:t>, evaluado según “la intensidad del menoscabo material a los derechos fundamentales de una persona”</w:t>
      </w:r>
      <w:r w:rsidRPr="00FE0BA7">
        <w:rPr>
          <w:rFonts w:ascii="Arial" w:hAnsi="Arial" w:cs="Arial"/>
          <w:color w:val="000000" w:themeColor="text1"/>
          <w:sz w:val="24"/>
          <w:szCs w:val="24"/>
          <w:vertAlign w:val="superscript"/>
          <w:lang w:eastAsia="es-CO"/>
        </w:rPr>
        <w:footnoteReference w:id="66"/>
      </w:r>
      <w:r w:rsidRPr="00FE0BA7">
        <w:rPr>
          <w:rFonts w:ascii="Arial" w:hAnsi="Arial" w:cs="Arial"/>
          <w:color w:val="000000" w:themeColor="text1"/>
          <w:sz w:val="24"/>
          <w:szCs w:val="24"/>
          <w:lang w:eastAsia="es-CO"/>
        </w:rPr>
        <w:t>; y finalmente, iv) que las actuaciones de protección han de ser impostergables”</w:t>
      </w:r>
      <w:r w:rsidRPr="00FE0BA7">
        <w:rPr>
          <w:rFonts w:ascii="Arial" w:hAnsi="Arial" w:cs="Arial"/>
          <w:color w:val="000000" w:themeColor="text1"/>
          <w:sz w:val="24"/>
          <w:szCs w:val="24"/>
          <w:vertAlign w:val="superscript"/>
          <w:lang w:eastAsia="es-CO"/>
        </w:rPr>
        <w:footnoteReference w:id="67"/>
      </w:r>
      <w:r w:rsidRPr="00FE0BA7">
        <w:rPr>
          <w:rFonts w:ascii="Arial" w:hAnsi="Arial" w:cs="Arial"/>
          <w:color w:val="000000" w:themeColor="text1"/>
          <w:sz w:val="24"/>
          <w:szCs w:val="24"/>
          <w:lang w:eastAsia="es-CO"/>
        </w:rPr>
        <w:t>, “lo que significa que deben responder a condiciones de oportunidad y eficacia, que eviten la consumación del daño irreparable”</w:t>
      </w:r>
      <w:r w:rsidRPr="00FE0BA7">
        <w:rPr>
          <w:rFonts w:ascii="Arial" w:hAnsi="Arial" w:cs="Arial"/>
          <w:color w:val="000000" w:themeColor="text1"/>
          <w:sz w:val="24"/>
          <w:szCs w:val="24"/>
          <w:vertAlign w:val="superscript"/>
          <w:lang w:eastAsia="es-CO"/>
        </w:rPr>
        <w:footnoteReference w:id="68"/>
      </w:r>
      <w:r w:rsidRPr="00FE0BA7">
        <w:rPr>
          <w:rFonts w:ascii="Arial" w:hAnsi="Arial" w:cs="Arial"/>
          <w:color w:val="000000" w:themeColor="text1"/>
          <w:sz w:val="24"/>
          <w:szCs w:val="24"/>
          <w:lang w:eastAsia="es-CO"/>
        </w:rPr>
        <w:t xml:space="preserve">. </w:t>
      </w:r>
    </w:p>
    <w:p w14:paraId="47D17360" w14:textId="0B897C8B" w:rsidR="000E6E3A" w:rsidRPr="00B356DD" w:rsidRDefault="00C66D1E" w:rsidP="008D0383">
      <w:pPr>
        <w:keepNext/>
        <w:spacing w:after="240" w:line="240" w:lineRule="auto"/>
        <w:jc w:val="both"/>
        <w:textAlignment w:val="baseline"/>
        <w:rPr>
          <w:rFonts w:ascii="Arial" w:hAnsi="Arial" w:cs="Arial"/>
          <w:color w:val="000000" w:themeColor="text1"/>
          <w:sz w:val="24"/>
          <w:szCs w:val="24"/>
          <w:shd w:val="clear" w:color="auto" w:fill="FFFFFF"/>
        </w:rPr>
      </w:pPr>
      <w:r>
        <w:rPr>
          <w:rFonts w:ascii="Arial" w:hAnsi="Arial" w:cs="Arial"/>
          <w:sz w:val="24"/>
          <w:szCs w:val="24"/>
          <w:shd w:val="clear" w:color="auto" w:fill="FFFFFF"/>
        </w:rPr>
        <w:t>Sobre el presupuesto en comento, la alta Corte citada ha precisado que “</w:t>
      </w:r>
      <w:r w:rsidRPr="00C66D1E">
        <w:rPr>
          <w:rFonts w:ascii="Arial" w:hAnsi="Arial" w:cs="Arial"/>
          <w:sz w:val="24"/>
          <w:szCs w:val="24"/>
          <w:shd w:val="clear" w:color="auto" w:fill="FFFFFF"/>
        </w:rPr>
        <w:t xml:space="preserve">no está dentro de las atribuciones del juez de tutela la de inmiscuirse en </w:t>
      </w:r>
      <w:r w:rsidRPr="007718E7">
        <w:rPr>
          <w:rFonts w:ascii="Arial" w:hAnsi="Arial" w:cs="Arial"/>
          <w:b/>
          <w:sz w:val="24"/>
          <w:szCs w:val="24"/>
          <w:u w:val="single"/>
          <w:shd w:val="clear" w:color="auto" w:fill="FFFFFF"/>
        </w:rPr>
        <w:t>el trámite de un proceso judicial en curso</w:t>
      </w:r>
      <w:r w:rsidRPr="00C66D1E">
        <w:rPr>
          <w:rFonts w:ascii="Arial" w:hAnsi="Arial" w:cs="Arial"/>
          <w:sz w:val="24"/>
          <w:szCs w:val="24"/>
          <w:shd w:val="clear" w:color="auto" w:fill="FFFFFF"/>
        </w:rPr>
        <w:t xml:space="preserve">, adoptando decisiones paralelas a las que cumple, en ejercicio de su función, quien lo conduce, ya que tal posibilidad está excluida de plano en los conceptos de autonomía e independencia funcionales, a los cuales ya se ha hecho referencia. De ningún modo es admisible, entonces, que quien resuelve sobre la tutela </w:t>
      </w:r>
      <w:r w:rsidRPr="00B356DD">
        <w:rPr>
          <w:rFonts w:ascii="Arial" w:hAnsi="Arial" w:cs="Arial"/>
          <w:color w:val="000000" w:themeColor="text1"/>
          <w:sz w:val="24"/>
          <w:szCs w:val="24"/>
          <w:shd w:val="clear" w:color="auto" w:fill="FFFFFF"/>
        </w:rPr>
        <w:t>extienda su poder de decisión hasta el extremo de resolver sobre la cuestión litigiosa que se debate en un proceso, o en relación con el derecho que allí se controvierte”</w:t>
      </w:r>
      <w:r w:rsidRPr="00B356DD">
        <w:rPr>
          <w:rStyle w:val="Refdenotaalpie"/>
          <w:rFonts w:ascii="Arial" w:hAnsi="Arial" w:cs="Arial"/>
          <w:color w:val="000000" w:themeColor="text1"/>
          <w:sz w:val="24"/>
          <w:szCs w:val="24"/>
          <w:shd w:val="clear" w:color="auto" w:fill="FFFFFF"/>
        </w:rPr>
        <w:footnoteReference w:id="69"/>
      </w:r>
      <w:r w:rsidRPr="00B356DD">
        <w:rPr>
          <w:rFonts w:ascii="Arial" w:hAnsi="Arial" w:cs="Arial"/>
          <w:color w:val="000000" w:themeColor="text1"/>
          <w:sz w:val="24"/>
          <w:szCs w:val="24"/>
          <w:shd w:val="clear" w:color="auto" w:fill="FFFFFF"/>
        </w:rPr>
        <w:t xml:space="preserve">. </w:t>
      </w:r>
      <w:r w:rsidR="00C54882">
        <w:rPr>
          <w:rFonts w:ascii="Arial" w:hAnsi="Arial" w:cs="Arial"/>
          <w:color w:val="000000" w:themeColor="text1"/>
          <w:sz w:val="24"/>
          <w:szCs w:val="24"/>
          <w:shd w:val="clear" w:color="auto" w:fill="FFFFFF"/>
        </w:rPr>
        <w:t xml:space="preserve">Dicho de otra manera, “el principio de subsidiariedad hace que la tutela se torne improcedente contra providencias judiciales cuando: (i) </w:t>
      </w:r>
      <w:r w:rsidR="00C54882" w:rsidRPr="00E00293">
        <w:rPr>
          <w:rFonts w:ascii="Arial" w:hAnsi="Arial" w:cs="Arial"/>
          <w:b/>
          <w:color w:val="000000" w:themeColor="text1"/>
          <w:sz w:val="24"/>
          <w:szCs w:val="24"/>
          <w:u w:val="single"/>
          <w:shd w:val="clear" w:color="auto" w:fill="FFFFFF"/>
        </w:rPr>
        <w:t>el asunto esté en trámite, salvo como mecanismo transitorio para evitar un perjuicio irremediable</w:t>
      </w:r>
      <w:r w:rsidR="0052058E">
        <w:rPr>
          <w:rFonts w:ascii="Arial" w:hAnsi="Arial" w:cs="Arial"/>
          <w:color w:val="000000" w:themeColor="text1"/>
          <w:sz w:val="24"/>
          <w:szCs w:val="24"/>
          <w:shd w:val="clear" w:color="auto" w:fill="FFFFFF"/>
        </w:rPr>
        <w:t xml:space="preserve"> (…)”</w:t>
      </w:r>
      <w:r w:rsidR="0052058E">
        <w:rPr>
          <w:rStyle w:val="Refdenotaalpie"/>
          <w:rFonts w:ascii="Arial" w:hAnsi="Arial" w:cs="Arial"/>
          <w:color w:val="000000" w:themeColor="text1"/>
          <w:sz w:val="24"/>
          <w:szCs w:val="24"/>
          <w:shd w:val="clear" w:color="auto" w:fill="FFFFFF"/>
        </w:rPr>
        <w:footnoteReference w:id="70"/>
      </w:r>
      <w:r w:rsidR="0052058E">
        <w:rPr>
          <w:rFonts w:ascii="Arial" w:hAnsi="Arial" w:cs="Arial"/>
          <w:color w:val="000000" w:themeColor="text1"/>
          <w:sz w:val="24"/>
          <w:szCs w:val="24"/>
          <w:shd w:val="clear" w:color="auto" w:fill="FFFFFF"/>
        </w:rPr>
        <w:t xml:space="preserve">. </w:t>
      </w:r>
      <w:r w:rsidR="007718E7">
        <w:rPr>
          <w:rFonts w:ascii="Arial" w:hAnsi="Arial" w:cs="Arial"/>
          <w:color w:val="000000" w:themeColor="text1"/>
          <w:sz w:val="24"/>
          <w:szCs w:val="24"/>
          <w:shd w:val="clear" w:color="auto" w:fill="FFFFFF"/>
        </w:rPr>
        <w:t xml:space="preserve">(Negritas y subrayado fuera del texto). </w:t>
      </w:r>
    </w:p>
    <w:p w14:paraId="52A845A2" w14:textId="3376413C" w:rsidR="000E6E3A" w:rsidRPr="00B356DD" w:rsidRDefault="000E6E3A" w:rsidP="008D0383">
      <w:pPr>
        <w:keepNext/>
        <w:spacing w:after="240" w:line="240" w:lineRule="auto"/>
        <w:jc w:val="both"/>
        <w:textAlignment w:val="baseline"/>
        <w:rPr>
          <w:rFonts w:ascii="Arial" w:hAnsi="Arial" w:cs="Arial"/>
          <w:color w:val="000000" w:themeColor="text1"/>
          <w:sz w:val="24"/>
          <w:szCs w:val="24"/>
          <w:shd w:val="clear" w:color="auto" w:fill="FFFFFF"/>
        </w:rPr>
      </w:pPr>
      <w:r w:rsidRPr="00CE330F">
        <w:rPr>
          <w:rFonts w:ascii="Arial" w:hAnsi="Arial" w:cs="Arial"/>
          <w:b/>
          <w:bCs/>
          <w:color w:val="000000" w:themeColor="text1"/>
          <w:sz w:val="24"/>
          <w:szCs w:val="24"/>
          <w:shd w:val="clear" w:color="auto" w:fill="FFFFFF"/>
        </w:rPr>
        <w:t>2.</w:t>
      </w:r>
      <w:r w:rsidR="000E6203">
        <w:rPr>
          <w:rFonts w:ascii="Arial" w:hAnsi="Arial" w:cs="Arial"/>
          <w:b/>
          <w:bCs/>
          <w:color w:val="000000" w:themeColor="text1"/>
          <w:sz w:val="24"/>
          <w:szCs w:val="24"/>
          <w:shd w:val="clear" w:color="auto" w:fill="FFFFFF"/>
        </w:rPr>
        <w:t>5</w:t>
      </w:r>
      <w:r w:rsidRPr="00CE330F">
        <w:rPr>
          <w:rFonts w:ascii="Arial" w:hAnsi="Arial" w:cs="Arial"/>
          <w:b/>
          <w:bCs/>
          <w:color w:val="000000" w:themeColor="text1"/>
          <w:sz w:val="24"/>
          <w:szCs w:val="24"/>
          <w:shd w:val="clear" w:color="auto" w:fill="FFFFFF"/>
        </w:rPr>
        <w:t>.</w:t>
      </w:r>
      <w:r w:rsidRPr="00B356DD">
        <w:rPr>
          <w:rFonts w:ascii="Arial" w:hAnsi="Arial" w:cs="Arial"/>
          <w:color w:val="000000" w:themeColor="text1"/>
          <w:sz w:val="24"/>
          <w:szCs w:val="24"/>
          <w:shd w:val="clear" w:color="auto" w:fill="FFFFFF"/>
        </w:rPr>
        <w:t xml:space="preserve"> </w:t>
      </w:r>
      <w:r w:rsidRPr="00B356DD">
        <w:rPr>
          <w:rFonts w:ascii="Arial" w:hAnsi="Arial" w:cs="Arial"/>
          <w:b/>
          <w:bCs/>
          <w:color w:val="000000" w:themeColor="text1"/>
          <w:sz w:val="24"/>
          <w:szCs w:val="24"/>
          <w:shd w:val="clear" w:color="auto" w:fill="FFFFFF"/>
        </w:rPr>
        <w:t>En el caso en concreto</w:t>
      </w:r>
      <w:r w:rsidRPr="00B356DD">
        <w:rPr>
          <w:rFonts w:ascii="Arial" w:hAnsi="Arial" w:cs="Arial"/>
          <w:color w:val="000000" w:themeColor="text1"/>
          <w:sz w:val="24"/>
          <w:szCs w:val="24"/>
          <w:shd w:val="clear" w:color="auto" w:fill="FFFFFF"/>
        </w:rPr>
        <w:t>, Elkin Enrique Díaz Camacho puso de presente que las secciones Primera y Segunda-Subsección B</w:t>
      </w:r>
      <w:r w:rsidR="008D0383" w:rsidRPr="00B356DD">
        <w:rPr>
          <w:rFonts w:ascii="Arial" w:hAnsi="Arial" w:cs="Arial"/>
          <w:color w:val="000000" w:themeColor="text1"/>
          <w:sz w:val="24"/>
          <w:szCs w:val="24"/>
          <w:shd w:val="clear" w:color="auto" w:fill="FFFFFF"/>
        </w:rPr>
        <w:t xml:space="preserve">, al dictar las providencias del 1 de diciembre de 2022 y del 9 de febrero de 2023, </w:t>
      </w:r>
      <w:r w:rsidRPr="00B356DD">
        <w:rPr>
          <w:rFonts w:ascii="Arial" w:hAnsi="Arial" w:cs="Arial"/>
          <w:color w:val="000000" w:themeColor="text1"/>
          <w:sz w:val="24"/>
          <w:szCs w:val="24"/>
          <w:shd w:val="clear" w:color="auto" w:fill="FFFFFF"/>
        </w:rPr>
        <w:t xml:space="preserve">inadvirtieron el contenido de los artículos 132 -numeral 3- y 204 del CPACA y 142 -literal 5- del </w:t>
      </w:r>
      <w:r w:rsidR="00240BA7">
        <w:rPr>
          <w:rFonts w:ascii="Arial" w:hAnsi="Arial" w:cs="Arial"/>
          <w:color w:val="000000" w:themeColor="text1"/>
          <w:sz w:val="24"/>
          <w:szCs w:val="24"/>
          <w:shd w:val="clear" w:color="auto" w:fill="FFFFFF"/>
        </w:rPr>
        <w:t xml:space="preserve">CGP </w:t>
      </w:r>
      <w:r w:rsidRPr="00B356DD">
        <w:rPr>
          <w:rFonts w:ascii="Arial" w:hAnsi="Arial" w:cs="Arial"/>
          <w:color w:val="000000" w:themeColor="text1"/>
          <w:sz w:val="24"/>
          <w:szCs w:val="24"/>
          <w:shd w:val="clear" w:color="auto" w:fill="FFFFFF"/>
        </w:rPr>
        <w:t>que prevén que la decisión que resuelva sobre la recusación es de plano, que no podrán recusarse a quienes deban resolver sobre un trámite de recusación, y diferencia</w:t>
      </w:r>
      <w:r w:rsidR="00F46D44">
        <w:rPr>
          <w:rFonts w:ascii="Arial" w:hAnsi="Arial" w:cs="Arial"/>
          <w:color w:val="000000" w:themeColor="text1"/>
          <w:sz w:val="24"/>
          <w:szCs w:val="24"/>
          <w:shd w:val="clear" w:color="auto" w:fill="FFFFFF"/>
        </w:rPr>
        <w:t>n</w:t>
      </w:r>
      <w:r w:rsidRPr="00B356DD">
        <w:rPr>
          <w:rFonts w:ascii="Arial" w:hAnsi="Arial" w:cs="Arial"/>
          <w:color w:val="000000" w:themeColor="text1"/>
          <w:sz w:val="24"/>
          <w:szCs w:val="24"/>
          <w:shd w:val="clear" w:color="auto" w:fill="FFFFFF"/>
        </w:rPr>
        <w:t xml:space="preserve"> los autos que no requieren de notificación</w:t>
      </w:r>
      <w:r w:rsidR="008D0383" w:rsidRPr="00B356DD">
        <w:rPr>
          <w:rFonts w:ascii="Arial" w:hAnsi="Arial" w:cs="Arial"/>
          <w:color w:val="000000" w:themeColor="text1"/>
          <w:sz w:val="24"/>
          <w:szCs w:val="24"/>
          <w:shd w:val="clear" w:color="auto" w:fill="FFFFFF"/>
        </w:rPr>
        <w:t xml:space="preserve"> </w:t>
      </w:r>
      <w:r w:rsidR="005D6F76">
        <w:rPr>
          <w:rFonts w:ascii="Arial" w:hAnsi="Arial" w:cs="Arial"/>
          <w:color w:val="000000" w:themeColor="text1"/>
          <w:sz w:val="24"/>
          <w:szCs w:val="24"/>
          <w:shd w:val="clear" w:color="auto" w:fill="FFFFFF"/>
        </w:rPr>
        <w:t xml:space="preserve"> -</w:t>
      </w:r>
      <w:r w:rsidRPr="00B356DD">
        <w:rPr>
          <w:rFonts w:ascii="Arial" w:hAnsi="Arial" w:cs="Arial"/>
          <w:color w:val="000000" w:themeColor="text1"/>
          <w:sz w:val="24"/>
          <w:szCs w:val="24"/>
          <w:shd w:val="clear" w:color="auto" w:fill="FFFFFF"/>
        </w:rPr>
        <w:t>por contener órdenes dirigidas únicamente a la secretaría</w:t>
      </w:r>
      <w:r w:rsidR="005D6F76">
        <w:rPr>
          <w:rFonts w:ascii="Arial" w:hAnsi="Arial" w:cs="Arial"/>
          <w:color w:val="000000" w:themeColor="text1"/>
          <w:sz w:val="24"/>
          <w:szCs w:val="24"/>
          <w:shd w:val="clear" w:color="auto" w:fill="FFFFFF"/>
        </w:rPr>
        <w:t>-</w:t>
      </w:r>
      <w:r w:rsidR="00BE223E">
        <w:rPr>
          <w:rFonts w:ascii="Arial" w:hAnsi="Arial" w:cs="Arial"/>
          <w:color w:val="000000" w:themeColor="text1"/>
          <w:sz w:val="24"/>
          <w:szCs w:val="24"/>
          <w:shd w:val="clear" w:color="auto" w:fill="FFFFFF"/>
        </w:rPr>
        <w:t xml:space="preserve"> de los que sí</w:t>
      </w:r>
      <w:r w:rsidRPr="00B356DD">
        <w:rPr>
          <w:rFonts w:ascii="Arial" w:hAnsi="Arial" w:cs="Arial"/>
          <w:color w:val="000000" w:themeColor="text1"/>
          <w:sz w:val="24"/>
          <w:szCs w:val="24"/>
          <w:shd w:val="clear" w:color="auto" w:fill="FFFFFF"/>
        </w:rPr>
        <w:t xml:space="preserve">. </w:t>
      </w:r>
    </w:p>
    <w:p w14:paraId="27300284" w14:textId="0C40B655" w:rsidR="00A01A9C" w:rsidRDefault="007C588C"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Así las cosas</w:t>
      </w:r>
      <w:r w:rsidR="00A01A9C">
        <w:rPr>
          <w:rFonts w:ascii="Arial" w:hAnsi="Arial" w:cs="Arial"/>
          <w:color w:val="000000" w:themeColor="text1"/>
          <w:sz w:val="24"/>
          <w:szCs w:val="24"/>
          <w:lang w:eastAsia="es-ES_tradnl"/>
        </w:rPr>
        <w:t xml:space="preserve">, los reparos de Elkin Enrique están dirigidos a </w:t>
      </w:r>
      <w:r w:rsidR="0034444B">
        <w:rPr>
          <w:rFonts w:ascii="Arial" w:hAnsi="Arial" w:cs="Arial"/>
          <w:color w:val="000000" w:themeColor="text1"/>
          <w:sz w:val="24"/>
          <w:szCs w:val="24"/>
          <w:lang w:eastAsia="es-ES_tradnl"/>
        </w:rPr>
        <w:t xml:space="preserve">que se infirmen </w:t>
      </w:r>
      <w:r w:rsidR="00A01A9C">
        <w:rPr>
          <w:rFonts w:ascii="Arial" w:hAnsi="Arial" w:cs="Arial"/>
          <w:color w:val="000000" w:themeColor="text1"/>
          <w:sz w:val="24"/>
          <w:szCs w:val="24"/>
          <w:lang w:eastAsia="es-ES_tradnl"/>
        </w:rPr>
        <w:t>los autos del 1 de diciembre de 2022 y del 9 de febrero de 2023</w:t>
      </w:r>
      <w:r w:rsidR="00DC3B27">
        <w:rPr>
          <w:rFonts w:ascii="Arial" w:hAnsi="Arial" w:cs="Arial"/>
          <w:color w:val="000000" w:themeColor="text1"/>
          <w:sz w:val="24"/>
          <w:szCs w:val="24"/>
          <w:lang w:eastAsia="es-ES_tradnl"/>
        </w:rPr>
        <w:t xml:space="preserve">, el primero de estos en el que la Sección Primera no aceptó los fundamentos de la recusación y ordenó su envío a la Sección Segunda, y, el segundo, en el que la Subsección B de </w:t>
      </w:r>
      <w:r w:rsidR="00240BA7">
        <w:rPr>
          <w:rFonts w:ascii="Arial" w:hAnsi="Arial" w:cs="Arial"/>
          <w:color w:val="000000" w:themeColor="text1"/>
          <w:sz w:val="24"/>
          <w:szCs w:val="24"/>
          <w:lang w:eastAsia="es-ES_tradnl"/>
        </w:rPr>
        <w:t xml:space="preserve">esta última </w:t>
      </w:r>
      <w:r w:rsidR="00DC3B27">
        <w:rPr>
          <w:rFonts w:ascii="Arial" w:hAnsi="Arial" w:cs="Arial"/>
          <w:color w:val="000000" w:themeColor="text1"/>
          <w:sz w:val="24"/>
          <w:szCs w:val="24"/>
          <w:lang w:eastAsia="es-ES_tradnl"/>
        </w:rPr>
        <w:t>rechazó de plan</w:t>
      </w:r>
      <w:r w:rsidR="0034444B">
        <w:rPr>
          <w:rFonts w:ascii="Arial" w:hAnsi="Arial" w:cs="Arial"/>
          <w:color w:val="000000" w:themeColor="text1"/>
          <w:sz w:val="24"/>
          <w:szCs w:val="24"/>
          <w:lang w:eastAsia="es-ES_tradnl"/>
        </w:rPr>
        <w:t xml:space="preserve">o </w:t>
      </w:r>
      <w:r w:rsidR="00DC3B27">
        <w:rPr>
          <w:rFonts w:ascii="Arial" w:hAnsi="Arial" w:cs="Arial"/>
          <w:color w:val="000000" w:themeColor="text1"/>
          <w:sz w:val="24"/>
          <w:szCs w:val="24"/>
          <w:lang w:eastAsia="es-ES_tradnl"/>
        </w:rPr>
        <w:t xml:space="preserve">por improcedentes, las recusaciones y ordenó el envío a la Sección Quinta para continuar con el trámite pertinente del medio de control electoral. </w:t>
      </w:r>
    </w:p>
    <w:p w14:paraId="081A09E5" w14:textId="1E90329C" w:rsidR="00CF5454" w:rsidRDefault="00DC3B27"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Ahora bien, esta Sala no puede pasar por alto que contra este último auto</w:t>
      </w:r>
      <w:r w:rsidR="0034444B">
        <w:rPr>
          <w:rFonts w:ascii="Arial" w:hAnsi="Arial" w:cs="Arial"/>
          <w:color w:val="000000" w:themeColor="text1"/>
          <w:sz w:val="24"/>
          <w:szCs w:val="24"/>
          <w:lang w:eastAsia="es-ES_tradnl"/>
        </w:rPr>
        <w:t>,</w:t>
      </w:r>
      <w:r>
        <w:rPr>
          <w:rFonts w:ascii="Arial" w:hAnsi="Arial" w:cs="Arial"/>
          <w:color w:val="000000" w:themeColor="text1"/>
          <w:sz w:val="24"/>
          <w:szCs w:val="24"/>
          <w:lang w:eastAsia="es-ES_tradnl"/>
        </w:rPr>
        <w:t xml:space="preserve"> fechado </w:t>
      </w:r>
      <w:r w:rsidR="0034444B">
        <w:rPr>
          <w:rFonts w:ascii="Arial" w:hAnsi="Arial" w:cs="Arial"/>
          <w:color w:val="000000" w:themeColor="text1"/>
          <w:sz w:val="24"/>
          <w:szCs w:val="24"/>
          <w:lang w:eastAsia="es-ES_tradnl"/>
        </w:rPr>
        <w:t xml:space="preserve">el </w:t>
      </w:r>
      <w:r>
        <w:rPr>
          <w:rFonts w:ascii="Arial" w:hAnsi="Arial" w:cs="Arial"/>
          <w:color w:val="000000" w:themeColor="text1"/>
          <w:sz w:val="24"/>
          <w:szCs w:val="24"/>
          <w:lang w:eastAsia="es-ES_tradnl"/>
        </w:rPr>
        <w:t>9 de febrero de 2023</w:t>
      </w:r>
      <w:r w:rsidR="0034444B">
        <w:rPr>
          <w:rFonts w:ascii="Arial" w:hAnsi="Arial" w:cs="Arial"/>
          <w:color w:val="000000" w:themeColor="text1"/>
          <w:sz w:val="24"/>
          <w:szCs w:val="24"/>
          <w:lang w:eastAsia="es-ES_tradnl"/>
        </w:rPr>
        <w:t>,</w:t>
      </w:r>
      <w:r>
        <w:rPr>
          <w:rFonts w:ascii="Arial" w:hAnsi="Arial" w:cs="Arial"/>
          <w:color w:val="000000" w:themeColor="text1"/>
          <w:sz w:val="24"/>
          <w:szCs w:val="24"/>
          <w:lang w:eastAsia="es-ES_tradnl"/>
        </w:rPr>
        <w:t xml:space="preserve"> la apoderada de la parte demandada presentó incidente de nulidad</w:t>
      </w:r>
      <w:r w:rsidR="00CF5454">
        <w:rPr>
          <w:rFonts w:ascii="Arial" w:hAnsi="Arial" w:cs="Arial"/>
          <w:color w:val="000000" w:themeColor="text1"/>
          <w:sz w:val="24"/>
          <w:szCs w:val="24"/>
          <w:lang w:eastAsia="es-ES_tradnl"/>
        </w:rPr>
        <w:t xml:space="preserve">, </w:t>
      </w:r>
      <w:r>
        <w:rPr>
          <w:rFonts w:ascii="Arial" w:hAnsi="Arial" w:cs="Arial"/>
          <w:color w:val="000000" w:themeColor="text1"/>
          <w:sz w:val="24"/>
          <w:szCs w:val="24"/>
          <w:lang w:eastAsia="es-ES_tradnl"/>
        </w:rPr>
        <w:t>radicó recursos de reposición y en subsidio súplica</w:t>
      </w:r>
      <w:r w:rsidR="00CF5454">
        <w:rPr>
          <w:rFonts w:ascii="Arial" w:hAnsi="Arial" w:cs="Arial"/>
          <w:color w:val="000000" w:themeColor="text1"/>
          <w:sz w:val="24"/>
          <w:szCs w:val="24"/>
          <w:lang w:eastAsia="es-ES_tradnl"/>
        </w:rPr>
        <w:t xml:space="preserve"> y recusó a la totalidad de los magistrados integrantes de la Subsección B de la Sección Segunda del Consejo de Estado, </w:t>
      </w:r>
      <w:r w:rsidR="0034444B">
        <w:rPr>
          <w:rFonts w:ascii="Arial" w:hAnsi="Arial" w:cs="Arial"/>
          <w:color w:val="000000" w:themeColor="text1"/>
          <w:sz w:val="24"/>
          <w:szCs w:val="24"/>
          <w:lang w:eastAsia="es-ES_tradnl"/>
        </w:rPr>
        <w:t xml:space="preserve">y que dicha autoridad se </w:t>
      </w:r>
      <w:r w:rsidR="00CF5454">
        <w:rPr>
          <w:rFonts w:ascii="Arial" w:hAnsi="Arial" w:cs="Arial"/>
          <w:color w:val="000000" w:themeColor="text1"/>
          <w:sz w:val="24"/>
          <w:szCs w:val="24"/>
          <w:lang w:eastAsia="es-ES_tradnl"/>
        </w:rPr>
        <w:t>pronunció en auto del 29 de marzo de 2023, en el que rechazó por improcedente la recusación</w:t>
      </w:r>
      <w:r w:rsidR="0034444B">
        <w:rPr>
          <w:rFonts w:ascii="Arial" w:hAnsi="Arial" w:cs="Arial"/>
          <w:color w:val="000000" w:themeColor="text1"/>
          <w:sz w:val="24"/>
          <w:szCs w:val="24"/>
          <w:lang w:eastAsia="es-ES_tradnl"/>
        </w:rPr>
        <w:t xml:space="preserve">, </w:t>
      </w:r>
      <w:r w:rsidR="00CF5454">
        <w:rPr>
          <w:rFonts w:ascii="Arial" w:hAnsi="Arial" w:cs="Arial"/>
          <w:color w:val="000000" w:themeColor="text1"/>
          <w:sz w:val="24"/>
          <w:szCs w:val="24"/>
          <w:lang w:eastAsia="es-ES_tradnl"/>
        </w:rPr>
        <w:t xml:space="preserve">el incidente de nulidad, y ordenó el envío el expediente a la Sección Quinta.  </w:t>
      </w:r>
    </w:p>
    <w:p w14:paraId="439B0344" w14:textId="4D0F4C92" w:rsidR="00CF5454" w:rsidRDefault="006A1AE9"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No obstante,</w:t>
      </w:r>
      <w:r w:rsidR="00CF5454">
        <w:rPr>
          <w:rFonts w:ascii="Arial" w:hAnsi="Arial" w:cs="Arial"/>
          <w:color w:val="000000" w:themeColor="text1"/>
          <w:sz w:val="24"/>
          <w:szCs w:val="24"/>
          <w:lang w:eastAsia="es-ES_tradnl"/>
        </w:rPr>
        <w:t xml:space="preserve"> con posterioridad, esto es, el 20 de abril de 2023, la apoderada del demandado volvió a recusar a la totalidad de los magistrados de la Subsección B de la Sección Segunda del Consejo de Estado, </w:t>
      </w:r>
      <w:r w:rsidR="00135168">
        <w:rPr>
          <w:rFonts w:ascii="Arial" w:hAnsi="Arial" w:cs="Arial"/>
          <w:color w:val="000000" w:themeColor="text1"/>
          <w:sz w:val="24"/>
          <w:szCs w:val="24"/>
          <w:lang w:eastAsia="es-ES_tradnl"/>
        </w:rPr>
        <w:t xml:space="preserve">así como radicó recursos de reposición y subsidio súplica </w:t>
      </w:r>
      <w:r w:rsidR="00240BA7">
        <w:rPr>
          <w:rFonts w:ascii="Arial" w:hAnsi="Arial" w:cs="Arial"/>
          <w:color w:val="000000" w:themeColor="text1"/>
          <w:sz w:val="24"/>
          <w:szCs w:val="24"/>
          <w:lang w:eastAsia="es-ES_tradnl"/>
        </w:rPr>
        <w:t xml:space="preserve">e </w:t>
      </w:r>
      <w:r w:rsidR="00135168">
        <w:rPr>
          <w:rFonts w:ascii="Arial" w:hAnsi="Arial" w:cs="Arial"/>
          <w:color w:val="000000" w:themeColor="text1"/>
          <w:sz w:val="24"/>
          <w:szCs w:val="24"/>
          <w:lang w:eastAsia="es-ES_tradnl"/>
        </w:rPr>
        <w:t>incidente de nulidad contra el proveído del 29 de marzo de 2023, lo que implica que el trámite de la recusación</w:t>
      </w:r>
      <w:r w:rsidR="00857127">
        <w:rPr>
          <w:rFonts w:ascii="Arial" w:hAnsi="Arial" w:cs="Arial"/>
          <w:color w:val="000000" w:themeColor="text1"/>
          <w:sz w:val="24"/>
          <w:szCs w:val="24"/>
          <w:lang w:eastAsia="es-ES_tradnl"/>
        </w:rPr>
        <w:t>, particularmente,</w:t>
      </w:r>
      <w:r w:rsidR="00135168">
        <w:rPr>
          <w:rFonts w:ascii="Arial" w:hAnsi="Arial" w:cs="Arial"/>
          <w:color w:val="000000" w:themeColor="text1"/>
          <w:sz w:val="24"/>
          <w:szCs w:val="24"/>
          <w:lang w:eastAsia="es-ES_tradnl"/>
        </w:rPr>
        <w:t xml:space="preserve"> contra los magistrados de la Subsección B de la Sección Segunda</w:t>
      </w:r>
      <w:r w:rsidR="00857127">
        <w:rPr>
          <w:rFonts w:ascii="Arial" w:hAnsi="Arial" w:cs="Arial"/>
          <w:color w:val="000000" w:themeColor="text1"/>
          <w:sz w:val="24"/>
          <w:szCs w:val="24"/>
          <w:lang w:eastAsia="es-ES_tradnl"/>
        </w:rPr>
        <w:t>,</w:t>
      </w:r>
      <w:r w:rsidR="00135168">
        <w:rPr>
          <w:rFonts w:ascii="Arial" w:hAnsi="Arial" w:cs="Arial"/>
          <w:color w:val="000000" w:themeColor="text1"/>
          <w:sz w:val="24"/>
          <w:szCs w:val="24"/>
          <w:lang w:eastAsia="es-ES_tradnl"/>
        </w:rPr>
        <w:t xml:space="preserve"> aún está pendiente de </w:t>
      </w:r>
      <w:r w:rsidR="00DA7B20">
        <w:rPr>
          <w:rFonts w:ascii="Arial" w:hAnsi="Arial" w:cs="Arial"/>
          <w:color w:val="000000" w:themeColor="text1"/>
          <w:sz w:val="24"/>
          <w:szCs w:val="24"/>
          <w:lang w:eastAsia="es-ES_tradnl"/>
        </w:rPr>
        <w:t>definición y pronunciamiento por parte de los recusados</w:t>
      </w:r>
      <w:r w:rsidR="00240BA7">
        <w:rPr>
          <w:rFonts w:ascii="Arial" w:hAnsi="Arial" w:cs="Arial"/>
          <w:color w:val="000000" w:themeColor="text1"/>
          <w:sz w:val="24"/>
          <w:szCs w:val="24"/>
          <w:lang w:eastAsia="es-ES_tradnl"/>
        </w:rPr>
        <w:t xml:space="preserve">. </w:t>
      </w:r>
    </w:p>
    <w:p w14:paraId="7F2DCA59" w14:textId="08E36B94" w:rsidR="00EF5113" w:rsidRPr="00130BD2" w:rsidRDefault="00EF5113" w:rsidP="008D0383">
      <w:pPr>
        <w:keepNext/>
        <w:spacing w:after="240" w:line="240" w:lineRule="auto"/>
        <w:jc w:val="both"/>
        <w:textAlignment w:val="baseline"/>
        <w:rPr>
          <w:rFonts w:ascii="Arial" w:hAnsi="Arial" w:cs="Arial"/>
          <w:color w:val="000000" w:themeColor="text1"/>
          <w:sz w:val="24"/>
          <w:szCs w:val="24"/>
          <w:lang w:eastAsia="es-ES_tradnl"/>
        </w:rPr>
      </w:pPr>
      <w:r w:rsidRPr="00130BD2">
        <w:rPr>
          <w:rFonts w:ascii="Arial" w:hAnsi="Arial" w:cs="Arial"/>
          <w:color w:val="000000" w:themeColor="text1"/>
          <w:sz w:val="24"/>
          <w:szCs w:val="24"/>
          <w:lang w:eastAsia="es-ES_tradnl"/>
        </w:rPr>
        <w:t xml:space="preserve">De acuerdo con lo expuesto, este juez constitucional en aplicación del presupuesto de </w:t>
      </w:r>
      <w:r w:rsidRPr="00130BD2">
        <w:rPr>
          <w:rFonts w:ascii="Arial" w:hAnsi="Arial" w:cs="Arial"/>
          <w:b/>
          <w:bCs/>
          <w:color w:val="000000" w:themeColor="text1"/>
          <w:sz w:val="24"/>
          <w:szCs w:val="24"/>
          <w:lang w:eastAsia="es-ES_tradnl"/>
        </w:rPr>
        <w:t>subsidiariedad</w:t>
      </w:r>
      <w:r w:rsidRPr="00130BD2">
        <w:rPr>
          <w:rFonts w:ascii="Arial" w:hAnsi="Arial" w:cs="Arial"/>
          <w:color w:val="000000" w:themeColor="text1"/>
          <w:sz w:val="24"/>
          <w:szCs w:val="24"/>
          <w:lang w:eastAsia="es-ES_tradnl"/>
        </w:rPr>
        <w:t xml:space="preserve"> que rige la acción de tutela, no está llamado a inmiscuirse en el procedimiento de recusaciones que está</w:t>
      </w:r>
      <w:r w:rsidR="00240BA7">
        <w:rPr>
          <w:rFonts w:ascii="Arial" w:hAnsi="Arial" w:cs="Arial"/>
          <w:color w:val="000000" w:themeColor="text1"/>
          <w:sz w:val="24"/>
          <w:szCs w:val="24"/>
          <w:lang w:eastAsia="es-ES_tradnl"/>
        </w:rPr>
        <w:t>n</w:t>
      </w:r>
      <w:r w:rsidRPr="00130BD2">
        <w:rPr>
          <w:rFonts w:ascii="Arial" w:hAnsi="Arial" w:cs="Arial"/>
          <w:color w:val="000000" w:themeColor="text1"/>
          <w:sz w:val="24"/>
          <w:szCs w:val="24"/>
          <w:lang w:eastAsia="es-ES_tradnl"/>
        </w:rPr>
        <w:t xml:space="preserve"> aún en trámite y pendiente de ser definido por los jueces competentes</w:t>
      </w:r>
      <w:r w:rsidR="00703206" w:rsidRPr="00130BD2">
        <w:rPr>
          <w:rFonts w:ascii="Arial" w:hAnsi="Arial" w:cs="Arial"/>
          <w:color w:val="000000" w:themeColor="text1"/>
          <w:sz w:val="24"/>
          <w:szCs w:val="24"/>
          <w:lang w:eastAsia="es-ES_tradnl"/>
        </w:rPr>
        <w:t xml:space="preserve">, pues con ello desconocería la facultad que les asiste de pronunciarse sobre los recursos presentados, </w:t>
      </w:r>
      <w:r w:rsidR="00D8420B">
        <w:rPr>
          <w:rFonts w:ascii="Arial" w:hAnsi="Arial" w:cs="Arial"/>
          <w:color w:val="000000" w:themeColor="text1"/>
          <w:sz w:val="24"/>
          <w:szCs w:val="24"/>
          <w:lang w:eastAsia="es-ES_tradnl"/>
        </w:rPr>
        <w:t xml:space="preserve">de </w:t>
      </w:r>
      <w:r w:rsidR="00703206" w:rsidRPr="00130BD2">
        <w:rPr>
          <w:rFonts w:ascii="Arial" w:hAnsi="Arial" w:cs="Arial"/>
          <w:color w:val="000000" w:themeColor="text1"/>
          <w:sz w:val="24"/>
          <w:szCs w:val="24"/>
          <w:lang w:eastAsia="es-ES_tradnl"/>
        </w:rPr>
        <w:t xml:space="preserve">adelantar los procedimientos reglados que prevé la ley -como lo es el trámite de las recusaciones-, e, inclusive, </w:t>
      </w:r>
      <w:r w:rsidR="00143DD4">
        <w:rPr>
          <w:rFonts w:ascii="Arial" w:hAnsi="Arial" w:cs="Arial"/>
          <w:color w:val="000000" w:themeColor="text1"/>
          <w:sz w:val="24"/>
          <w:szCs w:val="24"/>
          <w:lang w:eastAsia="es-ES_tradnl"/>
        </w:rPr>
        <w:t xml:space="preserve">de </w:t>
      </w:r>
      <w:r w:rsidR="00C80306">
        <w:rPr>
          <w:rFonts w:ascii="Arial" w:hAnsi="Arial" w:cs="Arial"/>
          <w:color w:val="000000" w:themeColor="text1"/>
          <w:sz w:val="24"/>
          <w:szCs w:val="24"/>
          <w:lang w:eastAsia="es-ES_tradnl"/>
        </w:rPr>
        <w:t xml:space="preserve">decidir sobre el </w:t>
      </w:r>
      <w:r w:rsidR="00703206" w:rsidRPr="00130BD2">
        <w:rPr>
          <w:rFonts w:ascii="Arial" w:hAnsi="Arial" w:cs="Arial"/>
          <w:color w:val="000000" w:themeColor="text1"/>
          <w:sz w:val="24"/>
          <w:szCs w:val="24"/>
          <w:lang w:eastAsia="es-ES_tradnl"/>
        </w:rPr>
        <w:t xml:space="preserve">eventual envío del expediente al magistrado sustanciador de la Sección Quinta, para que </w:t>
      </w:r>
      <w:r w:rsidR="0034428F" w:rsidRPr="00130BD2">
        <w:rPr>
          <w:rFonts w:ascii="Arial" w:hAnsi="Arial" w:cs="Arial"/>
          <w:color w:val="000000" w:themeColor="text1"/>
          <w:sz w:val="24"/>
          <w:szCs w:val="24"/>
          <w:lang w:eastAsia="es-ES_tradnl"/>
        </w:rPr>
        <w:t xml:space="preserve">adelante las gestiones </w:t>
      </w:r>
      <w:r w:rsidR="00703206" w:rsidRPr="00130BD2">
        <w:rPr>
          <w:rFonts w:ascii="Arial" w:hAnsi="Arial" w:cs="Arial"/>
          <w:color w:val="000000" w:themeColor="text1"/>
          <w:sz w:val="24"/>
          <w:szCs w:val="24"/>
          <w:lang w:eastAsia="es-ES_tradnl"/>
        </w:rPr>
        <w:t>pertinente</w:t>
      </w:r>
      <w:r w:rsidR="0034428F" w:rsidRPr="00130BD2">
        <w:rPr>
          <w:rFonts w:ascii="Arial" w:hAnsi="Arial" w:cs="Arial"/>
          <w:color w:val="000000" w:themeColor="text1"/>
          <w:sz w:val="24"/>
          <w:szCs w:val="24"/>
          <w:lang w:eastAsia="es-ES_tradnl"/>
        </w:rPr>
        <w:t xml:space="preserve">s. </w:t>
      </w:r>
    </w:p>
    <w:p w14:paraId="6FF0F850" w14:textId="4E2521C8" w:rsidR="00D54CAC" w:rsidRPr="00130BD2" w:rsidRDefault="00D54CAC" w:rsidP="008D0383">
      <w:pPr>
        <w:keepNext/>
        <w:spacing w:after="240" w:line="240" w:lineRule="auto"/>
        <w:jc w:val="both"/>
        <w:textAlignment w:val="baseline"/>
        <w:rPr>
          <w:rFonts w:ascii="Arial" w:hAnsi="Arial" w:cs="Arial"/>
          <w:color w:val="000000" w:themeColor="text1"/>
          <w:sz w:val="24"/>
          <w:szCs w:val="24"/>
          <w:lang w:eastAsia="es-ES_tradnl"/>
        </w:rPr>
      </w:pPr>
      <w:r w:rsidRPr="00130BD2">
        <w:rPr>
          <w:rFonts w:ascii="Arial" w:hAnsi="Arial" w:cs="Arial"/>
          <w:color w:val="000000" w:themeColor="text1"/>
          <w:sz w:val="24"/>
          <w:szCs w:val="24"/>
          <w:lang w:eastAsia="es-ES_tradnl"/>
        </w:rPr>
        <w:t xml:space="preserve">En línea con lo anterior, esta judicatura reconoce que la finalidad del actor constitucional </w:t>
      </w:r>
      <w:r w:rsidR="00FC189D">
        <w:rPr>
          <w:rFonts w:ascii="Arial" w:hAnsi="Arial" w:cs="Arial"/>
          <w:color w:val="000000" w:themeColor="text1"/>
          <w:sz w:val="24"/>
          <w:szCs w:val="24"/>
          <w:lang w:eastAsia="es-ES_tradnl"/>
        </w:rPr>
        <w:t>a</w:t>
      </w:r>
      <w:r w:rsidRPr="00130BD2">
        <w:rPr>
          <w:rFonts w:ascii="Arial" w:hAnsi="Arial" w:cs="Arial"/>
          <w:color w:val="000000" w:themeColor="text1"/>
          <w:sz w:val="24"/>
          <w:szCs w:val="24"/>
          <w:lang w:eastAsia="es-ES_tradnl"/>
        </w:rPr>
        <w:t xml:space="preserve">l interponer el presente amparo es </w:t>
      </w:r>
      <w:r w:rsidR="007802DF">
        <w:rPr>
          <w:rFonts w:ascii="Arial" w:hAnsi="Arial" w:cs="Arial"/>
          <w:color w:val="000000" w:themeColor="text1"/>
          <w:sz w:val="24"/>
          <w:szCs w:val="24"/>
          <w:lang w:eastAsia="es-ES_tradnl"/>
        </w:rPr>
        <w:t xml:space="preserve">ponerle fin a una serie de </w:t>
      </w:r>
      <w:r w:rsidR="007802DF" w:rsidRPr="00130BD2">
        <w:rPr>
          <w:rFonts w:ascii="Arial" w:hAnsi="Arial" w:cs="Arial"/>
          <w:color w:val="000000" w:themeColor="text1"/>
          <w:sz w:val="24"/>
          <w:szCs w:val="24"/>
          <w:lang w:eastAsia="es-ES_tradnl"/>
        </w:rPr>
        <w:t>“dilaciones</w:t>
      </w:r>
      <w:r w:rsidRPr="00130BD2">
        <w:rPr>
          <w:rFonts w:ascii="Arial" w:hAnsi="Arial" w:cs="Arial"/>
          <w:color w:val="000000" w:themeColor="text1"/>
          <w:sz w:val="24"/>
          <w:szCs w:val="24"/>
          <w:lang w:eastAsia="es-ES_tradnl"/>
        </w:rPr>
        <w:t xml:space="preserve"> persistentes” con ocasión de la interposición de múltiples recusaciones, sin embargo</w:t>
      </w:r>
      <w:r w:rsidR="00F26239">
        <w:rPr>
          <w:rFonts w:ascii="Arial" w:hAnsi="Arial" w:cs="Arial"/>
          <w:color w:val="000000" w:themeColor="text1"/>
          <w:sz w:val="24"/>
          <w:szCs w:val="24"/>
          <w:lang w:eastAsia="es-ES_tradnl"/>
        </w:rPr>
        <w:t xml:space="preserve">, </w:t>
      </w:r>
      <w:r w:rsidRPr="00130BD2">
        <w:rPr>
          <w:rFonts w:ascii="Arial" w:hAnsi="Arial" w:cs="Arial"/>
          <w:color w:val="000000" w:themeColor="text1"/>
          <w:sz w:val="24"/>
          <w:szCs w:val="24"/>
          <w:lang w:eastAsia="es-ES_tradnl"/>
        </w:rPr>
        <w:t>para ello</w:t>
      </w:r>
      <w:r w:rsidR="00F26239">
        <w:rPr>
          <w:rFonts w:ascii="Arial" w:hAnsi="Arial" w:cs="Arial"/>
          <w:color w:val="000000" w:themeColor="text1"/>
          <w:sz w:val="24"/>
          <w:szCs w:val="24"/>
          <w:lang w:eastAsia="es-ES_tradnl"/>
        </w:rPr>
        <w:t>,</w:t>
      </w:r>
      <w:r w:rsidRPr="00130BD2">
        <w:rPr>
          <w:rFonts w:ascii="Arial" w:hAnsi="Arial" w:cs="Arial"/>
          <w:color w:val="000000" w:themeColor="text1"/>
          <w:sz w:val="24"/>
          <w:szCs w:val="24"/>
          <w:lang w:eastAsia="es-ES_tradnl"/>
        </w:rPr>
        <w:t xml:space="preserve"> la acción de tutela no está prevista como </w:t>
      </w:r>
      <w:r w:rsidR="00C437FA">
        <w:rPr>
          <w:rFonts w:ascii="Arial" w:hAnsi="Arial" w:cs="Arial"/>
          <w:color w:val="000000" w:themeColor="text1"/>
          <w:sz w:val="24"/>
          <w:szCs w:val="24"/>
          <w:lang w:eastAsia="es-ES_tradnl"/>
        </w:rPr>
        <w:t>un</w:t>
      </w:r>
      <w:r w:rsidRPr="00130BD2">
        <w:rPr>
          <w:rFonts w:ascii="Arial" w:hAnsi="Arial" w:cs="Arial"/>
          <w:color w:val="000000" w:themeColor="text1"/>
          <w:sz w:val="24"/>
          <w:szCs w:val="24"/>
          <w:lang w:eastAsia="es-ES_tradnl"/>
        </w:rPr>
        <w:t xml:space="preserve"> mecanismo idóneo y eficaz, pues el señor Díaz Camacho podrá solicitar la i</w:t>
      </w:r>
      <w:r w:rsidR="005B5DAF">
        <w:rPr>
          <w:rFonts w:ascii="Arial" w:hAnsi="Arial" w:cs="Arial"/>
          <w:color w:val="000000" w:themeColor="text1"/>
          <w:sz w:val="24"/>
          <w:szCs w:val="24"/>
          <w:lang w:eastAsia="es-ES_tradnl"/>
        </w:rPr>
        <w:t xml:space="preserve">mposición </w:t>
      </w:r>
      <w:r w:rsidRPr="00130BD2">
        <w:rPr>
          <w:rFonts w:ascii="Arial" w:hAnsi="Arial" w:cs="Arial"/>
          <w:color w:val="000000" w:themeColor="text1"/>
          <w:sz w:val="24"/>
          <w:szCs w:val="24"/>
          <w:lang w:eastAsia="es-ES_tradnl"/>
        </w:rPr>
        <w:t>de</w:t>
      </w:r>
      <w:r w:rsidR="005B5DAF">
        <w:rPr>
          <w:rFonts w:ascii="Arial" w:hAnsi="Arial" w:cs="Arial"/>
          <w:color w:val="000000" w:themeColor="text1"/>
          <w:sz w:val="24"/>
          <w:szCs w:val="24"/>
          <w:lang w:eastAsia="es-ES_tradnl"/>
        </w:rPr>
        <w:t xml:space="preserve"> </w:t>
      </w:r>
      <w:r w:rsidRPr="00130BD2">
        <w:rPr>
          <w:rFonts w:ascii="Arial" w:hAnsi="Arial" w:cs="Arial"/>
          <w:color w:val="000000" w:themeColor="text1"/>
          <w:sz w:val="24"/>
          <w:szCs w:val="24"/>
          <w:lang w:eastAsia="es-ES_tradnl"/>
        </w:rPr>
        <w:t>una sanción conforme está previsto en el artículo 295 del CPACA</w:t>
      </w:r>
      <w:r w:rsidR="00C437FA">
        <w:rPr>
          <w:rStyle w:val="Refdenotaalpie"/>
          <w:rFonts w:ascii="Arial" w:hAnsi="Arial" w:cs="Arial"/>
          <w:color w:val="000000" w:themeColor="text1"/>
          <w:sz w:val="24"/>
          <w:szCs w:val="24"/>
          <w:lang w:eastAsia="es-ES_tradnl"/>
        </w:rPr>
        <w:footnoteReference w:id="71"/>
      </w:r>
      <w:r w:rsidRPr="00130BD2">
        <w:rPr>
          <w:rFonts w:ascii="Arial" w:hAnsi="Arial" w:cs="Arial"/>
          <w:color w:val="000000" w:themeColor="text1"/>
          <w:sz w:val="24"/>
          <w:szCs w:val="24"/>
          <w:lang w:eastAsia="es-ES_tradnl"/>
        </w:rPr>
        <w:t>,</w:t>
      </w:r>
      <w:r w:rsidR="00E10D62">
        <w:rPr>
          <w:rFonts w:ascii="Arial" w:hAnsi="Arial" w:cs="Arial"/>
          <w:color w:val="000000" w:themeColor="text1"/>
          <w:sz w:val="24"/>
          <w:szCs w:val="24"/>
          <w:lang w:eastAsia="es-ES_tradnl"/>
        </w:rPr>
        <w:t xml:space="preserve"> conminar al juez para que adopte </w:t>
      </w:r>
      <w:r w:rsidR="00896CAB">
        <w:rPr>
          <w:rFonts w:ascii="Arial" w:hAnsi="Arial" w:cs="Arial"/>
          <w:color w:val="000000" w:themeColor="text1"/>
          <w:sz w:val="24"/>
          <w:szCs w:val="24"/>
          <w:lang w:eastAsia="es-ES_tradnl"/>
        </w:rPr>
        <w:t xml:space="preserve">la </w:t>
      </w:r>
      <w:r w:rsidR="00240BA7">
        <w:rPr>
          <w:rFonts w:ascii="Arial" w:hAnsi="Arial" w:cs="Arial"/>
          <w:color w:val="000000" w:themeColor="text1"/>
          <w:sz w:val="24"/>
          <w:szCs w:val="24"/>
          <w:lang w:eastAsia="es-ES_tradnl"/>
        </w:rPr>
        <w:t>estipulada</w:t>
      </w:r>
      <w:r w:rsidR="00896CAB">
        <w:rPr>
          <w:rFonts w:ascii="Arial" w:hAnsi="Arial" w:cs="Arial"/>
          <w:color w:val="000000" w:themeColor="text1"/>
          <w:sz w:val="24"/>
          <w:szCs w:val="24"/>
          <w:lang w:eastAsia="es-ES_tradnl"/>
        </w:rPr>
        <w:t xml:space="preserve"> en el numeral 5 del artículo 60 de la Ley 270 de 1996</w:t>
      </w:r>
      <w:r w:rsidR="00660399">
        <w:rPr>
          <w:rStyle w:val="Refdenotaalpie"/>
          <w:rFonts w:ascii="Arial" w:hAnsi="Arial" w:cs="Arial"/>
          <w:color w:val="000000" w:themeColor="text1"/>
          <w:sz w:val="24"/>
          <w:szCs w:val="24"/>
          <w:lang w:eastAsia="es-ES_tradnl"/>
        </w:rPr>
        <w:footnoteReference w:id="72"/>
      </w:r>
      <w:r w:rsidR="00896CAB">
        <w:rPr>
          <w:rFonts w:ascii="Arial" w:hAnsi="Arial" w:cs="Arial"/>
          <w:color w:val="000000" w:themeColor="text1"/>
          <w:sz w:val="24"/>
          <w:szCs w:val="24"/>
          <w:lang w:eastAsia="es-ES_tradnl"/>
        </w:rPr>
        <w:t>,</w:t>
      </w:r>
      <w:r w:rsidRPr="00130BD2">
        <w:rPr>
          <w:rFonts w:ascii="Arial" w:hAnsi="Arial" w:cs="Arial"/>
          <w:color w:val="000000" w:themeColor="text1"/>
          <w:sz w:val="24"/>
          <w:szCs w:val="24"/>
          <w:lang w:eastAsia="es-ES_tradnl"/>
        </w:rPr>
        <w:t xml:space="preserve"> así como presentar una queja -como forma de iniciación de la actuación disciplinaria- ante la Comisión Nacional de Disciplina Judicial y </w:t>
      </w:r>
      <w:r w:rsidR="00AC0BE6" w:rsidRPr="00130BD2">
        <w:rPr>
          <w:rFonts w:ascii="Arial" w:hAnsi="Arial" w:cs="Arial"/>
          <w:color w:val="000000" w:themeColor="text1"/>
          <w:sz w:val="24"/>
          <w:szCs w:val="24"/>
          <w:lang w:eastAsia="es-ES_tradnl"/>
        </w:rPr>
        <w:t>c</w:t>
      </w:r>
      <w:r w:rsidRPr="00130BD2">
        <w:rPr>
          <w:rFonts w:ascii="Arial" w:hAnsi="Arial" w:cs="Arial"/>
          <w:color w:val="000000" w:themeColor="text1"/>
          <w:sz w:val="24"/>
          <w:szCs w:val="24"/>
          <w:lang w:eastAsia="es-ES_tradnl"/>
        </w:rPr>
        <w:t xml:space="preserve">omisiones </w:t>
      </w:r>
      <w:r w:rsidR="00AC0BE6" w:rsidRPr="00130BD2">
        <w:rPr>
          <w:rFonts w:ascii="Arial" w:hAnsi="Arial" w:cs="Arial"/>
          <w:color w:val="000000" w:themeColor="text1"/>
          <w:sz w:val="24"/>
          <w:szCs w:val="24"/>
          <w:lang w:eastAsia="es-ES_tradnl"/>
        </w:rPr>
        <w:t>s</w:t>
      </w:r>
      <w:r w:rsidRPr="00130BD2">
        <w:rPr>
          <w:rFonts w:ascii="Arial" w:hAnsi="Arial" w:cs="Arial"/>
          <w:color w:val="000000" w:themeColor="text1"/>
          <w:sz w:val="24"/>
          <w:szCs w:val="24"/>
          <w:lang w:eastAsia="es-ES_tradnl"/>
        </w:rPr>
        <w:t>eccionales</w:t>
      </w:r>
      <w:r w:rsidR="000B6C84">
        <w:rPr>
          <w:rFonts w:ascii="Arial" w:hAnsi="Arial" w:cs="Arial"/>
          <w:color w:val="000000" w:themeColor="text1"/>
          <w:sz w:val="24"/>
          <w:szCs w:val="24"/>
          <w:lang w:eastAsia="es-ES_tradnl"/>
        </w:rPr>
        <w:t xml:space="preserve"> respectivas</w:t>
      </w:r>
      <w:r w:rsidRPr="00130BD2">
        <w:rPr>
          <w:rFonts w:ascii="Arial" w:hAnsi="Arial" w:cs="Arial"/>
          <w:color w:val="000000" w:themeColor="text1"/>
          <w:sz w:val="24"/>
          <w:szCs w:val="24"/>
          <w:lang w:eastAsia="es-ES_tradnl"/>
        </w:rPr>
        <w:t>, con el fin de que se investigue</w:t>
      </w:r>
      <w:r w:rsidR="00AC0BE6" w:rsidRPr="00130BD2">
        <w:rPr>
          <w:rFonts w:ascii="Arial" w:hAnsi="Arial" w:cs="Arial"/>
          <w:color w:val="000000" w:themeColor="text1"/>
          <w:sz w:val="24"/>
          <w:szCs w:val="24"/>
          <w:lang w:eastAsia="es-ES_tradnl"/>
        </w:rPr>
        <w:t>n</w:t>
      </w:r>
      <w:r w:rsidRPr="00130BD2">
        <w:rPr>
          <w:rFonts w:ascii="Arial" w:hAnsi="Arial" w:cs="Arial"/>
          <w:color w:val="000000" w:themeColor="text1"/>
          <w:sz w:val="24"/>
          <w:szCs w:val="24"/>
          <w:lang w:eastAsia="es-ES_tradnl"/>
        </w:rPr>
        <w:t xml:space="preserve"> las faltas</w:t>
      </w:r>
      <w:r w:rsidR="00AC0BE6" w:rsidRPr="00130BD2">
        <w:rPr>
          <w:rFonts w:ascii="Arial" w:hAnsi="Arial" w:cs="Arial"/>
          <w:color w:val="000000" w:themeColor="text1"/>
          <w:sz w:val="24"/>
          <w:szCs w:val="24"/>
          <w:lang w:eastAsia="es-ES_tradnl"/>
        </w:rPr>
        <w:t xml:space="preserve"> en que habría incurrido la apoderada del demandado, y que están</w:t>
      </w:r>
      <w:r w:rsidRPr="00130BD2">
        <w:rPr>
          <w:rFonts w:ascii="Arial" w:hAnsi="Arial" w:cs="Arial"/>
          <w:color w:val="000000" w:themeColor="text1"/>
          <w:sz w:val="24"/>
          <w:szCs w:val="24"/>
          <w:lang w:eastAsia="es-ES_tradnl"/>
        </w:rPr>
        <w:t xml:space="preserve"> contenidas en la Ley 1123 de 2007</w:t>
      </w:r>
      <w:r w:rsidR="00BF7C36">
        <w:rPr>
          <w:rStyle w:val="Refdenotaalpie"/>
          <w:rFonts w:ascii="Arial" w:hAnsi="Arial" w:cs="Arial"/>
          <w:color w:val="000000" w:themeColor="text1"/>
          <w:sz w:val="24"/>
          <w:szCs w:val="24"/>
          <w:lang w:eastAsia="es-ES_tradnl"/>
        </w:rPr>
        <w:footnoteReference w:id="73"/>
      </w:r>
      <w:r w:rsidR="00AC0BE6" w:rsidRPr="00130BD2">
        <w:rPr>
          <w:rFonts w:ascii="Arial" w:hAnsi="Arial" w:cs="Arial"/>
          <w:color w:val="000000" w:themeColor="text1"/>
          <w:sz w:val="24"/>
          <w:szCs w:val="24"/>
          <w:lang w:eastAsia="es-ES_tradnl"/>
        </w:rPr>
        <w:t xml:space="preserve">. </w:t>
      </w:r>
    </w:p>
    <w:p w14:paraId="748CE57E" w14:textId="20BA07EB" w:rsidR="00103563" w:rsidRDefault="00B00891"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En este punto</w:t>
      </w:r>
      <w:r w:rsidR="00103563" w:rsidRPr="00130BD2">
        <w:rPr>
          <w:rFonts w:ascii="Arial" w:hAnsi="Arial" w:cs="Arial"/>
          <w:color w:val="000000" w:themeColor="text1"/>
          <w:sz w:val="24"/>
          <w:szCs w:val="24"/>
          <w:lang w:eastAsia="es-ES_tradnl"/>
        </w:rPr>
        <w:t xml:space="preserve">, </w:t>
      </w:r>
      <w:r w:rsidR="00C437FA">
        <w:rPr>
          <w:rFonts w:ascii="Arial" w:hAnsi="Arial" w:cs="Arial"/>
          <w:color w:val="000000" w:themeColor="text1"/>
          <w:sz w:val="24"/>
          <w:szCs w:val="24"/>
          <w:lang w:eastAsia="es-ES_tradnl"/>
        </w:rPr>
        <w:t xml:space="preserve">conviene para esta magistratura </w:t>
      </w:r>
      <w:r w:rsidR="00240BA7">
        <w:rPr>
          <w:rFonts w:ascii="Arial" w:hAnsi="Arial" w:cs="Arial"/>
          <w:color w:val="000000" w:themeColor="text1"/>
          <w:sz w:val="24"/>
          <w:szCs w:val="24"/>
          <w:lang w:eastAsia="es-ES_tradnl"/>
        </w:rPr>
        <w:t xml:space="preserve">advertir </w:t>
      </w:r>
      <w:r w:rsidR="00103563" w:rsidRPr="00130BD2">
        <w:rPr>
          <w:rFonts w:ascii="Arial" w:hAnsi="Arial" w:cs="Arial"/>
          <w:color w:val="000000" w:themeColor="text1"/>
          <w:sz w:val="24"/>
          <w:szCs w:val="24"/>
          <w:lang w:eastAsia="es-ES_tradnl"/>
        </w:rPr>
        <w:t xml:space="preserve">que en el curso del trámite de las recusaciones y conforme se </w:t>
      </w:r>
      <w:r w:rsidR="00DA7B20">
        <w:rPr>
          <w:rFonts w:ascii="Arial" w:hAnsi="Arial" w:cs="Arial"/>
          <w:color w:val="000000" w:themeColor="text1"/>
          <w:sz w:val="24"/>
          <w:szCs w:val="24"/>
          <w:lang w:eastAsia="es-ES_tradnl"/>
        </w:rPr>
        <w:t xml:space="preserve">expuso en los </w:t>
      </w:r>
      <w:r w:rsidR="00103563" w:rsidRPr="00130BD2">
        <w:rPr>
          <w:rFonts w:ascii="Arial" w:hAnsi="Arial" w:cs="Arial"/>
          <w:color w:val="000000" w:themeColor="text1"/>
          <w:sz w:val="24"/>
          <w:szCs w:val="24"/>
          <w:lang w:eastAsia="es-ES_tradnl"/>
        </w:rPr>
        <w:t>hechos</w:t>
      </w:r>
      <w:r w:rsidR="007A30D9">
        <w:rPr>
          <w:rFonts w:ascii="Arial" w:hAnsi="Arial" w:cs="Arial"/>
          <w:color w:val="000000" w:themeColor="text1"/>
          <w:sz w:val="24"/>
          <w:szCs w:val="24"/>
          <w:lang w:eastAsia="es-ES_tradnl"/>
        </w:rPr>
        <w:t xml:space="preserve">, </w:t>
      </w:r>
      <w:r w:rsidR="00CD61B8">
        <w:rPr>
          <w:rFonts w:ascii="Arial" w:hAnsi="Arial" w:cs="Arial"/>
          <w:color w:val="000000" w:themeColor="text1"/>
          <w:sz w:val="24"/>
          <w:szCs w:val="24"/>
          <w:lang w:eastAsia="es-ES_tradnl"/>
        </w:rPr>
        <w:t>la Subsección B de la Sección Segunda</w:t>
      </w:r>
      <w:r w:rsidR="0062045A" w:rsidRPr="00130BD2">
        <w:rPr>
          <w:rFonts w:ascii="Arial" w:hAnsi="Arial" w:cs="Arial"/>
          <w:color w:val="000000" w:themeColor="text1"/>
          <w:sz w:val="24"/>
          <w:szCs w:val="24"/>
          <w:lang w:eastAsia="es-ES_tradnl"/>
        </w:rPr>
        <w:t>, en sus providencias del 9 de febrero de 2023</w:t>
      </w:r>
      <w:r w:rsidR="00CD61B8">
        <w:rPr>
          <w:rFonts w:ascii="Arial" w:hAnsi="Arial" w:cs="Arial"/>
          <w:color w:val="000000" w:themeColor="text1"/>
          <w:sz w:val="24"/>
          <w:szCs w:val="24"/>
          <w:lang w:eastAsia="es-ES_tradnl"/>
        </w:rPr>
        <w:t xml:space="preserve"> y del 29 de marzo siguiente</w:t>
      </w:r>
      <w:r w:rsidR="0062045A" w:rsidRPr="00130BD2">
        <w:rPr>
          <w:rFonts w:ascii="Arial" w:hAnsi="Arial" w:cs="Arial"/>
          <w:color w:val="000000" w:themeColor="text1"/>
          <w:sz w:val="24"/>
          <w:szCs w:val="24"/>
          <w:lang w:eastAsia="es-ES_tradnl"/>
        </w:rPr>
        <w:t>, orden</w:t>
      </w:r>
      <w:r w:rsidR="007A30D9">
        <w:rPr>
          <w:rFonts w:ascii="Arial" w:hAnsi="Arial" w:cs="Arial"/>
          <w:color w:val="000000" w:themeColor="text1"/>
          <w:sz w:val="24"/>
          <w:szCs w:val="24"/>
          <w:lang w:eastAsia="es-ES_tradnl"/>
        </w:rPr>
        <w:t>ó</w:t>
      </w:r>
      <w:r w:rsidR="0062045A" w:rsidRPr="00130BD2">
        <w:rPr>
          <w:rFonts w:ascii="Arial" w:hAnsi="Arial" w:cs="Arial"/>
          <w:color w:val="000000" w:themeColor="text1"/>
          <w:sz w:val="24"/>
          <w:szCs w:val="24"/>
          <w:lang w:eastAsia="es-ES_tradnl"/>
        </w:rPr>
        <w:t xml:space="preserve"> la remisión de copia del expediente electoral a la Comisión Seccional de Disciplina Judicial de Sucre, de lo que se colige que el asunto </w:t>
      </w:r>
      <w:r w:rsidR="007A30D9">
        <w:rPr>
          <w:rFonts w:ascii="Arial" w:hAnsi="Arial" w:cs="Arial"/>
          <w:color w:val="000000" w:themeColor="text1"/>
          <w:sz w:val="24"/>
          <w:szCs w:val="24"/>
          <w:lang w:eastAsia="es-ES_tradnl"/>
        </w:rPr>
        <w:t>de potencial incidencia disciplinaria</w:t>
      </w:r>
      <w:r w:rsidR="00EB578F">
        <w:rPr>
          <w:rFonts w:ascii="Arial" w:hAnsi="Arial" w:cs="Arial"/>
          <w:color w:val="000000" w:themeColor="text1"/>
          <w:sz w:val="24"/>
          <w:szCs w:val="24"/>
          <w:lang w:eastAsia="es-ES_tradnl"/>
        </w:rPr>
        <w:t xml:space="preserve"> </w:t>
      </w:r>
      <w:r w:rsidR="00C437FA">
        <w:rPr>
          <w:rFonts w:ascii="Arial" w:hAnsi="Arial" w:cs="Arial"/>
          <w:color w:val="000000" w:themeColor="text1"/>
          <w:sz w:val="24"/>
          <w:szCs w:val="24"/>
          <w:lang w:eastAsia="es-ES_tradnl"/>
        </w:rPr>
        <w:t xml:space="preserve">ya es </w:t>
      </w:r>
      <w:r w:rsidR="007A30D9">
        <w:rPr>
          <w:rFonts w:ascii="Arial" w:hAnsi="Arial" w:cs="Arial"/>
          <w:color w:val="000000" w:themeColor="text1"/>
          <w:sz w:val="24"/>
          <w:szCs w:val="24"/>
          <w:lang w:eastAsia="es-ES_tradnl"/>
        </w:rPr>
        <w:t>objeto</w:t>
      </w:r>
      <w:r w:rsidR="00C437FA">
        <w:rPr>
          <w:rFonts w:ascii="Arial" w:hAnsi="Arial" w:cs="Arial"/>
          <w:color w:val="000000" w:themeColor="text1"/>
          <w:sz w:val="24"/>
          <w:szCs w:val="24"/>
          <w:lang w:eastAsia="es-ES_tradnl"/>
        </w:rPr>
        <w:t xml:space="preserve"> de conocimiento por la autoridad de dicha materia, </w:t>
      </w:r>
      <w:r w:rsidR="0062045A" w:rsidRPr="00130BD2">
        <w:rPr>
          <w:rFonts w:ascii="Arial" w:hAnsi="Arial" w:cs="Arial"/>
          <w:color w:val="000000" w:themeColor="text1"/>
          <w:sz w:val="24"/>
          <w:szCs w:val="24"/>
          <w:lang w:eastAsia="es-ES_tradnl"/>
        </w:rPr>
        <w:t>por lo que la solicitud de amparo tampoco fungiría como mecanismo para agilizar las investigaciones ya iniciadas, pues ello deberá surtirse directamente ante las autoridades disciplinarias competentes</w:t>
      </w:r>
      <w:r w:rsidR="00C437FA">
        <w:rPr>
          <w:rFonts w:ascii="Arial" w:hAnsi="Arial" w:cs="Arial"/>
          <w:color w:val="000000" w:themeColor="text1"/>
          <w:sz w:val="24"/>
          <w:szCs w:val="24"/>
          <w:lang w:eastAsia="es-ES_tradnl"/>
        </w:rPr>
        <w:t xml:space="preserve"> y por los mecanismos previstos para tal fin. </w:t>
      </w:r>
    </w:p>
    <w:p w14:paraId="339C9D4A" w14:textId="5D57D3F6" w:rsidR="00540B42" w:rsidRDefault="008035D9"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Conviene destacar que,</w:t>
      </w:r>
      <w:r w:rsidR="001C3E04">
        <w:rPr>
          <w:rFonts w:ascii="Arial" w:hAnsi="Arial" w:cs="Arial"/>
          <w:color w:val="000000" w:themeColor="text1"/>
          <w:sz w:val="24"/>
          <w:szCs w:val="24"/>
          <w:lang w:eastAsia="es-ES_tradnl"/>
        </w:rPr>
        <w:t xml:space="preserve"> si bien </w:t>
      </w:r>
      <w:r>
        <w:rPr>
          <w:rFonts w:ascii="Arial" w:hAnsi="Arial" w:cs="Arial"/>
          <w:color w:val="000000" w:themeColor="text1"/>
          <w:sz w:val="24"/>
          <w:szCs w:val="24"/>
          <w:lang w:eastAsia="es-ES_tradnl"/>
        </w:rPr>
        <w:t xml:space="preserve">el hoy accionante </w:t>
      </w:r>
      <w:r w:rsidR="001C3E04">
        <w:rPr>
          <w:rFonts w:ascii="Arial" w:hAnsi="Arial" w:cs="Arial"/>
          <w:color w:val="000000" w:themeColor="text1"/>
          <w:sz w:val="24"/>
          <w:szCs w:val="24"/>
          <w:lang w:eastAsia="es-ES_tradnl"/>
        </w:rPr>
        <w:t>fue diligente</w:t>
      </w:r>
      <w:r w:rsidR="00233E5C">
        <w:rPr>
          <w:rFonts w:ascii="Arial" w:hAnsi="Arial" w:cs="Arial"/>
          <w:color w:val="000000" w:themeColor="text1"/>
          <w:sz w:val="24"/>
          <w:szCs w:val="24"/>
          <w:lang w:eastAsia="es-ES_tradnl"/>
        </w:rPr>
        <w:t xml:space="preserve"> en el curso del trámite de las recusaciones</w:t>
      </w:r>
      <w:r>
        <w:rPr>
          <w:rFonts w:ascii="Arial" w:hAnsi="Arial" w:cs="Arial"/>
          <w:color w:val="000000" w:themeColor="text1"/>
          <w:sz w:val="24"/>
          <w:szCs w:val="24"/>
          <w:lang w:eastAsia="es-ES_tradnl"/>
        </w:rPr>
        <w:t>,</w:t>
      </w:r>
      <w:r w:rsidR="00233E5C">
        <w:rPr>
          <w:rFonts w:ascii="Arial" w:hAnsi="Arial" w:cs="Arial"/>
          <w:color w:val="000000" w:themeColor="text1"/>
          <w:sz w:val="24"/>
          <w:szCs w:val="24"/>
          <w:lang w:eastAsia="es-ES_tradnl"/>
        </w:rPr>
        <w:t xml:space="preserve"> en la medida en que radicó múltiples memoriales en los </w:t>
      </w:r>
      <w:r w:rsidR="00066227">
        <w:rPr>
          <w:rFonts w:ascii="Arial" w:hAnsi="Arial" w:cs="Arial"/>
          <w:color w:val="000000" w:themeColor="text1"/>
          <w:sz w:val="24"/>
          <w:szCs w:val="24"/>
          <w:lang w:eastAsia="es-ES_tradnl"/>
        </w:rPr>
        <w:t xml:space="preserve">que </w:t>
      </w:r>
      <w:r w:rsidR="00223055">
        <w:rPr>
          <w:rFonts w:ascii="Arial" w:hAnsi="Arial" w:cs="Arial"/>
          <w:color w:val="000000" w:themeColor="text1"/>
          <w:sz w:val="24"/>
          <w:szCs w:val="24"/>
          <w:lang w:eastAsia="es-ES_tradnl"/>
        </w:rPr>
        <w:t xml:space="preserve">manifestó, </w:t>
      </w:r>
      <w:r w:rsidR="00233E5C">
        <w:rPr>
          <w:rFonts w:ascii="Arial" w:hAnsi="Arial" w:cs="Arial"/>
          <w:color w:val="000000" w:themeColor="text1"/>
          <w:sz w:val="24"/>
          <w:szCs w:val="24"/>
          <w:lang w:eastAsia="es-ES_tradnl"/>
        </w:rPr>
        <w:t>ante los jueces competentes</w:t>
      </w:r>
      <w:r w:rsidR="00223055">
        <w:rPr>
          <w:rFonts w:ascii="Arial" w:hAnsi="Arial" w:cs="Arial"/>
          <w:color w:val="000000" w:themeColor="text1"/>
          <w:sz w:val="24"/>
          <w:szCs w:val="24"/>
          <w:lang w:eastAsia="es-ES_tradnl"/>
        </w:rPr>
        <w:t xml:space="preserve">, </w:t>
      </w:r>
      <w:r w:rsidR="00233E5C">
        <w:rPr>
          <w:rFonts w:ascii="Arial" w:hAnsi="Arial" w:cs="Arial"/>
          <w:color w:val="000000" w:themeColor="text1"/>
          <w:sz w:val="24"/>
          <w:szCs w:val="24"/>
          <w:lang w:eastAsia="es-ES_tradnl"/>
        </w:rPr>
        <w:t>la necesidad de rechazar</w:t>
      </w:r>
      <w:r w:rsidR="00DA7B20">
        <w:rPr>
          <w:rFonts w:ascii="Arial" w:hAnsi="Arial" w:cs="Arial"/>
          <w:color w:val="000000" w:themeColor="text1"/>
          <w:sz w:val="24"/>
          <w:szCs w:val="24"/>
          <w:lang w:eastAsia="es-ES_tradnl"/>
        </w:rPr>
        <w:t>las</w:t>
      </w:r>
      <w:r w:rsidR="00233E5C">
        <w:rPr>
          <w:rFonts w:ascii="Arial" w:hAnsi="Arial" w:cs="Arial"/>
          <w:color w:val="000000" w:themeColor="text1"/>
          <w:sz w:val="24"/>
          <w:szCs w:val="24"/>
          <w:lang w:eastAsia="es-ES_tradnl"/>
        </w:rPr>
        <w:t xml:space="preserve"> de plano, por improcedentes</w:t>
      </w:r>
      <w:r w:rsidR="00DA7B20">
        <w:rPr>
          <w:rFonts w:ascii="Arial" w:hAnsi="Arial" w:cs="Arial"/>
          <w:color w:val="000000" w:themeColor="text1"/>
          <w:sz w:val="24"/>
          <w:szCs w:val="24"/>
          <w:lang w:eastAsia="es-ES_tradnl"/>
        </w:rPr>
        <w:t xml:space="preserve"> y </w:t>
      </w:r>
      <w:r w:rsidR="00240BA7">
        <w:rPr>
          <w:rFonts w:ascii="Arial" w:hAnsi="Arial" w:cs="Arial"/>
          <w:color w:val="000000" w:themeColor="text1"/>
          <w:sz w:val="24"/>
          <w:szCs w:val="24"/>
          <w:lang w:eastAsia="es-ES_tradnl"/>
        </w:rPr>
        <w:t>temerarias</w:t>
      </w:r>
      <w:r w:rsidR="00233E5C">
        <w:rPr>
          <w:rFonts w:ascii="Arial" w:hAnsi="Arial" w:cs="Arial"/>
          <w:color w:val="000000" w:themeColor="text1"/>
          <w:sz w:val="24"/>
          <w:szCs w:val="24"/>
          <w:lang w:eastAsia="es-ES_tradnl"/>
        </w:rPr>
        <w:t>,</w:t>
      </w:r>
      <w:r w:rsidR="00223055">
        <w:rPr>
          <w:rFonts w:ascii="Arial" w:hAnsi="Arial" w:cs="Arial"/>
          <w:color w:val="000000" w:themeColor="text1"/>
          <w:sz w:val="24"/>
          <w:szCs w:val="24"/>
          <w:lang w:eastAsia="es-ES_tradnl"/>
        </w:rPr>
        <w:t xml:space="preserve"> no le ha solicitado expresamente al juez de la causa que adopte sus poderes correccionales para sancionar las conductas dilatorias</w:t>
      </w:r>
      <w:r w:rsidR="00540B42">
        <w:rPr>
          <w:rFonts w:ascii="Arial" w:hAnsi="Arial" w:cs="Arial"/>
          <w:color w:val="000000" w:themeColor="text1"/>
          <w:sz w:val="24"/>
          <w:szCs w:val="24"/>
          <w:lang w:eastAsia="es-ES_tradnl"/>
        </w:rPr>
        <w:t xml:space="preserve">, ni insistió sobre la compulsa de copias previamente ordenada. </w:t>
      </w:r>
      <w:r w:rsidR="00223055">
        <w:rPr>
          <w:rFonts w:ascii="Arial" w:hAnsi="Arial" w:cs="Arial"/>
          <w:color w:val="000000" w:themeColor="text1"/>
          <w:sz w:val="24"/>
          <w:szCs w:val="24"/>
          <w:lang w:eastAsia="es-ES_tradnl"/>
        </w:rPr>
        <w:t xml:space="preserve">Aunado a ello, no justificó, </w:t>
      </w:r>
      <w:r w:rsidR="00233E5C">
        <w:rPr>
          <w:rFonts w:ascii="Arial" w:hAnsi="Arial" w:cs="Arial"/>
          <w:color w:val="000000" w:themeColor="text1"/>
          <w:sz w:val="24"/>
          <w:szCs w:val="24"/>
          <w:lang w:eastAsia="es-ES_tradnl"/>
        </w:rPr>
        <w:t>e</w:t>
      </w:r>
      <w:r w:rsidR="003407CC">
        <w:rPr>
          <w:rFonts w:ascii="Arial" w:hAnsi="Arial" w:cs="Arial"/>
          <w:color w:val="000000" w:themeColor="text1"/>
          <w:sz w:val="24"/>
          <w:szCs w:val="24"/>
          <w:lang w:eastAsia="es-ES_tradnl"/>
        </w:rPr>
        <w:t xml:space="preserve">n este </w:t>
      </w:r>
      <w:r w:rsidR="00233E5C">
        <w:rPr>
          <w:rFonts w:ascii="Arial" w:hAnsi="Arial" w:cs="Arial"/>
          <w:color w:val="000000" w:themeColor="text1"/>
          <w:sz w:val="24"/>
          <w:szCs w:val="24"/>
          <w:lang w:eastAsia="es-ES_tradnl"/>
        </w:rPr>
        <w:t xml:space="preserve">asunto constitucional, que hubiera acudido directamente a la Comisión Nacional de Disciplina Judicial o a las comisiones seccionales correspondientes para indagar sobre </w:t>
      </w:r>
      <w:r w:rsidR="005C3EAA">
        <w:rPr>
          <w:rFonts w:ascii="Arial" w:hAnsi="Arial" w:cs="Arial"/>
          <w:color w:val="000000" w:themeColor="text1"/>
          <w:sz w:val="24"/>
          <w:szCs w:val="24"/>
          <w:lang w:eastAsia="es-ES_tradnl"/>
        </w:rPr>
        <w:t xml:space="preserve">la procedencia de la acción disciplinaria y sobre la existencia de mérito para abrir proceso disciplinario. </w:t>
      </w:r>
    </w:p>
    <w:p w14:paraId="4F3E2811" w14:textId="579340A7" w:rsidR="003B2D73" w:rsidRDefault="00B00891"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 xml:space="preserve">De </w:t>
      </w:r>
      <w:r w:rsidRPr="00747DC3">
        <w:rPr>
          <w:rFonts w:ascii="Arial" w:hAnsi="Arial" w:cs="Arial"/>
          <w:color w:val="000000" w:themeColor="text1"/>
          <w:sz w:val="24"/>
          <w:szCs w:val="24"/>
          <w:lang w:eastAsia="es-ES_tradnl"/>
        </w:rPr>
        <w:t xml:space="preserve">acuerdo con lo expuesto, esta Subsección considera que los cargos propuestos no </w:t>
      </w:r>
      <w:r w:rsidR="00E86BD5">
        <w:rPr>
          <w:rFonts w:ascii="Arial" w:hAnsi="Arial" w:cs="Arial"/>
          <w:color w:val="000000" w:themeColor="text1"/>
          <w:sz w:val="24"/>
          <w:szCs w:val="24"/>
          <w:lang w:eastAsia="es-ES_tradnl"/>
        </w:rPr>
        <w:t xml:space="preserve">tienen la entidad de superar el </w:t>
      </w:r>
      <w:r w:rsidRPr="00747DC3">
        <w:rPr>
          <w:rFonts w:ascii="Arial" w:hAnsi="Arial" w:cs="Arial"/>
          <w:color w:val="000000" w:themeColor="text1"/>
          <w:sz w:val="24"/>
          <w:szCs w:val="24"/>
          <w:lang w:eastAsia="es-ES_tradnl"/>
        </w:rPr>
        <w:t xml:space="preserve">requisito de </w:t>
      </w:r>
      <w:r w:rsidRPr="00870E7D">
        <w:rPr>
          <w:rFonts w:ascii="Arial" w:hAnsi="Arial" w:cs="Arial"/>
          <w:b/>
          <w:color w:val="000000" w:themeColor="text1"/>
          <w:sz w:val="24"/>
          <w:szCs w:val="24"/>
          <w:lang w:eastAsia="es-ES_tradnl"/>
        </w:rPr>
        <w:t>subsidiariedad</w:t>
      </w:r>
      <w:r w:rsidRPr="00747DC3">
        <w:rPr>
          <w:rFonts w:ascii="Arial" w:hAnsi="Arial" w:cs="Arial"/>
          <w:color w:val="000000" w:themeColor="text1"/>
          <w:sz w:val="24"/>
          <w:szCs w:val="24"/>
          <w:lang w:eastAsia="es-ES_tradnl"/>
        </w:rPr>
        <w:t xml:space="preserve"> como mecanismo definitivo</w:t>
      </w:r>
      <w:r w:rsidR="00BB1489">
        <w:rPr>
          <w:rFonts w:ascii="Arial" w:hAnsi="Arial" w:cs="Arial"/>
          <w:color w:val="000000" w:themeColor="text1"/>
          <w:sz w:val="24"/>
          <w:szCs w:val="24"/>
          <w:lang w:eastAsia="es-ES_tradnl"/>
        </w:rPr>
        <w:t xml:space="preserve"> de protección de derechos fundamentales</w:t>
      </w:r>
      <w:r w:rsidRPr="00747DC3">
        <w:rPr>
          <w:rFonts w:ascii="Arial" w:hAnsi="Arial" w:cs="Arial"/>
          <w:color w:val="000000" w:themeColor="text1"/>
          <w:sz w:val="24"/>
          <w:szCs w:val="24"/>
          <w:lang w:eastAsia="es-ES_tradnl"/>
        </w:rPr>
        <w:t xml:space="preserve">, pues propenden por la cesación de un trámite que aún está en curso, escenario natural de protección de </w:t>
      </w:r>
      <w:r w:rsidR="00BB1489">
        <w:rPr>
          <w:rFonts w:ascii="Arial" w:hAnsi="Arial" w:cs="Arial"/>
          <w:color w:val="000000" w:themeColor="text1"/>
          <w:sz w:val="24"/>
          <w:szCs w:val="24"/>
          <w:lang w:eastAsia="es-ES_tradnl"/>
        </w:rPr>
        <w:t xml:space="preserve">garantías </w:t>
      </w:r>
      <w:r w:rsidR="00BB1489" w:rsidRPr="00BB1489">
        <w:rPr>
          <w:rFonts w:ascii="Arial" w:hAnsi="Arial" w:cs="Arial"/>
          <w:i/>
          <w:color w:val="000000" w:themeColor="text1"/>
          <w:sz w:val="24"/>
          <w:szCs w:val="24"/>
          <w:lang w:eastAsia="es-ES_tradnl"/>
        </w:rPr>
        <w:t>iusfundamentales</w:t>
      </w:r>
      <w:r w:rsidR="00BF2CAB" w:rsidRPr="005C2481">
        <w:rPr>
          <w:rStyle w:val="Refdenotaalpie"/>
          <w:rFonts w:ascii="Arial" w:hAnsi="Arial" w:cs="Arial"/>
          <w:color w:val="000000" w:themeColor="text1"/>
          <w:sz w:val="24"/>
          <w:szCs w:val="24"/>
          <w:lang w:eastAsia="es-ES_tradnl"/>
        </w:rPr>
        <w:footnoteReference w:id="74"/>
      </w:r>
      <w:r w:rsidR="00BB1489" w:rsidRPr="005C2481">
        <w:rPr>
          <w:rFonts w:ascii="Arial" w:hAnsi="Arial" w:cs="Arial"/>
          <w:color w:val="000000" w:themeColor="text1"/>
          <w:sz w:val="24"/>
          <w:szCs w:val="24"/>
          <w:lang w:eastAsia="es-ES_tradnl"/>
        </w:rPr>
        <w:t xml:space="preserve">, </w:t>
      </w:r>
      <w:r w:rsidR="00AB114B" w:rsidRPr="00747DC3">
        <w:rPr>
          <w:rFonts w:ascii="Arial" w:hAnsi="Arial" w:cs="Arial"/>
          <w:color w:val="000000" w:themeColor="text1"/>
          <w:sz w:val="24"/>
          <w:szCs w:val="24"/>
          <w:lang w:eastAsia="es-ES_tradnl"/>
        </w:rPr>
        <w:t>en el que le compete al juez de</w:t>
      </w:r>
      <w:r w:rsidR="008035D9">
        <w:rPr>
          <w:rFonts w:ascii="Arial" w:hAnsi="Arial" w:cs="Arial"/>
          <w:color w:val="000000" w:themeColor="text1"/>
          <w:sz w:val="24"/>
          <w:szCs w:val="24"/>
          <w:lang w:eastAsia="es-ES_tradnl"/>
        </w:rPr>
        <w:t xml:space="preserve">l proceso </w:t>
      </w:r>
      <w:r w:rsidR="00AB114B" w:rsidRPr="00747DC3">
        <w:rPr>
          <w:rFonts w:ascii="Arial" w:hAnsi="Arial" w:cs="Arial"/>
          <w:color w:val="000000" w:themeColor="text1"/>
          <w:sz w:val="24"/>
          <w:szCs w:val="24"/>
          <w:lang w:eastAsia="es-ES_tradnl"/>
        </w:rPr>
        <w:t>realizar la debida confrontación entre l</w:t>
      </w:r>
      <w:r w:rsidR="00752755">
        <w:rPr>
          <w:rFonts w:ascii="Arial" w:hAnsi="Arial" w:cs="Arial"/>
          <w:color w:val="000000" w:themeColor="text1"/>
          <w:sz w:val="24"/>
          <w:szCs w:val="24"/>
          <w:lang w:eastAsia="es-ES_tradnl"/>
        </w:rPr>
        <w:t>o</w:t>
      </w:r>
      <w:r w:rsidR="00AB114B" w:rsidRPr="00747DC3">
        <w:rPr>
          <w:rFonts w:ascii="Arial" w:hAnsi="Arial" w:cs="Arial"/>
          <w:color w:val="000000" w:themeColor="text1"/>
          <w:sz w:val="24"/>
          <w:szCs w:val="24"/>
          <w:lang w:eastAsia="es-ES_tradnl"/>
        </w:rPr>
        <w:t xml:space="preserve">s </w:t>
      </w:r>
      <w:r w:rsidR="00F53EBA">
        <w:rPr>
          <w:rFonts w:ascii="Arial" w:hAnsi="Arial" w:cs="Arial"/>
          <w:color w:val="000000" w:themeColor="text1"/>
          <w:sz w:val="24"/>
          <w:szCs w:val="24"/>
          <w:lang w:eastAsia="es-ES_tradnl"/>
        </w:rPr>
        <w:t xml:space="preserve">derechos constitucionales </w:t>
      </w:r>
      <w:r w:rsidR="00AB114B" w:rsidRPr="00747DC3">
        <w:rPr>
          <w:rFonts w:ascii="Arial" w:hAnsi="Arial" w:cs="Arial"/>
          <w:color w:val="000000" w:themeColor="text1"/>
          <w:sz w:val="24"/>
          <w:szCs w:val="24"/>
          <w:lang w:eastAsia="es-ES_tradnl"/>
        </w:rPr>
        <w:t>de los intervinientes que resulten en conflicto</w:t>
      </w:r>
      <w:r w:rsidR="003D3A9F">
        <w:rPr>
          <w:rFonts w:ascii="Arial" w:hAnsi="Arial" w:cs="Arial"/>
          <w:color w:val="000000" w:themeColor="text1"/>
          <w:sz w:val="24"/>
          <w:szCs w:val="24"/>
          <w:lang w:eastAsia="es-ES_tradnl"/>
        </w:rPr>
        <w:t xml:space="preserve"> al decidir el asunto de las recusaciones</w:t>
      </w:r>
      <w:r w:rsidR="004819FA" w:rsidRPr="00747DC3">
        <w:rPr>
          <w:rStyle w:val="Refdenotaalpie"/>
          <w:rFonts w:ascii="Arial" w:hAnsi="Arial" w:cs="Arial"/>
          <w:color w:val="000000" w:themeColor="text1"/>
          <w:sz w:val="24"/>
          <w:szCs w:val="24"/>
          <w:lang w:eastAsia="es-ES_tradnl"/>
        </w:rPr>
        <w:footnoteReference w:id="75"/>
      </w:r>
      <w:r w:rsidR="00E12FAF">
        <w:rPr>
          <w:rFonts w:ascii="Arial" w:hAnsi="Arial" w:cs="Arial"/>
          <w:color w:val="000000" w:themeColor="text1"/>
          <w:sz w:val="24"/>
          <w:szCs w:val="24"/>
          <w:lang w:eastAsia="es-ES_tradnl"/>
        </w:rPr>
        <w:t xml:space="preserve">, así como adoptar las medidas que considere ajustadas a derecho para </w:t>
      </w:r>
      <w:r w:rsidR="008035D9">
        <w:rPr>
          <w:rFonts w:ascii="Arial" w:hAnsi="Arial" w:cs="Arial"/>
          <w:color w:val="000000" w:themeColor="text1"/>
          <w:sz w:val="24"/>
          <w:szCs w:val="24"/>
          <w:lang w:eastAsia="es-ES_tradnl"/>
        </w:rPr>
        <w:t xml:space="preserve">lograr </w:t>
      </w:r>
      <w:r w:rsidR="00976C94">
        <w:rPr>
          <w:rFonts w:ascii="Arial" w:hAnsi="Arial" w:cs="Arial"/>
          <w:color w:val="000000" w:themeColor="text1"/>
          <w:sz w:val="24"/>
          <w:szCs w:val="24"/>
          <w:lang w:eastAsia="es-ES_tradnl"/>
        </w:rPr>
        <w:t>la devolución del expediente al magistrado sustanciador de la Sección Quinta</w:t>
      </w:r>
      <w:r w:rsidR="008035D9">
        <w:rPr>
          <w:rFonts w:ascii="Arial" w:hAnsi="Arial" w:cs="Arial"/>
          <w:color w:val="000000" w:themeColor="text1"/>
          <w:sz w:val="24"/>
          <w:szCs w:val="24"/>
          <w:lang w:eastAsia="es-ES_tradnl"/>
        </w:rPr>
        <w:t xml:space="preserve"> a efecto de que dé cumplimiento a la sentencia de nulidad electoral</w:t>
      </w:r>
      <w:r w:rsidR="00581774">
        <w:rPr>
          <w:rFonts w:ascii="Arial" w:hAnsi="Arial" w:cs="Arial"/>
          <w:color w:val="000000" w:themeColor="text1"/>
          <w:sz w:val="24"/>
          <w:szCs w:val="24"/>
          <w:lang w:eastAsia="es-ES_tradnl"/>
        </w:rPr>
        <w:t xml:space="preserve">, esta última decisión que también está dentro del marco de sus competencias. </w:t>
      </w:r>
    </w:p>
    <w:p w14:paraId="7980E2F3" w14:textId="0E9DE063" w:rsidR="00B00891" w:rsidRDefault="00B00891" w:rsidP="008D0383">
      <w:pPr>
        <w:keepNext/>
        <w:spacing w:after="240" w:line="240" w:lineRule="auto"/>
        <w:jc w:val="both"/>
        <w:textAlignment w:val="baseline"/>
        <w:rPr>
          <w:rFonts w:ascii="Arial" w:hAnsi="Arial" w:cs="Arial"/>
          <w:color w:val="000000" w:themeColor="text1"/>
          <w:sz w:val="24"/>
          <w:szCs w:val="24"/>
          <w:lang w:eastAsia="es-ES_tradnl"/>
        </w:rPr>
      </w:pPr>
      <w:r w:rsidRPr="00747DC3">
        <w:rPr>
          <w:rFonts w:ascii="Arial" w:hAnsi="Arial" w:cs="Arial"/>
          <w:color w:val="000000" w:themeColor="text1"/>
          <w:sz w:val="24"/>
          <w:szCs w:val="24"/>
          <w:lang w:eastAsia="es-ES_tradnl"/>
        </w:rPr>
        <w:t xml:space="preserve">En todo caso, </w:t>
      </w:r>
      <w:r w:rsidR="001406F1">
        <w:rPr>
          <w:rFonts w:ascii="Arial" w:hAnsi="Arial" w:cs="Arial"/>
          <w:color w:val="000000" w:themeColor="text1"/>
          <w:sz w:val="24"/>
          <w:szCs w:val="24"/>
          <w:lang w:eastAsia="es-ES_tradnl"/>
        </w:rPr>
        <w:t xml:space="preserve">los reparos propuestos </w:t>
      </w:r>
      <w:r w:rsidRPr="00747DC3">
        <w:rPr>
          <w:rFonts w:ascii="Arial" w:hAnsi="Arial" w:cs="Arial"/>
          <w:color w:val="000000" w:themeColor="text1"/>
          <w:sz w:val="24"/>
          <w:szCs w:val="24"/>
          <w:lang w:eastAsia="es-ES_tradnl"/>
        </w:rPr>
        <w:t>tampoco superarían el presupuesto</w:t>
      </w:r>
      <w:r w:rsidR="00993A25">
        <w:rPr>
          <w:rFonts w:ascii="Arial" w:hAnsi="Arial" w:cs="Arial"/>
          <w:color w:val="000000" w:themeColor="text1"/>
          <w:sz w:val="24"/>
          <w:szCs w:val="24"/>
          <w:lang w:eastAsia="es-ES_tradnl"/>
        </w:rPr>
        <w:t xml:space="preserve"> analizado</w:t>
      </w:r>
      <w:r w:rsidRPr="00747DC3">
        <w:rPr>
          <w:rFonts w:ascii="Arial" w:hAnsi="Arial" w:cs="Arial"/>
          <w:color w:val="000000" w:themeColor="text1"/>
          <w:sz w:val="24"/>
          <w:szCs w:val="24"/>
          <w:lang w:eastAsia="es-ES_tradnl"/>
        </w:rPr>
        <w:t xml:space="preserve"> como mecanismo transitorio para evitar la configuración de un perjuicio irremediable, pues si bien el accionante hizo alusión a la imposibilidad de ejecución de la decisión electoral que la Sección Quinta dictó el 23 de junio de 2022, no logró concretar</w:t>
      </w:r>
      <w:r w:rsidR="00C5292E" w:rsidRPr="00747DC3">
        <w:rPr>
          <w:rFonts w:ascii="Arial" w:hAnsi="Arial" w:cs="Arial"/>
          <w:color w:val="000000" w:themeColor="text1"/>
          <w:sz w:val="24"/>
          <w:szCs w:val="24"/>
          <w:lang w:eastAsia="es-ES_tradnl"/>
        </w:rPr>
        <w:t xml:space="preserve"> -ni mucho menos probar-</w:t>
      </w:r>
      <w:r w:rsidRPr="00747DC3">
        <w:rPr>
          <w:rFonts w:ascii="Arial" w:hAnsi="Arial" w:cs="Arial"/>
          <w:color w:val="000000" w:themeColor="text1"/>
          <w:sz w:val="24"/>
          <w:szCs w:val="24"/>
          <w:lang w:eastAsia="es-ES_tradnl"/>
        </w:rPr>
        <w:t xml:space="preserve"> los elementos mínimos que exige la Corte Constitucional de </w:t>
      </w:r>
      <w:r w:rsidRPr="00747DC3">
        <w:rPr>
          <w:rFonts w:ascii="Arial" w:hAnsi="Arial" w:cs="Arial"/>
          <w:i/>
          <w:iCs/>
          <w:color w:val="000000" w:themeColor="text1"/>
          <w:sz w:val="24"/>
          <w:szCs w:val="24"/>
          <w:lang w:eastAsia="es-ES_tradnl"/>
        </w:rPr>
        <w:t>inminencia, urgencia, gravedad e impostergabilidad</w:t>
      </w:r>
      <w:r w:rsidR="00C5292E" w:rsidRPr="00747DC3">
        <w:rPr>
          <w:rFonts w:ascii="Arial" w:hAnsi="Arial" w:cs="Arial"/>
          <w:i/>
          <w:iCs/>
          <w:color w:val="000000" w:themeColor="text1"/>
          <w:sz w:val="24"/>
          <w:szCs w:val="24"/>
          <w:lang w:eastAsia="es-ES_tradnl"/>
        </w:rPr>
        <w:t xml:space="preserve"> </w:t>
      </w:r>
      <w:r w:rsidR="00C5292E" w:rsidRPr="00747DC3">
        <w:rPr>
          <w:rFonts w:ascii="Arial" w:hAnsi="Arial" w:cs="Arial"/>
          <w:color w:val="000000" w:themeColor="text1"/>
          <w:sz w:val="24"/>
          <w:szCs w:val="24"/>
          <w:lang w:eastAsia="es-ES_tradnl"/>
        </w:rPr>
        <w:t>que le impondrían a este juez de tutela el deber de flexibilizar el requisito</w:t>
      </w:r>
      <w:r w:rsidR="003D3A9F">
        <w:rPr>
          <w:rFonts w:ascii="Arial" w:hAnsi="Arial" w:cs="Arial"/>
          <w:color w:val="000000" w:themeColor="text1"/>
          <w:sz w:val="24"/>
          <w:szCs w:val="24"/>
          <w:lang w:eastAsia="es-ES_tradnl"/>
        </w:rPr>
        <w:t xml:space="preserve"> estudiado</w:t>
      </w:r>
      <w:r w:rsidR="00C5292E" w:rsidRPr="00747DC3">
        <w:rPr>
          <w:rFonts w:ascii="Arial" w:hAnsi="Arial" w:cs="Arial"/>
          <w:color w:val="000000" w:themeColor="text1"/>
          <w:sz w:val="24"/>
          <w:szCs w:val="24"/>
          <w:lang w:eastAsia="es-ES_tradnl"/>
        </w:rPr>
        <w:t>, con lo que quedaría desvirtuada la concreción de un perjuicio irremediable</w:t>
      </w:r>
      <w:r w:rsidR="00D276E4">
        <w:rPr>
          <w:rStyle w:val="Refdenotaalpie"/>
          <w:rFonts w:ascii="Arial" w:hAnsi="Arial" w:cs="Arial"/>
          <w:color w:val="000000" w:themeColor="text1"/>
          <w:sz w:val="24"/>
          <w:szCs w:val="24"/>
          <w:lang w:eastAsia="es-ES_tradnl"/>
        </w:rPr>
        <w:footnoteReference w:id="76"/>
      </w:r>
      <w:r w:rsidR="00C5292E" w:rsidRPr="00747DC3">
        <w:rPr>
          <w:rFonts w:ascii="Arial" w:hAnsi="Arial" w:cs="Arial"/>
          <w:color w:val="000000" w:themeColor="text1"/>
          <w:sz w:val="24"/>
          <w:szCs w:val="24"/>
          <w:lang w:eastAsia="es-ES_tradnl"/>
        </w:rPr>
        <w:t xml:space="preserve"> con carácter individualizado para quien acude al amparo constitucional en b</w:t>
      </w:r>
      <w:r w:rsidR="008035D9">
        <w:rPr>
          <w:rFonts w:ascii="Arial" w:hAnsi="Arial" w:cs="Arial"/>
          <w:color w:val="000000" w:themeColor="text1"/>
          <w:sz w:val="24"/>
          <w:szCs w:val="24"/>
          <w:lang w:eastAsia="es-ES_tradnl"/>
        </w:rPr>
        <w:t>u</w:t>
      </w:r>
      <w:r w:rsidR="00C5292E" w:rsidRPr="00747DC3">
        <w:rPr>
          <w:rFonts w:ascii="Arial" w:hAnsi="Arial" w:cs="Arial"/>
          <w:color w:val="000000" w:themeColor="text1"/>
          <w:sz w:val="24"/>
          <w:szCs w:val="24"/>
          <w:lang w:eastAsia="es-ES_tradnl"/>
        </w:rPr>
        <w:t>s</w:t>
      </w:r>
      <w:r w:rsidR="008035D9">
        <w:rPr>
          <w:rFonts w:ascii="Arial" w:hAnsi="Arial" w:cs="Arial"/>
          <w:color w:val="000000" w:themeColor="text1"/>
          <w:sz w:val="24"/>
          <w:szCs w:val="24"/>
          <w:lang w:eastAsia="es-ES_tradnl"/>
        </w:rPr>
        <w:t>c</w:t>
      </w:r>
      <w:r w:rsidR="00C5292E" w:rsidRPr="00747DC3">
        <w:rPr>
          <w:rFonts w:ascii="Arial" w:hAnsi="Arial" w:cs="Arial"/>
          <w:color w:val="000000" w:themeColor="text1"/>
          <w:sz w:val="24"/>
          <w:szCs w:val="24"/>
          <w:lang w:eastAsia="es-ES_tradnl"/>
        </w:rPr>
        <w:t xml:space="preserve">a de una protección concreta. </w:t>
      </w:r>
    </w:p>
    <w:p w14:paraId="09BDB773" w14:textId="3548F1E8" w:rsidR="0096662A" w:rsidRDefault="004E333E"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Dicho de otro modo, en un caso como el que se estudia</w:t>
      </w:r>
      <w:r w:rsidR="001068A5">
        <w:rPr>
          <w:rFonts w:ascii="Arial" w:hAnsi="Arial" w:cs="Arial"/>
          <w:color w:val="000000" w:themeColor="text1"/>
          <w:sz w:val="24"/>
          <w:szCs w:val="24"/>
          <w:lang w:eastAsia="es-ES_tradnl"/>
        </w:rPr>
        <w:t xml:space="preserve">, no es suficiente para el actor constitucional invocar la calidad de parte que ostentó en el proceso electoral </w:t>
      </w:r>
      <w:r w:rsidR="006926FB">
        <w:rPr>
          <w:rFonts w:ascii="Arial" w:hAnsi="Arial" w:cs="Arial"/>
          <w:color w:val="000000" w:themeColor="text1"/>
          <w:sz w:val="24"/>
          <w:szCs w:val="24"/>
          <w:lang w:eastAsia="es-ES_tradnl"/>
        </w:rPr>
        <w:t>así como la finalidad de este último</w:t>
      </w:r>
      <w:r w:rsidR="008035D9">
        <w:rPr>
          <w:rFonts w:ascii="Arial" w:hAnsi="Arial" w:cs="Arial"/>
          <w:color w:val="000000" w:themeColor="text1"/>
          <w:sz w:val="24"/>
          <w:szCs w:val="24"/>
          <w:lang w:eastAsia="es-ES_tradnl"/>
        </w:rPr>
        <w:t xml:space="preserve">, </w:t>
      </w:r>
      <w:r w:rsidR="001068A5">
        <w:rPr>
          <w:rFonts w:ascii="Arial" w:hAnsi="Arial" w:cs="Arial"/>
          <w:color w:val="000000" w:themeColor="text1"/>
          <w:sz w:val="24"/>
          <w:szCs w:val="24"/>
          <w:lang w:eastAsia="es-ES_tradnl"/>
        </w:rPr>
        <w:t>como criterio</w:t>
      </w:r>
      <w:r w:rsidR="00E20F31">
        <w:rPr>
          <w:rFonts w:ascii="Arial" w:hAnsi="Arial" w:cs="Arial"/>
          <w:color w:val="000000" w:themeColor="text1"/>
          <w:sz w:val="24"/>
          <w:szCs w:val="24"/>
          <w:lang w:eastAsia="es-ES_tradnl"/>
        </w:rPr>
        <w:t>s</w:t>
      </w:r>
      <w:r w:rsidR="001068A5">
        <w:rPr>
          <w:rFonts w:ascii="Arial" w:hAnsi="Arial" w:cs="Arial"/>
          <w:color w:val="000000" w:themeColor="text1"/>
          <w:sz w:val="24"/>
          <w:szCs w:val="24"/>
          <w:lang w:eastAsia="es-ES_tradnl"/>
        </w:rPr>
        <w:t xml:space="preserve"> </w:t>
      </w:r>
      <w:r w:rsidR="0039483E">
        <w:rPr>
          <w:rFonts w:ascii="Arial" w:hAnsi="Arial" w:cs="Arial"/>
          <w:color w:val="000000" w:themeColor="text1"/>
          <w:sz w:val="24"/>
          <w:szCs w:val="24"/>
          <w:lang w:eastAsia="es-ES_tradnl"/>
        </w:rPr>
        <w:t xml:space="preserve">para </w:t>
      </w:r>
      <w:r w:rsidR="005A2094">
        <w:rPr>
          <w:rFonts w:ascii="Arial" w:hAnsi="Arial" w:cs="Arial"/>
          <w:color w:val="000000" w:themeColor="text1"/>
          <w:sz w:val="24"/>
          <w:szCs w:val="24"/>
          <w:lang w:eastAsia="es-ES_tradnl"/>
        </w:rPr>
        <w:t xml:space="preserve">acreditar </w:t>
      </w:r>
      <w:r w:rsidR="001068A5">
        <w:rPr>
          <w:rFonts w:ascii="Arial" w:hAnsi="Arial" w:cs="Arial"/>
          <w:color w:val="000000" w:themeColor="text1"/>
          <w:sz w:val="24"/>
          <w:szCs w:val="24"/>
          <w:lang w:eastAsia="es-ES_tradnl"/>
        </w:rPr>
        <w:t>la causación de un perjuicio irremediable, pues resulta evidente que</w:t>
      </w:r>
      <w:r w:rsidR="0039483E">
        <w:rPr>
          <w:rFonts w:ascii="Arial" w:hAnsi="Arial" w:cs="Arial"/>
          <w:color w:val="000000" w:themeColor="text1"/>
          <w:sz w:val="24"/>
          <w:szCs w:val="24"/>
          <w:lang w:eastAsia="es-ES_tradnl"/>
        </w:rPr>
        <w:t xml:space="preserve"> </w:t>
      </w:r>
      <w:r w:rsidR="001068A5">
        <w:rPr>
          <w:rFonts w:ascii="Arial" w:hAnsi="Arial" w:cs="Arial"/>
          <w:color w:val="000000" w:themeColor="text1"/>
          <w:sz w:val="24"/>
          <w:szCs w:val="24"/>
          <w:lang w:eastAsia="es-ES_tradnl"/>
        </w:rPr>
        <w:t>“con la pretensión de nulidad electoral no se puede buscar nada distinto a salvaguardar el ordenamiento jurídico en sentido objetivo”</w:t>
      </w:r>
      <w:r w:rsidR="00B051C0">
        <w:rPr>
          <w:rStyle w:val="Refdenotaalpie"/>
          <w:rFonts w:ascii="Arial" w:hAnsi="Arial" w:cs="Arial"/>
          <w:color w:val="000000" w:themeColor="text1"/>
          <w:sz w:val="24"/>
          <w:szCs w:val="24"/>
          <w:lang w:eastAsia="es-ES_tradnl"/>
        </w:rPr>
        <w:footnoteReference w:id="77"/>
      </w:r>
      <w:r w:rsidR="00F06155">
        <w:rPr>
          <w:rFonts w:ascii="Arial" w:hAnsi="Arial" w:cs="Arial"/>
          <w:color w:val="000000" w:themeColor="text1"/>
          <w:sz w:val="24"/>
          <w:szCs w:val="24"/>
          <w:lang w:eastAsia="es-ES_tradnl"/>
        </w:rPr>
        <w:t xml:space="preserve">, lo que implica que la prueba del perjuicio irremediable debe ir encaminada </w:t>
      </w:r>
      <w:r w:rsidR="00A2477F">
        <w:rPr>
          <w:rFonts w:ascii="Arial" w:hAnsi="Arial" w:cs="Arial"/>
          <w:color w:val="000000" w:themeColor="text1"/>
          <w:sz w:val="24"/>
          <w:szCs w:val="24"/>
          <w:lang w:eastAsia="es-ES_tradnl"/>
        </w:rPr>
        <w:t>a</w:t>
      </w:r>
      <w:r w:rsidR="00E20F31">
        <w:rPr>
          <w:rFonts w:ascii="Arial" w:hAnsi="Arial" w:cs="Arial"/>
          <w:color w:val="000000" w:themeColor="text1"/>
          <w:sz w:val="24"/>
          <w:szCs w:val="24"/>
          <w:lang w:eastAsia="es-ES_tradnl"/>
        </w:rPr>
        <w:t xml:space="preserve"> </w:t>
      </w:r>
      <w:r w:rsidR="00A2477F">
        <w:rPr>
          <w:rFonts w:ascii="Arial" w:hAnsi="Arial" w:cs="Arial"/>
          <w:color w:val="000000" w:themeColor="text1"/>
          <w:sz w:val="24"/>
          <w:szCs w:val="24"/>
          <w:lang w:eastAsia="es-ES_tradnl"/>
        </w:rPr>
        <w:t>probar la afectación concreta para el ejercicio de sus garantías constitucionales</w:t>
      </w:r>
      <w:r w:rsidR="004A49F9">
        <w:rPr>
          <w:rFonts w:ascii="Arial" w:hAnsi="Arial" w:cs="Arial"/>
          <w:color w:val="000000" w:themeColor="text1"/>
          <w:sz w:val="24"/>
          <w:szCs w:val="24"/>
          <w:lang w:eastAsia="es-ES_tradnl"/>
        </w:rPr>
        <w:t xml:space="preserve">, </w:t>
      </w:r>
      <w:r w:rsidR="00F55657">
        <w:rPr>
          <w:rFonts w:ascii="Arial" w:hAnsi="Arial" w:cs="Arial"/>
          <w:color w:val="000000" w:themeColor="text1"/>
          <w:sz w:val="24"/>
          <w:szCs w:val="24"/>
          <w:lang w:eastAsia="es-ES_tradnl"/>
        </w:rPr>
        <w:t>m</w:t>
      </w:r>
      <w:r w:rsidR="00517350">
        <w:rPr>
          <w:rFonts w:ascii="Arial" w:hAnsi="Arial" w:cs="Arial"/>
          <w:color w:val="000000" w:themeColor="text1"/>
          <w:sz w:val="24"/>
          <w:szCs w:val="24"/>
          <w:lang w:eastAsia="es-ES_tradnl"/>
        </w:rPr>
        <w:t>a</w:t>
      </w:r>
      <w:r w:rsidR="00F55657">
        <w:rPr>
          <w:rFonts w:ascii="Arial" w:hAnsi="Arial" w:cs="Arial"/>
          <w:color w:val="000000" w:themeColor="text1"/>
          <w:sz w:val="24"/>
          <w:szCs w:val="24"/>
          <w:lang w:eastAsia="es-ES_tradnl"/>
        </w:rPr>
        <w:t xml:space="preserve">s no </w:t>
      </w:r>
      <w:r w:rsidR="00E20F31">
        <w:rPr>
          <w:rFonts w:ascii="Arial" w:hAnsi="Arial" w:cs="Arial"/>
          <w:color w:val="000000" w:themeColor="text1"/>
          <w:sz w:val="24"/>
          <w:szCs w:val="24"/>
          <w:lang w:eastAsia="es-ES_tradnl"/>
        </w:rPr>
        <w:t>a</w:t>
      </w:r>
      <w:r w:rsidR="00F55657">
        <w:rPr>
          <w:rFonts w:ascii="Arial" w:hAnsi="Arial" w:cs="Arial"/>
          <w:color w:val="000000" w:themeColor="text1"/>
          <w:sz w:val="24"/>
          <w:szCs w:val="24"/>
          <w:lang w:eastAsia="es-ES_tradnl"/>
        </w:rPr>
        <w:t xml:space="preserve"> reiterar un asunto de incidencia generalizada</w:t>
      </w:r>
      <w:r w:rsidR="00E20F31">
        <w:rPr>
          <w:rFonts w:ascii="Arial" w:hAnsi="Arial" w:cs="Arial"/>
          <w:color w:val="000000" w:themeColor="text1"/>
          <w:sz w:val="24"/>
          <w:szCs w:val="24"/>
          <w:lang w:eastAsia="es-ES_tradnl"/>
        </w:rPr>
        <w:t xml:space="preserve"> como lo sería la postergación en el cargo de un alcalde al que se le declaró nula su elección</w:t>
      </w:r>
      <w:r w:rsidR="00F55657">
        <w:rPr>
          <w:rFonts w:ascii="Arial" w:hAnsi="Arial" w:cs="Arial"/>
          <w:color w:val="000000" w:themeColor="text1"/>
          <w:sz w:val="24"/>
          <w:szCs w:val="24"/>
          <w:lang w:eastAsia="es-ES_tradnl"/>
        </w:rPr>
        <w:t xml:space="preserve">, </w:t>
      </w:r>
      <w:r w:rsidR="004A49F9">
        <w:rPr>
          <w:rFonts w:ascii="Arial" w:hAnsi="Arial" w:cs="Arial"/>
          <w:color w:val="000000" w:themeColor="text1"/>
          <w:sz w:val="24"/>
          <w:szCs w:val="24"/>
          <w:lang w:eastAsia="es-ES_tradnl"/>
        </w:rPr>
        <w:t xml:space="preserve">cuestión que en el presente asunto no ocurrió. </w:t>
      </w:r>
    </w:p>
    <w:p w14:paraId="20EB501C" w14:textId="7A5F13A8" w:rsidR="002950E4" w:rsidRPr="00747DC3" w:rsidRDefault="002950E4" w:rsidP="008D038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 xml:space="preserve">En contraposición, se reconoce que </w:t>
      </w:r>
      <w:r w:rsidR="00DA7B20">
        <w:rPr>
          <w:rFonts w:ascii="Arial" w:hAnsi="Arial" w:cs="Arial"/>
          <w:color w:val="000000" w:themeColor="text1"/>
          <w:sz w:val="24"/>
          <w:szCs w:val="24"/>
          <w:lang w:eastAsia="es-ES_tradnl"/>
        </w:rPr>
        <w:t xml:space="preserve">serán los jueces </w:t>
      </w:r>
      <w:r>
        <w:rPr>
          <w:rFonts w:ascii="Arial" w:hAnsi="Arial" w:cs="Arial"/>
          <w:color w:val="000000" w:themeColor="text1"/>
          <w:sz w:val="24"/>
          <w:szCs w:val="24"/>
          <w:lang w:eastAsia="es-ES_tradnl"/>
        </w:rPr>
        <w:t>que conoce</w:t>
      </w:r>
      <w:r w:rsidR="00DA7B20">
        <w:rPr>
          <w:rFonts w:ascii="Arial" w:hAnsi="Arial" w:cs="Arial"/>
          <w:color w:val="000000" w:themeColor="text1"/>
          <w:sz w:val="24"/>
          <w:szCs w:val="24"/>
          <w:lang w:eastAsia="es-ES_tradnl"/>
        </w:rPr>
        <w:t>n</w:t>
      </w:r>
      <w:r>
        <w:rPr>
          <w:rFonts w:ascii="Arial" w:hAnsi="Arial" w:cs="Arial"/>
          <w:color w:val="000000" w:themeColor="text1"/>
          <w:sz w:val="24"/>
          <w:szCs w:val="24"/>
          <w:lang w:eastAsia="es-ES_tradnl"/>
        </w:rPr>
        <w:t xml:space="preserve"> de la recusación </w:t>
      </w:r>
      <w:r w:rsidR="00124DA9">
        <w:rPr>
          <w:rFonts w:ascii="Arial" w:hAnsi="Arial" w:cs="Arial"/>
          <w:color w:val="000000" w:themeColor="text1"/>
          <w:sz w:val="24"/>
          <w:szCs w:val="24"/>
          <w:lang w:eastAsia="es-ES_tradnl"/>
        </w:rPr>
        <w:t xml:space="preserve">y el sustanciador del trámite electoral, </w:t>
      </w:r>
      <w:r w:rsidR="008A0937">
        <w:rPr>
          <w:rFonts w:ascii="Arial" w:hAnsi="Arial" w:cs="Arial"/>
          <w:color w:val="000000" w:themeColor="text1"/>
          <w:sz w:val="24"/>
          <w:szCs w:val="24"/>
          <w:lang w:eastAsia="es-ES_tradnl"/>
        </w:rPr>
        <w:t>los</w:t>
      </w:r>
      <w:r w:rsidR="00124DA9">
        <w:rPr>
          <w:rFonts w:ascii="Arial" w:hAnsi="Arial" w:cs="Arial"/>
          <w:color w:val="000000" w:themeColor="text1"/>
          <w:sz w:val="24"/>
          <w:szCs w:val="24"/>
          <w:lang w:eastAsia="es-ES_tradnl"/>
        </w:rPr>
        <w:t xml:space="preserve"> competente</w:t>
      </w:r>
      <w:r w:rsidR="008A0937">
        <w:rPr>
          <w:rFonts w:ascii="Arial" w:hAnsi="Arial" w:cs="Arial"/>
          <w:color w:val="000000" w:themeColor="text1"/>
          <w:sz w:val="24"/>
          <w:szCs w:val="24"/>
          <w:lang w:eastAsia="es-ES_tradnl"/>
        </w:rPr>
        <w:t>s</w:t>
      </w:r>
      <w:r w:rsidR="00124DA9">
        <w:rPr>
          <w:rFonts w:ascii="Arial" w:hAnsi="Arial" w:cs="Arial"/>
          <w:color w:val="000000" w:themeColor="text1"/>
          <w:sz w:val="24"/>
          <w:szCs w:val="24"/>
          <w:lang w:eastAsia="es-ES_tradnl"/>
        </w:rPr>
        <w:t xml:space="preserve"> para precisar lo atinente a la ejecutoria de la decisión del 23 de junio de 2022</w:t>
      </w:r>
      <w:r w:rsidR="00235858">
        <w:rPr>
          <w:rFonts w:ascii="Arial" w:hAnsi="Arial" w:cs="Arial"/>
          <w:color w:val="000000" w:themeColor="text1"/>
          <w:sz w:val="24"/>
          <w:szCs w:val="24"/>
          <w:lang w:eastAsia="es-ES_tradnl"/>
        </w:rPr>
        <w:t xml:space="preserve">, con la eventual incidencia que traería </w:t>
      </w:r>
      <w:r w:rsidR="008C5C32">
        <w:rPr>
          <w:rFonts w:ascii="Arial" w:hAnsi="Arial" w:cs="Arial"/>
          <w:color w:val="000000" w:themeColor="text1"/>
          <w:sz w:val="24"/>
          <w:szCs w:val="24"/>
          <w:lang w:eastAsia="es-ES_tradnl"/>
        </w:rPr>
        <w:t xml:space="preserve">para esta </w:t>
      </w:r>
      <w:r w:rsidR="00235858">
        <w:rPr>
          <w:rFonts w:ascii="Arial" w:hAnsi="Arial" w:cs="Arial"/>
          <w:color w:val="000000" w:themeColor="text1"/>
          <w:sz w:val="24"/>
          <w:szCs w:val="24"/>
          <w:lang w:eastAsia="es-ES_tradnl"/>
        </w:rPr>
        <w:t xml:space="preserve">el trámite de recusaciones que está </w:t>
      </w:r>
      <w:r w:rsidR="0096662A">
        <w:rPr>
          <w:rFonts w:ascii="Arial" w:hAnsi="Arial" w:cs="Arial"/>
          <w:color w:val="000000" w:themeColor="text1"/>
          <w:sz w:val="24"/>
          <w:szCs w:val="24"/>
          <w:lang w:eastAsia="es-ES_tradnl"/>
        </w:rPr>
        <w:t xml:space="preserve">aún </w:t>
      </w:r>
      <w:r w:rsidR="00235858">
        <w:rPr>
          <w:rFonts w:ascii="Arial" w:hAnsi="Arial" w:cs="Arial"/>
          <w:color w:val="000000" w:themeColor="text1"/>
          <w:sz w:val="24"/>
          <w:szCs w:val="24"/>
          <w:lang w:eastAsia="es-ES_tradnl"/>
        </w:rPr>
        <w:t>vigente</w:t>
      </w:r>
      <w:r w:rsidR="00E450DB">
        <w:rPr>
          <w:rFonts w:ascii="Arial" w:hAnsi="Arial" w:cs="Arial"/>
          <w:color w:val="000000" w:themeColor="text1"/>
          <w:sz w:val="24"/>
          <w:szCs w:val="24"/>
          <w:lang w:eastAsia="es-ES_tradnl"/>
        </w:rPr>
        <w:t xml:space="preserve">, sin que este juez constitucional esté llamado a emitir un pronunciamiento al respecto en </w:t>
      </w:r>
      <w:r w:rsidR="00BF4ABA">
        <w:rPr>
          <w:rFonts w:ascii="Arial" w:hAnsi="Arial" w:cs="Arial"/>
          <w:color w:val="000000" w:themeColor="text1"/>
          <w:sz w:val="24"/>
          <w:szCs w:val="24"/>
          <w:lang w:eastAsia="es-ES_tradnl"/>
        </w:rPr>
        <w:t>reemplazo</w:t>
      </w:r>
      <w:r w:rsidR="00E450DB">
        <w:rPr>
          <w:rFonts w:ascii="Arial" w:hAnsi="Arial" w:cs="Arial"/>
          <w:color w:val="000000" w:themeColor="text1"/>
          <w:sz w:val="24"/>
          <w:szCs w:val="24"/>
          <w:lang w:eastAsia="es-ES_tradnl"/>
        </w:rPr>
        <w:t xml:space="preserve"> de tales facultades. </w:t>
      </w:r>
    </w:p>
    <w:p w14:paraId="647082C7" w14:textId="673B50F7" w:rsidR="003A1F6A" w:rsidRPr="00747DC3" w:rsidRDefault="00C5292E" w:rsidP="008D0383">
      <w:pPr>
        <w:keepNext/>
        <w:spacing w:after="240" w:line="240" w:lineRule="auto"/>
        <w:jc w:val="both"/>
        <w:textAlignment w:val="baseline"/>
        <w:rPr>
          <w:rFonts w:ascii="Arial" w:hAnsi="Arial" w:cs="Arial"/>
          <w:color w:val="000000" w:themeColor="text1"/>
          <w:sz w:val="24"/>
          <w:szCs w:val="24"/>
          <w:lang w:eastAsia="es-ES_tradnl"/>
        </w:rPr>
      </w:pPr>
      <w:r w:rsidRPr="00747DC3">
        <w:rPr>
          <w:rFonts w:ascii="Arial" w:hAnsi="Arial" w:cs="Arial"/>
          <w:color w:val="000000" w:themeColor="text1"/>
          <w:sz w:val="24"/>
          <w:szCs w:val="24"/>
          <w:lang w:eastAsia="es-ES_tradnl"/>
        </w:rPr>
        <w:t>A lo anterior hay que sumarle que el señor Díaz Camacho no argumentó ser un sujeto de especial protección constitucional</w:t>
      </w:r>
      <w:r w:rsidR="005235AD" w:rsidRPr="00747DC3">
        <w:rPr>
          <w:rFonts w:ascii="Arial" w:hAnsi="Arial" w:cs="Arial"/>
          <w:color w:val="000000" w:themeColor="text1"/>
          <w:sz w:val="24"/>
          <w:szCs w:val="24"/>
          <w:lang w:eastAsia="es-ES_tradnl"/>
        </w:rPr>
        <w:t xml:space="preserve">, por lo que tampoco le brindó a este juez de tutela los criterios suficientes para realizar un estudio de procedibilidad orientado a dicha protección particular. </w:t>
      </w:r>
    </w:p>
    <w:p w14:paraId="7FC8D5D8" w14:textId="77777777" w:rsidR="00120EF3" w:rsidRDefault="003A1F6A" w:rsidP="00120EF3">
      <w:pPr>
        <w:keepNext/>
        <w:spacing w:after="240" w:line="240" w:lineRule="auto"/>
        <w:jc w:val="both"/>
        <w:textAlignment w:val="baseline"/>
        <w:rPr>
          <w:rFonts w:ascii="Arial" w:hAnsi="Arial" w:cs="Arial"/>
          <w:color w:val="000000" w:themeColor="text1"/>
          <w:sz w:val="24"/>
          <w:szCs w:val="24"/>
          <w:lang w:eastAsia="es-ES_tradnl"/>
        </w:rPr>
      </w:pPr>
      <w:r w:rsidRPr="00747DC3">
        <w:rPr>
          <w:rFonts w:ascii="Arial" w:hAnsi="Arial" w:cs="Arial"/>
          <w:color w:val="000000" w:themeColor="text1"/>
          <w:sz w:val="24"/>
          <w:szCs w:val="24"/>
          <w:lang w:eastAsia="es-ES_tradnl"/>
        </w:rPr>
        <w:t>2.</w:t>
      </w:r>
      <w:r w:rsidR="003664F6">
        <w:rPr>
          <w:rFonts w:ascii="Arial" w:hAnsi="Arial" w:cs="Arial"/>
          <w:color w:val="000000" w:themeColor="text1"/>
          <w:sz w:val="24"/>
          <w:szCs w:val="24"/>
          <w:lang w:eastAsia="es-ES_tradnl"/>
        </w:rPr>
        <w:t>6</w:t>
      </w:r>
      <w:r w:rsidRPr="00747DC3">
        <w:rPr>
          <w:rFonts w:ascii="Arial" w:hAnsi="Arial" w:cs="Arial"/>
          <w:color w:val="000000" w:themeColor="text1"/>
          <w:sz w:val="24"/>
          <w:szCs w:val="24"/>
          <w:lang w:eastAsia="es-ES_tradnl"/>
        </w:rPr>
        <w:t xml:space="preserve">. En gracia de discusión, aún si esta Sala tuviera por superado el presupuesto de </w:t>
      </w:r>
      <w:r w:rsidRPr="00471279">
        <w:rPr>
          <w:rFonts w:ascii="Arial" w:hAnsi="Arial" w:cs="Arial"/>
          <w:b/>
          <w:color w:val="000000" w:themeColor="text1"/>
          <w:sz w:val="24"/>
          <w:szCs w:val="24"/>
          <w:lang w:eastAsia="es-ES_tradnl"/>
        </w:rPr>
        <w:t>subsidiariedad</w:t>
      </w:r>
      <w:r w:rsidRPr="00747DC3">
        <w:rPr>
          <w:rFonts w:ascii="Arial" w:hAnsi="Arial" w:cs="Arial"/>
          <w:color w:val="000000" w:themeColor="text1"/>
          <w:sz w:val="24"/>
          <w:szCs w:val="24"/>
          <w:lang w:eastAsia="es-ES_tradnl"/>
        </w:rPr>
        <w:t xml:space="preserve">, el asunto de la referencia no acreditaría </w:t>
      </w:r>
      <w:r w:rsidR="00120EF3">
        <w:rPr>
          <w:rFonts w:ascii="Arial" w:hAnsi="Arial" w:cs="Arial"/>
          <w:color w:val="000000" w:themeColor="text1"/>
          <w:sz w:val="24"/>
          <w:szCs w:val="24"/>
          <w:lang w:eastAsia="es-ES_tradnl"/>
        </w:rPr>
        <w:t xml:space="preserve">el requisito general de procedibilidad de la </w:t>
      </w:r>
      <w:r w:rsidR="00120EF3" w:rsidRPr="00471279">
        <w:rPr>
          <w:rFonts w:ascii="Arial" w:hAnsi="Arial" w:cs="Arial"/>
          <w:b/>
          <w:color w:val="000000" w:themeColor="text1"/>
          <w:sz w:val="24"/>
          <w:szCs w:val="24"/>
          <w:lang w:eastAsia="es-ES_tradnl"/>
        </w:rPr>
        <w:t>relevancia constitucional</w:t>
      </w:r>
      <w:r w:rsidR="00120EF3">
        <w:rPr>
          <w:rFonts w:ascii="Arial" w:hAnsi="Arial" w:cs="Arial"/>
          <w:color w:val="000000" w:themeColor="text1"/>
          <w:sz w:val="24"/>
          <w:szCs w:val="24"/>
          <w:lang w:eastAsia="es-ES_tradnl"/>
        </w:rPr>
        <w:t xml:space="preserve">. </w:t>
      </w:r>
    </w:p>
    <w:p w14:paraId="1620BC62" w14:textId="49933469" w:rsidR="00747DC3" w:rsidRPr="00747DC3" w:rsidRDefault="00EF0647" w:rsidP="00120EF3">
      <w:pPr>
        <w:keepNext/>
        <w:spacing w:after="240" w:line="240" w:lineRule="auto"/>
        <w:jc w:val="both"/>
        <w:textAlignment w:val="baseline"/>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 xml:space="preserve">Este último presupuesto </w:t>
      </w:r>
      <w:r w:rsidR="00747DC3" w:rsidRPr="00747DC3">
        <w:rPr>
          <w:rFonts w:ascii="Arial" w:hAnsi="Arial" w:cs="Arial"/>
          <w:color w:val="000000" w:themeColor="text1"/>
          <w:sz w:val="24"/>
          <w:szCs w:val="24"/>
          <w:lang w:eastAsia="es-ES_tradnl"/>
        </w:rPr>
        <w:t>propende por que la acción de tutela tenga un carácter excepcional que salvaguarde los principios de autonomía e independencia judicial, de modo que, como las providencias judiciales hacen tránsito a cosa juzgada "el juez de tutela debe limitarse a analizar los yerros puntuales de la providencia cuestionada señalados por el accionante, pues tiene vedado adelantar un control oficioso y exhaustivo de la providencia reprochada”.</w:t>
      </w:r>
      <w:r w:rsidR="00747DC3" w:rsidRPr="00747DC3">
        <w:rPr>
          <w:rFonts w:ascii="Arial" w:hAnsi="Arial" w:cs="Arial"/>
          <w:color w:val="000000" w:themeColor="text1"/>
          <w:sz w:val="24"/>
          <w:szCs w:val="24"/>
          <w:vertAlign w:val="superscript"/>
          <w:lang w:eastAsia="es-ES_tradnl"/>
        </w:rPr>
        <w:footnoteReference w:id="78"/>
      </w:r>
      <w:r w:rsidR="00747DC3" w:rsidRPr="00747DC3">
        <w:rPr>
          <w:rFonts w:ascii="Arial" w:hAnsi="Arial" w:cs="Arial"/>
          <w:color w:val="000000" w:themeColor="text1"/>
          <w:sz w:val="24"/>
          <w:szCs w:val="24"/>
          <w:lang w:eastAsia="es-ES_tradnl"/>
        </w:rPr>
        <w:t xml:space="preserve"> </w:t>
      </w:r>
    </w:p>
    <w:p w14:paraId="00E7AC9C" w14:textId="77777777" w:rsidR="00747DC3" w:rsidRPr="00784D83" w:rsidRDefault="00747DC3" w:rsidP="00747DC3">
      <w:pPr>
        <w:overflowPunct w:val="0"/>
        <w:autoSpaceDE w:val="0"/>
        <w:autoSpaceDN w:val="0"/>
        <w:adjustRightInd w:val="0"/>
        <w:spacing w:line="240" w:lineRule="auto"/>
        <w:ind w:right="51"/>
        <w:jc w:val="both"/>
        <w:rPr>
          <w:rFonts w:ascii="Arial" w:hAnsi="Arial" w:cs="Arial"/>
          <w:color w:val="000000" w:themeColor="text1"/>
          <w:sz w:val="24"/>
          <w:szCs w:val="24"/>
          <w:lang w:eastAsia="es-ES_tradnl"/>
        </w:rPr>
      </w:pPr>
      <w:r w:rsidRPr="00747DC3">
        <w:rPr>
          <w:rFonts w:ascii="Arial" w:hAnsi="Arial" w:cs="Arial"/>
          <w:color w:val="000000" w:themeColor="text1"/>
          <w:sz w:val="24"/>
          <w:szCs w:val="24"/>
          <w:lang w:eastAsia="es-ES_tradnl"/>
        </w:rPr>
        <w:t>También mencionó que éste protege el carácter subsidiario de la acción de tutela y, desarrolló los postulados que se deben observar para su acreditación, de modo que “el juez debe analizar: i) que el asunto tenga la entidad para interpretar, aplicar, desarrollar la Constitución Política o determinar el alcance de un derecho fundamental; ii) que la controversia no se limite a una discusión meramente legal o de contenido estrictamente económico con connotaciones particulares y privadas; y iii) que se justifique razonablemente una afectación desproporcionada a derechos fundamentales”.</w:t>
      </w:r>
      <w:r w:rsidRPr="00747DC3">
        <w:rPr>
          <w:rFonts w:ascii="Arial" w:hAnsi="Arial" w:cs="Arial"/>
          <w:color w:val="000000" w:themeColor="text1"/>
          <w:sz w:val="24"/>
          <w:szCs w:val="24"/>
          <w:vertAlign w:val="superscript"/>
          <w:lang w:eastAsia="es-ES_tradnl"/>
        </w:rPr>
        <w:footnoteReference w:id="79"/>
      </w:r>
      <w:r w:rsidRPr="00747DC3">
        <w:rPr>
          <w:rFonts w:ascii="Arial" w:hAnsi="Arial" w:cs="Arial"/>
          <w:color w:val="000000" w:themeColor="text1"/>
          <w:sz w:val="24"/>
          <w:szCs w:val="24"/>
          <w:lang w:eastAsia="es-ES_tradnl"/>
        </w:rPr>
        <w:t xml:space="preserve"> </w:t>
      </w:r>
    </w:p>
    <w:p w14:paraId="06841E59" w14:textId="2590E423" w:rsidR="000A3C90" w:rsidRPr="00784D83" w:rsidRDefault="00747DC3" w:rsidP="000A3C90">
      <w:pPr>
        <w:overflowPunct w:val="0"/>
        <w:autoSpaceDE w:val="0"/>
        <w:autoSpaceDN w:val="0"/>
        <w:adjustRightInd w:val="0"/>
        <w:spacing w:line="240" w:lineRule="auto"/>
        <w:ind w:right="51"/>
        <w:jc w:val="both"/>
        <w:rPr>
          <w:rFonts w:ascii="Arial" w:hAnsi="Arial" w:cs="Arial"/>
          <w:color w:val="000000" w:themeColor="text1"/>
          <w:sz w:val="24"/>
          <w:szCs w:val="24"/>
          <w:shd w:val="clear" w:color="auto" w:fill="FFFFFF"/>
        </w:rPr>
      </w:pPr>
      <w:r w:rsidRPr="00784D83">
        <w:rPr>
          <w:rFonts w:ascii="Arial" w:hAnsi="Arial" w:cs="Arial"/>
          <w:color w:val="000000" w:themeColor="text1"/>
          <w:sz w:val="24"/>
          <w:szCs w:val="24"/>
          <w:lang w:eastAsia="es-ES_tradnl"/>
        </w:rPr>
        <w:t xml:space="preserve">Aplicado lo anterior en el caso examinado, esta Subsección </w:t>
      </w:r>
      <w:r w:rsidR="000A3C90" w:rsidRPr="00784D83">
        <w:rPr>
          <w:rFonts w:ascii="Arial" w:hAnsi="Arial" w:cs="Arial"/>
          <w:color w:val="000000" w:themeColor="text1"/>
          <w:sz w:val="24"/>
          <w:szCs w:val="24"/>
          <w:lang w:eastAsia="es-ES_tradnl"/>
        </w:rPr>
        <w:t xml:space="preserve">considera </w:t>
      </w:r>
      <w:r w:rsidR="000C1D04" w:rsidRPr="00784D83">
        <w:rPr>
          <w:rFonts w:ascii="Arial" w:hAnsi="Arial" w:cs="Arial"/>
          <w:color w:val="000000" w:themeColor="text1"/>
          <w:sz w:val="24"/>
          <w:szCs w:val="24"/>
          <w:lang w:eastAsia="es-ES_tradnl"/>
        </w:rPr>
        <w:t>que el señor Díaz Camacho se limitó a identificar como único defecto específico</w:t>
      </w:r>
      <w:r w:rsidR="00041D84">
        <w:rPr>
          <w:rFonts w:ascii="Arial" w:hAnsi="Arial" w:cs="Arial"/>
          <w:color w:val="000000" w:themeColor="text1"/>
          <w:sz w:val="24"/>
          <w:szCs w:val="24"/>
          <w:lang w:eastAsia="es-ES_tradnl"/>
        </w:rPr>
        <w:t xml:space="preserve"> </w:t>
      </w:r>
      <w:r w:rsidR="000A3C90" w:rsidRPr="00784D83">
        <w:rPr>
          <w:rFonts w:ascii="Arial" w:hAnsi="Arial" w:cs="Arial"/>
          <w:color w:val="000000" w:themeColor="text1"/>
          <w:sz w:val="24"/>
          <w:szCs w:val="24"/>
          <w:shd w:val="clear" w:color="auto" w:fill="FFFFFF"/>
        </w:rPr>
        <w:t xml:space="preserve">el </w:t>
      </w:r>
      <w:r w:rsidR="000A3C90" w:rsidRPr="00784D83">
        <w:rPr>
          <w:rFonts w:ascii="Arial" w:hAnsi="Arial" w:cs="Arial"/>
          <w:i/>
          <w:iCs/>
          <w:color w:val="000000" w:themeColor="text1"/>
          <w:sz w:val="24"/>
          <w:szCs w:val="24"/>
          <w:shd w:val="clear" w:color="auto" w:fill="FFFFFF"/>
        </w:rPr>
        <w:t>error inducido</w:t>
      </w:r>
      <w:r w:rsidR="000A3C90" w:rsidRPr="00784D83">
        <w:rPr>
          <w:rStyle w:val="Refdenotaalpie"/>
          <w:rFonts w:ascii="Arial" w:hAnsi="Arial" w:cs="Arial"/>
          <w:color w:val="000000" w:themeColor="text1"/>
          <w:sz w:val="24"/>
          <w:szCs w:val="24"/>
          <w:shd w:val="clear" w:color="auto" w:fill="FFFFFF"/>
        </w:rPr>
        <w:footnoteReference w:id="80"/>
      </w:r>
      <w:r w:rsidR="000A3C90" w:rsidRPr="00784D83">
        <w:rPr>
          <w:rFonts w:ascii="Arial" w:hAnsi="Arial" w:cs="Arial"/>
          <w:color w:val="000000" w:themeColor="text1"/>
          <w:sz w:val="24"/>
          <w:szCs w:val="24"/>
          <w:shd w:val="clear" w:color="auto" w:fill="FFFFFF"/>
        </w:rPr>
        <w:t xml:space="preserve">, </w:t>
      </w:r>
      <w:r w:rsidR="000C1D04" w:rsidRPr="00784D83">
        <w:rPr>
          <w:rFonts w:ascii="Arial" w:hAnsi="Arial" w:cs="Arial"/>
          <w:color w:val="000000" w:themeColor="text1"/>
          <w:sz w:val="24"/>
          <w:szCs w:val="24"/>
          <w:shd w:val="clear" w:color="auto" w:fill="FFFFFF"/>
        </w:rPr>
        <w:t>mientras que planteó argumentos genéricos que no encuadró en alguna de las causales específicas de procedencia de la acción de tutela contra providencias judiciales.</w:t>
      </w:r>
      <w:r w:rsidR="00F53B3F">
        <w:rPr>
          <w:rFonts w:ascii="Arial" w:hAnsi="Arial" w:cs="Arial"/>
          <w:color w:val="000000" w:themeColor="text1"/>
          <w:sz w:val="24"/>
          <w:szCs w:val="24"/>
          <w:shd w:val="clear" w:color="auto" w:fill="FFFFFF"/>
        </w:rPr>
        <w:t xml:space="preserve"> Empero</w:t>
      </w:r>
      <w:r w:rsidR="000C1D04" w:rsidRPr="00784D83">
        <w:rPr>
          <w:rFonts w:ascii="Arial" w:hAnsi="Arial" w:cs="Arial"/>
          <w:color w:val="000000" w:themeColor="text1"/>
          <w:sz w:val="24"/>
          <w:szCs w:val="24"/>
          <w:shd w:val="clear" w:color="auto" w:fill="FFFFFF"/>
        </w:rPr>
        <w:t>, este juez constitucional en su labor de</w:t>
      </w:r>
      <w:r w:rsidR="00EB7970">
        <w:rPr>
          <w:rFonts w:ascii="Arial" w:hAnsi="Arial" w:cs="Arial"/>
          <w:color w:val="000000" w:themeColor="text1"/>
          <w:sz w:val="24"/>
          <w:szCs w:val="24"/>
          <w:shd w:val="clear" w:color="auto" w:fill="FFFFFF"/>
        </w:rPr>
        <w:t xml:space="preserve"> intérprete</w:t>
      </w:r>
      <w:r w:rsidR="000C1D04" w:rsidRPr="00784D83">
        <w:rPr>
          <w:rFonts w:ascii="Arial" w:hAnsi="Arial" w:cs="Arial"/>
          <w:color w:val="000000" w:themeColor="text1"/>
          <w:sz w:val="24"/>
          <w:szCs w:val="24"/>
          <w:shd w:val="clear" w:color="auto" w:fill="FFFFFF"/>
        </w:rPr>
        <w:t xml:space="preserve">, </w:t>
      </w:r>
      <w:r w:rsidR="008035D9">
        <w:rPr>
          <w:rFonts w:ascii="Arial" w:hAnsi="Arial" w:cs="Arial"/>
          <w:color w:val="000000" w:themeColor="text1"/>
          <w:sz w:val="24"/>
          <w:szCs w:val="24"/>
          <w:shd w:val="clear" w:color="auto" w:fill="FFFFFF"/>
        </w:rPr>
        <w:t xml:space="preserve">infiere </w:t>
      </w:r>
      <w:r w:rsidR="000C1D04" w:rsidRPr="00784D83">
        <w:rPr>
          <w:rFonts w:ascii="Arial" w:hAnsi="Arial" w:cs="Arial"/>
          <w:color w:val="000000" w:themeColor="text1"/>
          <w:sz w:val="24"/>
          <w:szCs w:val="24"/>
          <w:shd w:val="clear" w:color="auto" w:fill="FFFFFF"/>
        </w:rPr>
        <w:t xml:space="preserve">que </w:t>
      </w:r>
      <w:r w:rsidR="000A3C90" w:rsidRPr="00784D83">
        <w:rPr>
          <w:rFonts w:ascii="Arial" w:hAnsi="Arial" w:cs="Arial"/>
          <w:color w:val="000000" w:themeColor="text1"/>
          <w:sz w:val="24"/>
          <w:szCs w:val="24"/>
          <w:shd w:val="clear" w:color="auto" w:fill="FFFFFF"/>
        </w:rPr>
        <w:t xml:space="preserve">sus </w:t>
      </w:r>
      <w:r w:rsidR="00CF1A30" w:rsidRPr="00784D83">
        <w:rPr>
          <w:rFonts w:ascii="Arial" w:hAnsi="Arial" w:cs="Arial"/>
          <w:color w:val="000000" w:themeColor="text1"/>
          <w:sz w:val="24"/>
          <w:szCs w:val="24"/>
          <w:shd w:val="clear" w:color="auto" w:fill="FFFFFF"/>
        </w:rPr>
        <w:t xml:space="preserve">reparos </w:t>
      </w:r>
      <w:r w:rsidR="000A3C90" w:rsidRPr="00784D83">
        <w:rPr>
          <w:rFonts w:ascii="Arial" w:hAnsi="Arial" w:cs="Arial"/>
          <w:color w:val="000000" w:themeColor="text1"/>
          <w:sz w:val="24"/>
          <w:szCs w:val="24"/>
          <w:shd w:val="clear" w:color="auto" w:fill="FFFFFF"/>
        </w:rPr>
        <w:t xml:space="preserve">están encaminados a demostrar un </w:t>
      </w:r>
      <w:r w:rsidR="000A3C90" w:rsidRPr="00784D83">
        <w:rPr>
          <w:rFonts w:ascii="Arial" w:hAnsi="Arial" w:cs="Arial"/>
          <w:i/>
          <w:iCs/>
          <w:color w:val="000000" w:themeColor="text1"/>
          <w:sz w:val="24"/>
          <w:szCs w:val="24"/>
          <w:shd w:val="clear" w:color="auto" w:fill="FFFFFF"/>
        </w:rPr>
        <w:t>defecto sustantivo</w:t>
      </w:r>
      <w:r w:rsidR="000A3C90" w:rsidRPr="00784D83">
        <w:rPr>
          <w:rFonts w:ascii="Arial" w:hAnsi="Arial" w:cs="Arial"/>
          <w:color w:val="000000" w:themeColor="text1"/>
          <w:sz w:val="24"/>
          <w:szCs w:val="24"/>
          <w:shd w:val="clear" w:color="auto" w:fill="FFFFFF"/>
        </w:rPr>
        <w:t>, concebido como aquel que “</w:t>
      </w:r>
      <w:r w:rsidR="000A3C90" w:rsidRPr="00784D83">
        <w:rPr>
          <w:rFonts w:ascii="Arial" w:hAnsi="Arial" w:cs="Arial"/>
          <w:color w:val="000000" w:themeColor="text1"/>
          <w:sz w:val="24"/>
          <w:szCs w:val="24"/>
          <w:lang w:eastAsia="es-ES_tradnl"/>
        </w:rPr>
        <w:t>se presenta cuando la autoridad judicial aplica una norma claramente inaplicable al caso o dejar de aplicar la que evidentemente lo es, u opta por una interpretación que contraríe los postulados mínimos de razonabilidad jurídica”</w:t>
      </w:r>
      <w:r w:rsidR="000A3C90" w:rsidRPr="00784D83">
        <w:rPr>
          <w:rFonts w:ascii="Arial" w:hAnsi="Arial" w:cs="Arial"/>
          <w:color w:val="000000" w:themeColor="text1"/>
          <w:sz w:val="24"/>
          <w:szCs w:val="24"/>
          <w:vertAlign w:val="superscript"/>
          <w:lang w:eastAsia="es-ES_tradnl"/>
        </w:rPr>
        <w:footnoteReference w:id="81"/>
      </w:r>
      <w:r w:rsidR="000A3C90" w:rsidRPr="00784D83">
        <w:rPr>
          <w:rFonts w:ascii="Arial" w:hAnsi="Arial" w:cs="Arial"/>
          <w:color w:val="000000" w:themeColor="text1"/>
          <w:sz w:val="24"/>
          <w:szCs w:val="24"/>
          <w:lang w:eastAsia="es-ES_tradnl"/>
        </w:rPr>
        <w:t xml:space="preserve">. </w:t>
      </w:r>
    </w:p>
    <w:p w14:paraId="6E44D0B7" w14:textId="6EDC25ED" w:rsidR="000A3C90" w:rsidRDefault="000A3C90" w:rsidP="000A3C90">
      <w:pPr>
        <w:overflowPunct w:val="0"/>
        <w:autoSpaceDE w:val="0"/>
        <w:autoSpaceDN w:val="0"/>
        <w:adjustRightInd w:val="0"/>
        <w:spacing w:line="240" w:lineRule="auto"/>
        <w:ind w:right="51"/>
        <w:jc w:val="both"/>
        <w:rPr>
          <w:rFonts w:ascii="Arial" w:hAnsi="Arial" w:cs="Arial"/>
          <w:color w:val="000000" w:themeColor="text1"/>
          <w:sz w:val="24"/>
          <w:szCs w:val="24"/>
          <w:lang w:eastAsia="es-ES_tradnl"/>
        </w:rPr>
      </w:pPr>
      <w:r w:rsidRPr="00784D83">
        <w:rPr>
          <w:rFonts w:ascii="Arial" w:hAnsi="Arial" w:cs="Arial"/>
          <w:color w:val="000000" w:themeColor="text1"/>
          <w:sz w:val="24"/>
          <w:szCs w:val="24"/>
          <w:lang w:eastAsia="es-ES_tradnl"/>
        </w:rPr>
        <w:t xml:space="preserve">Al margen de tal adecuación, esta Sala </w:t>
      </w:r>
      <w:r w:rsidR="000C1D04" w:rsidRPr="00784D83">
        <w:rPr>
          <w:rFonts w:ascii="Arial" w:hAnsi="Arial" w:cs="Arial"/>
          <w:color w:val="000000" w:themeColor="text1"/>
          <w:sz w:val="24"/>
          <w:szCs w:val="24"/>
          <w:lang w:eastAsia="es-ES_tradnl"/>
        </w:rPr>
        <w:t>reconoce que Elkin Enrique Díaz Camacho</w:t>
      </w:r>
      <w:r w:rsidR="00DD0DA2">
        <w:rPr>
          <w:rFonts w:ascii="Arial" w:hAnsi="Arial" w:cs="Arial"/>
          <w:color w:val="000000" w:themeColor="text1"/>
          <w:sz w:val="24"/>
          <w:szCs w:val="24"/>
          <w:lang w:eastAsia="es-ES_tradnl"/>
        </w:rPr>
        <w:t xml:space="preserve"> </w:t>
      </w:r>
      <w:r w:rsidR="000C1D04" w:rsidRPr="00784D83">
        <w:rPr>
          <w:rFonts w:ascii="Arial" w:hAnsi="Arial" w:cs="Arial"/>
          <w:color w:val="000000" w:themeColor="text1"/>
          <w:sz w:val="24"/>
          <w:szCs w:val="24"/>
          <w:lang w:eastAsia="es-ES_tradnl"/>
        </w:rPr>
        <w:t>omitió precisar el alcance dado por las secciones Primera y Subsección B de la Sección Segunda a las disposiciones normativas citadas como infringidas,</w:t>
      </w:r>
      <w:r w:rsidR="00083C18">
        <w:rPr>
          <w:rFonts w:ascii="Arial" w:hAnsi="Arial" w:cs="Arial"/>
          <w:color w:val="000000" w:themeColor="text1"/>
          <w:sz w:val="24"/>
          <w:szCs w:val="24"/>
          <w:lang w:eastAsia="es-ES_tradnl"/>
        </w:rPr>
        <w:t xml:space="preserve"> </w:t>
      </w:r>
      <w:r w:rsidR="000C1D04" w:rsidRPr="00784D83">
        <w:rPr>
          <w:rFonts w:ascii="Arial" w:hAnsi="Arial" w:cs="Arial"/>
          <w:color w:val="000000" w:themeColor="text1"/>
          <w:sz w:val="24"/>
          <w:szCs w:val="24"/>
          <w:lang w:eastAsia="es-ES_tradnl"/>
        </w:rPr>
        <w:t xml:space="preserve">de modo que, </w:t>
      </w:r>
      <w:r w:rsidR="003E6403">
        <w:rPr>
          <w:rFonts w:ascii="Arial" w:hAnsi="Arial" w:cs="Arial"/>
          <w:color w:val="000000" w:themeColor="text1"/>
          <w:sz w:val="24"/>
          <w:szCs w:val="24"/>
          <w:lang w:eastAsia="es-ES_tradnl"/>
        </w:rPr>
        <w:t xml:space="preserve">se concentró en reiterar el contenido normativo aplicable, sin que con ello haya logrado </w:t>
      </w:r>
      <w:r w:rsidR="000C1D04" w:rsidRPr="00784D83">
        <w:rPr>
          <w:rFonts w:ascii="Arial" w:hAnsi="Arial" w:cs="Arial"/>
          <w:color w:val="000000" w:themeColor="text1"/>
          <w:sz w:val="24"/>
          <w:szCs w:val="24"/>
          <w:lang w:eastAsia="es-ES_tradnl"/>
        </w:rPr>
        <w:t>aseverar</w:t>
      </w:r>
      <w:r w:rsidR="00A06CC9">
        <w:rPr>
          <w:rFonts w:ascii="Arial" w:hAnsi="Arial" w:cs="Arial"/>
          <w:color w:val="000000" w:themeColor="text1"/>
          <w:sz w:val="24"/>
          <w:szCs w:val="24"/>
          <w:lang w:eastAsia="es-ES_tradnl"/>
        </w:rPr>
        <w:t xml:space="preserve"> que</w:t>
      </w:r>
      <w:r w:rsidR="000C1D04" w:rsidRPr="00784D83">
        <w:rPr>
          <w:rFonts w:ascii="Arial" w:hAnsi="Arial" w:cs="Arial"/>
          <w:color w:val="000000" w:themeColor="text1"/>
          <w:sz w:val="24"/>
          <w:szCs w:val="24"/>
          <w:lang w:eastAsia="es-ES_tradnl"/>
        </w:rPr>
        <w:t xml:space="preserve"> las decisiones cuestionadas fueron dictadas “según el capricho del operador jurídico, desconociendo la ley, y trascendiendo al nivel constitucional en tanto compromete los derechos fundamentales de la parte afectada con tal decisión”</w:t>
      </w:r>
      <w:r w:rsidR="000C1D04" w:rsidRPr="00784D83">
        <w:rPr>
          <w:rStyle w:val="Refdenotaalpie"/>
          <w:rFonts w:ascii="Arial" w:hAnsi="Arial" w:cs="Arial"/>
          <w:color w:val="000000" w:themeColor="text1"/>
          <w:sz w:val="24"/>
          <w:szCs w:val="24"/>
          <w:lang w:eastAsia="es-ES_tradnl"/>
        </w:rPr>
        <w:footnoteReference w:id="82"/>
      </w:r>
      <w:r w:rsidR="000C1D04" w:rsidRPr="00784D83">
        <w:rPr>
          <w:rFonts w:ascii="Arial" w:hAnsi="Arial" w:cs="Arial"/>
          <w:color w:val="000000" w:themeColor="text1"/>
          <w:sz w:val="24"/>
          <w:szCs w:val="24"/>
          <w:lang w:eastAsia="es-ES_tradnl"/>
        </w:rPr>
        <w:t xml:space="preserve">. </w:t>
      </w:r>
    </w:p>
    <w:p w14:paraId="7D6D0DEE" w14:textId="4DA71F65" w:rsidR="00930169" w:rsidRDefault="007B25DB" w:rsidP="000A3C90">
      <w:pPr>
        <w:overflowPunct w:val="0"/>
        <w:autoSpaceDE w:val="0"/>
        <w:autoSpaceDN w:val="0"/>
        <w:adjustRightInd w:val="0"/>
        <w:spacing w:line="240" w:lineRule="auto"/>
        <w:ind w:right="51"/>
        <w:jc w:val="both"/>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 xml:space="preserve">La anterior conclusión es producto </w:t>
      </w:r>
      <w:r w:rsidR="00930169">
        <w:rPr>
          <w:rFonts w:ascii="Arial" w:hAnsi="Arial" w:cs="Arial"/>
          <w:color w:val="000000" w:themeColor="text1"/>
          <w:sz w:val="24"/>
          <w:szCs w:val="24"/>
          <w:lang w:eastAsia="es-ES_tradnl"/>
        </w:rPr>
        <w:t>de una revisión del expediente electoral</w:t>
      </w:r>
      <w:r>
        <w:rPr>
          <w:rFonts w:ascii="Arial" w:hAnsi="Arial" w:cs="Arial"/>
          <w:color w:val="000000" w:themeColor="text1"/>
          <w:sz w:val="24"/>
          <w:szCs w:val="24"/>
          <w:lang w:eastAsia="es-ES_tradnl"/>
        </w:rPr>
        <w:t xml:space="preserve">, a partir </w:t>
      </w:r>
      <w:r w:rsidR="003D1208">
        <w:rPr>
          <w:rFonts w:ascii="Arial" w:hAnsi="Arial" w:cs="Arial"/>
          <w:color w:val="000000" w:themeColor="text1"/>
          <w:sz w:val="24"/>
          <w:szCs w:val="24"/>
          <w:lang w:eastAsia="es-ES_tradnl"/>
        </w:rPr>
        <w:t xml:space="preserve">del que </w:t>
      </w:r>
      <w:r w:rsidR="00930169">
        <w:rPr>
          <w:rFonts w:ascii="Arial" w:hAnsi="Arial" w:cs="Arial"/>
          <w:color w:val="000000" w:themeColor="text1"/>
          <w:sz w:val="24"/>
          <w:szCs w:val="24"/>
          <w:lang w:eastAsia="es-ES_tradnl"/>
        </w:rPr>
        <w:t>esta Sala</w:t>
      </w:r>
      <w:r w:rsidR="008035D9">
        <w:rPr>
          <w:rFonts w:ascii="Arial" w:hAnsi="Arial" w:cs="Arial"/>
          <w:color w:val="000000" w:themeColor="text1"/>
          <w:sz w:val="24"/>
          <w:szCs w:val="24"/>
          <w:lang w:eastAsia="es-ES_tradnl"/>
        </w:rPr>
        <w:t xml:space="preserve"> comprobó </w:t>
      </w:r>
      <w:r w:rsidR="00930169">
        <w:rPr>
          <w:rFonts w:ascii="Arial" w:hAnsi="Arial" w:cs="Arial"/>
          <w:color w:val="000000" w:themeColor="text1"/>
          <w:sz w:val="24"/>
          <w:szCs w:val="24"/>
          <w:lang w:eastAsia="es-ES_tradnl"/>
        </w:rPr>
        <w:t xml:space="preserve">que </w:t>
      </w:r>
      <w:r w:rsidR="00F12C30">
        <w:rPr>
          <w:rFonts w:ascii="Arial" w:hAnsi="Arial" w:cs="Arial"/>
          <w:color w:val="000000" w:themeColor="text1"/>
          <w:sz w:val="24"/>
          <w:szCs w:val="24"/>
          <w:lang w:eastAsia="es-ES_tradnl"/>
        </w:rPr>
        <w:t xml:space="preserve">los reparos tal y como los propuso </w:t>
      </w:r>
      <w:r w:rsidR="00205879">
        <w:rPr>
          <w:rFonts w:ascii="Arial" w:hAnsi="Arial" w:cs="Arial"/>
          <w:color w:val="000000" w:themeColor="text1"/>
          <w:sz w:val="24"/>
          <w:szCs w:val="24"/>
          <w:lang w:eastAsia="es-ES_tradnl"/>
        </w:rPr>
        <w:t>el actor</w:t>
      </w:r>
      <w:r w:rsidR="008035D9">
        <w:rPr>
          <w:rFonts w:ascii="Arial" w:hAnsi="Arial" w:cs="Arial"/>
          <w:color w:val="000000" w:themeColor="text1"/>
          <w:sz w:val="24"/>
          <w:szCs w:val="24"/>
          <w:lang w:eastAsia="es-ES_tradnl"/>
        </w:rPr>
        <w:t xml:space="preserve"> en esta sede constitucional, también</w:t>
      </w:r>
      <w:r w:rsidR="00F12C30">
        <w:rPr>
          <w:rFonts w:ascii="Arial" w:hAnsi="Arial" w:cs="Arial"/>
          <w:color w:val="000000" w:themeColor="text1"/>
          <w:sz w:val="24"/>
          <w:szCs w:val="24"/>
          <w:lang w:eastAsia="es-ES_tradnl"/>
        </w:rPr>
        <w:t xml:space="preserve"> </w:t>
      </w:r>
      <w:r w:rsidR="003D1208">
        <w:rPr>
          <w:rFonts w:ascii="Arial" w:hAnsi="Arial" w:cs="Arial"/>
          <w:color w:val="000000" w:themeColor="text1"/>
          <w:sz w:val="24"/>
          <w:szCs w:val="24"/>
          <w:lang w:eastAsia="es-ES_tradnl"/>
        </w:rPr>
        <w:t xml:space="preserve">los planteó en el trámite de las recusaciones, </w:t>
      </w:r>
      <w:r>
        <w:rPr>
          <w:rFonts w:ascii="Arial" w:hAnsi="Arial" w:cs="Arial"/>
          <w:color w:val="000000" w:themeColor="text1"/>
          <w:sz w:val="24"/>
          <w:szCs w:val="24"/>
          <w:lang w:eastAsia="es-ES_tradnl"/>
        </w:rPr>
        <w:t>al solicitar</w:t>
      </w:r>
      <w:r w:rsidR="003D1208">
        <w:rPr>
          <w:rFonts w:ascii="Arial" w:hAnsi="Arial" w:cs="Arial"/>
          <w:color w:val="000000" w:themeColor="text1"/>
          <w:sz w:val="24"/>
          <w:szCs w:val="24"/>
          <w:lang w:eastAsia="es-ES_tradnl"/>
        </w:rPr>
        <w:t xml:space="preserve"> allí</w:t>
      </w:r>
      <w:r>
        <w:rPr>
          <w:rFonts w:ascii="Arial" w:hAnsi="Arial" w:cs="Arial"/>
          <w:color w:val="000000" w:themeColor="text1"/>
          <w:sz w:val="24"/>
          <w:szCs w:val="24"/>
          <w:lang w:eastAsia="es-ES_tradnl"/>
        </w:rPr>
        <w:t xml:space="preserve">, entre otras, que estas se rechazaran por improcedentes conforme lo </w:t>
      </w:r>
      <w:r w:rsidR="00632981">
        <w:rPr>
          <w:rFonts w:ascii="Arial" w:hAnsi="Arial" w:cs="Arial"/>
          <w:color w:val="000000" w:themeColor="text1"/>
          <w:sz w:val="24"/>
          <w:szCs w:val="24"/>
          <w:lang w:eastAsia="es-ES_tradnl"/>
        </w:rPr>
        <w:t>prevén</w:t>
      </w:r>
      <w:r>
        <w:rPr>
          <w:rFonts w:ascii="Arial" w:hAnsi="Arial" w:cs="Arial"/>
          <w:color w:val="000000" w:themeColor="text1"/>
          <w:sz w:val="24"/>
          <w:szCs w:val="24"/>
          <w:lang w:eastAsia="es-ES_tradnl"/>
        </w:rPr>
        <w:t xml:space="preserve"> </w:t>
      </w:r>
      <w:r w:rsidR="00AB08F9">
        <w:rPr>
          <w:rFonts w:ascii="Arial" w:hAnsi="Arial" w:cs="Arial"/>
          <w:color w:val="000000" w:themeColor="text1"/>
          <w:sz w:val="24"/>
          <w:szCs w:val="24"/>
          <w:lang w:eastAsia="es-ES_tradnl"/>
        </w:rPr>
        <w:t>los numerales 3 del articulo 132 del CPACA y 4 del artículo 142 de del CGP</w:t>
      </w:r>
      <w:r w:rsidR="00AA75EE">
        <w:rPr>
          <w:rFonts w:ascii="Arial" w:hAnsi="Arial" w:cs="Arial"/>
          <w:color w:val="000000" w:themeColor="text1"/>
          <w:sz w:val="24"/>
          <w:szCs w:val="24"/>
          <w:lang w:eastAsia="es-ES_tradnl"/>
        </w:rPr>
        <w:t>. Ello conllevó a que la Subsección B de la Sección Segunda del Consejo de Estado, en decisión del 9 de febrero de 2023, rechazara por improcedente la recusación y la nulidad presentadas, en aplicación de lo dispuesto</w:t>
      </w:r>
      <w:r w:rsidR="001207E7">
        <w:rPr>
          <w:rFonts w:ascii="Arial" w:hAnsi="Arial" w:cs="Arial"/>
          <w:color w:val="000000" w:themeColor="text1"/>
          <w:sz w:val="24"/>
          <w:szCs w:val="24"/>
          <w:lang w:eastAsia="es-ES_tradnl"/>
        </w:rPr>
        <w:t>,</w:t>
      </w:r>
      <w:r w:rsidR="00AA75EE">
        <w:rPr>
          <w:rFonts w:ascii="Arial" w:hAnsi="Arial" w:cs="Arial"/>
          <w:color w:val="000000" w:themeColor="text1"/>
          <w:sz w:val="24"/>
          <w:szCs w:val="24"/>
          <w:lang w:eastAsia="es-ES_tradnl"/>
        </w:rPr>
        <w:t xml:space="preserve"> precisamente</w:t>
      </w:r>
      <w:r w:rsidR="001207E7">
        <w:rPr>
          <w:rFonts w:ascii="Arial" w:hAnsi="Arial" w:cs="Arial"/>
          <w:color w:val="000000" w:themeColor="text1"/>
          <w:sz w:val="24"/>
          <w:szCs w:val="24"/>
          <w:lang w:eastAsia="es-ES_tradnl"/>
        </w:rPr>
        <w:t xml:space="preserve">, </w:t>
      </w:r>
      <w:r w:rsidR="00AA75EE">
        <w:rPr>
          <w:rFonts w:ascii="Arial" w:hAnsi="Arial" w:cs="Arial"/>
          <w:color w:val="000000" w:themeColor="text1"/>
          <w:sz w:val="24"/>
          <w:szCs w:val="24"/>
          <w:lang w:eastAsia="es-ES_tradnl"/>
        </w:rPr>
        <w:t xml:space="preserve">en la normativa que el actor consideró fue indebidamente aplicada. </w:t>
      </w:r>
    </w:p>
    <w:p w14:paraId="0BAA62B1" w14:textId="507669E2" w:rsidR="00CF1A30" w:rsidRDefault="00CF1A30" w:rsidP="000A3C90">
      <w:pPr>
        <w:overflowPunct w:val="0"/>
        <w:autoSpaceDE w:val="0"/>
        <w:autoSpaceDN w:val="0"/>
        <w:adjustRightInd w:val="0"/>
        <w:spacing w:line="240" w:lineRule="auto"/>
        <w:ind w:right="51"/>
        <w:jc w:val="both"/>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Así pues, el actor constitucional</w:t>
      </w:r>
      <w:r w:rsidR="00022F0E">
        <w:rPr>
          <w:rFonts w:ascii="Arial" w:hAnsi="Arial" w:cs="Arial"/>
          <w:color w:val="000000" w:themeColor="text1"/>
          <w:sz w:val="24"/>
          <w:szCs w:val="24"/>
          <w:lang w:eastAsia="es-ES_tradnl"/>
        </w:rPr>
        <w:t>, más allá de poner de presente las inminentes dilaciones que se han presentado en el proceso electoral</w:t>
      </w:r>
      <w:r w:rsidR="008035D9">
        <w:rPr>
          <w:rFonts w:ascii="Arial" w:hAnsi="Arial" w:cs="Arial"/>
          <w:color w:val="000000" w:themeColor="text1"/>
          <w:sz w:val="24"/>
          <w:szCs w:val="24"/>
          <w:lang w:eastAsia="es-ES_tradnl"/>
        </w:rPr>
        <w:t xml:space="preserve">, </w:t>
      </w:r>
      <w:r w:rsidR="008A2CAB">
        <w:rPr>
          <w:rFonts w:ascii="Arial" w:hAnsi="Arial" w:cs="Arial"/>
          <w:color w:val="000000" w:themeColor="text1"/>
          <w:sz w:val="24"/>
          <w:szCs w:val="24"/>
          <w:lang w:eastAsia="es-ES_tradnl"/>
        </w:rPr>
        <w:t>no</w:t>
      </w:r>
      <w:r>
        <w:rPr>
          <w:rFonts w:ascii="Arial" w:hAnsi="Arial" w:cs="Arial"/>
          <w:color w:val="000000" w:themeColor="text1"/>
          <w:sz w:val="24"/>
          <w:szCs w:val="24"/>
          <w:lang w:eastAsia="es-ES_tradnl"/>
        </w:rPr>
        <w:t xml:space="preserve"> logró acreditar cómo las decisiones enjuiciadas le generaron una afectación desproporcionada </w:t>
      </w:r>
      <w:r w:rsidR="00972FBE">
        <w:rPr>
          <w:rFonts w:ascii="Arial" w:hAnsi="Arial" w:cs="Arial"/>
          <w:color w:val="000000" w:themeColor="text1"/>
          <w:sz w:val="24"/>
          <w:szCs w:val="24"/>
          <w:lang w:eastAsia="es-ES_tradnl"/>
        </w:rPr>
        <w:t>en su derecho fundamental al debido proceso</w:t>
      </w:r>
      <w:r w:rsidR="00CB674E">
        <w:rPr>
          <w:rFonts w:ascii="Arial" w:hAnsi="Arial" w:cs="Arial"/>
          <w:color w:val="000000" w:themeColor="text1"/>
          <w:sz w:val="24"/>
          <w:szCs w:val="24"/>
          <w:lang w:eastAsia="es-ES_tradnl"/>
        </w:rPr>
        <w:t xml:space="preserve">, </w:t>
      </w:r>
      <w:r w:rsidR="000539C1">
        <w:rPr>
          <w:rFonts w:ascii="Arial" w:hAnsi="Arial" w:cs="Arial"/>
          <w:color w:val="000000" w:themeColor="text1"/>
          <w:sz w:val="24"/>
          <w:szCs w:val="24"/>
          <w:lang w:eastAsia="es-ES_tradnl"/>
        </w:rPr>
        <w:t>a lo que hay que agregar que el asunto</w:t>
      </w:r>
      <w:r w:rsidR="000B0DDD">
        <w:rPr>
          <w:rFonts w:ascii="Arial" w:hAnsi="Arial" w:cs="Arial"/>
          <w:color w:val="000000" w:themeColor="text1"/>
          <w:sz w:val="24"/>
          <w:szCs w:val="24"/>
          <w:lang w:eastAsia="es-ES_tradnl"/>
        </w:rPr>
        <w:t xml:space="preserve">, </w:t>
      </w:r>
      <w:r w:rsidR="000539C1">
        <w:rPr>
          <w:rFonts w:ascii="Arial" w:hAnsi="Arial" w:cs="Arial"/>
          <w:color w:val="000000" w:themeColor="text1"/>
          <w:sz w:val="24"/>
          <w:szCs w:val="24"/>
          <w:lang w:eastAsia="es-ES_tradnl"/>
        </w:rPr>
        <w:t>en sí mismo</w:t>
      </w:r>
      <w:r w:rsidR="000B0DDD">
        <w:rPr>
          <w:rFonts w:ascii="Arial" w:hAnsi="Arial" w:cs="Arial"/>
          <w:color w:val="000000" w:themeColor="text1"/>
          <w:sz w:val="24"/>
          <w:szCs w:val="24"/>
          <w:lang w:eastAsia="es-ES_tradnl"/>
        </w:rPr>
        <w:t>,</w:t>
      </w:r>
      <w:r w:rsidR="000539C1">
        <w:rPr>
          <w:rFonts w:ascii="Arial" w:hAnsi="Arial" w:cs="Arial"/>
          <w:color w:val="000000" w:themeColor="text1"/>
          <w:sz w:val="24"/>
          <w:szCs w:val="24"/>
          <w:lang w:eastAsia="es-ES_tradnl"/>
        </w:rPr>
        <w:t xml:space="preserve"> tampoco </w:t>
      </w:r>
      <w:r w:rsidR="00CB674E">
        <w:rPr>
          <w:rFonts w:ascii="Arial" w:hAnsi="Arial" w:cs="Arial"/>
          <w:color w:val="000000" w:themeColor="text1"/>
          <w:sz w:val="24"/>
          <w:szCs w:val="24"/>
          <w:lang w:eastAsia="es-ES_tradnl"/>
        </w:rPr>
        <w:t xml:space="preserve">no tendría la potencialidad de incidir en la interpretación de la Constitución Política, o en el alcance del núcleo esencial de la garantía </w:t>
      </w:r>
      <w:r w:rsidR="00CB674E">
        <w:rPr>
          <w:rFonts w:ascii="Arial" w:hAnsi="Arial" w:cs="Arial"/>
          <w:i/>
          <w:iCs/>
          <w:color w:val="000000" w:themeColor="text1"/>
          <w:sz w:val="24"/>
          <w:szCs w:val="24"/>
          <w:lang w:eastAsia="es-ES_tradnl"/>
        </w:rPr>
        <w:t xml:space="preserve">iusfundamental </w:t>
      </w:r>
      <w:r w:rsidR="00CB674E">
        <w:rPr>
          <w:rFonts w:ascii="Arial" w:hAnsi="Arial" w:cs="Arial"/>
          <w:color w:val="000000" w:themeColor="text1"/>
          <w:sz w:val="24"/>
          <w:szCs w:val="24"/>
          <w:lang w:eastAsia="es-ES_tradnl"/>
        </w:rPr>
        <w:t xml:space="preserve">invocada. </w:t>
      </w:r>
    </w:p>
    <w:p w14:paraId="01A7C170" w14:textId="3156BD25" w:rsidR="002E59A1" w:rsidRDefault="002E59A1" w:rsidP="000A3C90">
      <w:pPr>
        <w:overflowPunct w:val="0"/>
        <w:autoSpaceDE w:val="0"/>
        <w:autoSpaceDN w:val="0"/>
        <w:adjustRightInd w:val="0"/>
        <w:spacing w:line="240" w:lineRule="auto"/>
        <w:ind w:right="51"/>
        <w:jc w:val="both"/>
        <w:rPr>
          <w:rFonts w:ascii="Arial" w:hAnsi="Arial" w:cs="Arial"/>
          <w:color w:val="000000" w:themeColor="text1"/>
          <w:sz w:val="24"/>
          <w:szCs w:val="24"/>
          <w:lang w:eastAsia="es-ES_tradnl"/>
        </w:rPr>
      </w:pPr>
      <w:r>
        <w:rPr>
          <w:rFonts w:ascii="Arial" w:hAnsi="Arial" w:cs="Arial"/>
          <w:color w:val="000000" w:themeColor="text1"/>
          <w:sz w:val="24"/>
          <w:szCs w:val="24"/>
          <w:lang w:eastAsia="es-ES_tradnl"/>
        </w:rPr>
        <w:t xml:space="preserve">Por las razones presentadas, esta Sala declarará la improcedencia del presente amparo constitucional. </w:t>
      </w:r>
    </w:p>
    <w:p w14:paraId="281649C1" w14:textId="77777777" w:rsidR="00096EC9" w:rsidRPr="00096EC9" w:rsidRDefault="00096EC9" w:rsidP="00096EC9">
      <w:pPr>
        <w:keepNext/>
        <w:spacing w:before="240" w:line="240" w:lineRule="auto"/>
        <w:jc w:val="both"/>
        <w:textAlignment w:val="baseline"/>
        <w:rPr>
          <w:rFonts w:ascii="Arial" w:hAnsi="Arial" w:cs="Arial"/>
          <w:sz w:val="24"/>
          <w:szCs w:val="24"/>
          <w:shd w:val="clear" w:color="auto" w:fill="FFFFFF"/>
          <w:lang w:eastAsia="es-ES_tradnl"/>
        </w:rPr>
      </w:pPr>
      <w:r w:rsidRPr="00096EC9">
        <w:rPr>
          <w:rFonts w:ascii="Arial" w:hAnsi="Arial" w:cs="Arial"/>
          <w:sz w:val="24"/>
          <w:szCs w:val="24"/>
          <w:shd w:val="clear" w:color="auto" w:fill="FFFFFF"/>
          <w:lang w:eastAsia="es-ES_tradnl"/>
        </w:rPr>
        <w:t>En mérito de lo expuesto, el Consejo de Estado, Sala de lo Contencioso Administrativo, Sección Tercera, Subsección C, administrando justicia en nombre de la República y por autoridad de la ley, </w:t>
      </w:r>
    </w:p>
    <w:p w14:paraId="7A1828A2" w14:textId="77777777" w:rsidR="00096EC9" w:rsidRPr="00096EC9" w:rsidRDefault="00096EC9" w:rsidP="00096EC9">
      <w:pPr>
        <w:spacing w:before="240" w:after="0" w:line="240" w:lineRule="auto"/>
        <w:jc w:val="center"/>
        <w:textAlignment w:val="baseline"/>
        <w:rPr>
          <w:rFonts w:ascii="Arial" w:hAnsi="Arial" w:cs="Arial"/>
          <w:b/>
          <w:bCs/>
          <w:sz w:val="24"/>
          <w:szCs w:val="24"/>
          <w:shd w:val="clear" w:color="auto" w:fill="FFFFFF"/>
          <w:lang w:eastAsia="es-ES_tradnl"/>
        </w:rPr>
      </w:pPr>
      <w:r w:rsidRPr="00096EC9">
        <w:rPr>
          <w:rFonts w:ascii="Arial" w:hAnsi="Arial" w:cs="Arial"/>
          <w:b/>
          <w:bCs/>
          <w:sz w:val="24"/>
          <w:szCs w:val="24"/>
          <w:shd w:val="clear" w:color="auto" w:fill="FFFFFF"/>
          <w:lang w:eastAsia="es-ES_tradnl"/>
        </w:rPr>
        <w:t>FALLA</w:t>
      </w:r>
    </w:p>
    <w:p w14:paraId="0BDBBF8C" w14:textId="77777777" w:rsidR="00096EC9" w:rsidRPr="00096EC9" w:rsidRDefault="00096EC9" w:rsidP="00096EC9">
      <w:pPr>
        <w:tabs>
          <w:tab w:val="left" w:pos="6359"/>
        </w:tabs>
        <w:spacing w:after="0" w:line="240" w:lineRule="auto"/>
        <w:jc w:val="both"/>
        <w:textAlignment w:val="baseline"/>
        <w:rPr>
          <w:rFonts w:ascii="Arial" w:hAnsi="Arial" w:cs="Arial"/>
          <w:b/>
          <w:bCs/>
          <w:sz w:val="24"/>
          <w:szCs w:val="24"/>
          <w:shd w:val="clear" w:color="auto" w:fill="FFFFFF"/>
          <w:lang w:eastAsia="es-ES_tradnl"/>
        </w:rPr>
      </w:pPr>
    </w:p>
    <w:p w14:paraId="08501888" w14:textId="65B77C7C" w:rsidR="00096EC9" w:rsidRPr="00096EC9" w:rsidRDefault="00096EC9" w:rsidP="00096EC9">
      <w:pPr>
        <w:tabs>
          <w:tab w:val="left" w:pos="0"/>
        </w:tabs>
        <w:spacing w:after="0" w:line="240" w:lineRule="auto"/>
        <w:contextualSpacing/>
        <w:jc w:val="both"/>
        <w:rPr>
          <w:rFonts w:ascii="Arial" w:hAnsi="Arial" w:cs="Arial"/>
          <w:sz w:val="24"/>
          <w:szCs w:val="24"/>
          <w:shd w:val="clear" w:color="auto" w:fill="FFFFFF"/>
          <w:lang w:eastAsia="es-ES_tradnl"/>
        </w:rPr>
      </w:pPr>
      <w:r w:rsidRPr="00096EC9">
        <w:rPr>
          <w:rFonts w:ascii="Arial" w:hAnsi="Arial" w:cs="Arial"/>
          <w:b/>
          <w:bCs/>
          <w:sz w:val="24"/>
          <w:szCs w:val="24"/>
          <w:shd w:val="clear" w:color="auto" w:fill="FFFFFF"/>
          <w:lang w:eastAsia="es-ES_tradnl"/>
        </w:rPr>
        <w:t xml:space="preserve">PRIMERO. DECLARAR </w:t>
      </w:r>
      <w:r w:rsidRPr="00096EC9">
        <w:rPr>
          <w:rFonts w:ascii="Arial" w:hAnsi="Arial" w:cs="Arial"/>
          <w:sz w:val="24"/>
          <w:szCs w:val="24"/>
          <w:shd w:val="clear" w:color="auto" w:fill="FFFFFF"/>
          <w:lang w:eastAsia="es-ES_tradnl"/>
        </w:rPr>
        <w:t>improcedente la solicitud de amparo que present</w:t>
      </w:r>
      <w:r>
        <w:rPr>
          <w:rFonts w:ascii="Arial" w:hAnsi="Arial" w:cs="Arial"/>
          <w:sz w:val="24"/>
          <w:szCs w:val="24"/>
          <w:shd w:val="clear" w:color="auto" w:fill="FFFFFF"/>
          <w:lang w:eastAsia="es-ES_tradnl"/>
        </w:rPr>
        <w:t xml:space="preserve">ó Elkin Enrique Díaz Camacho, </w:t>
      </w:r>
      <w:r w:rsidRPr="00096EC9">
        <w:rPr>
          <w:rFonts w:ascii="Arial" w:hAnsi="Arial" w:cs="Arial"/>
          <w:color w:val="000000"/>
          <w:sz w:val="24"/>
          <w:szCs w:val="24"/>
          <w:lang w:val="es-ES_tradnl" w:eastAsia="es-ES_tradnl"/>
        </w:rPr>
        <w:t xml:space="preserve">por las razones expuestas en la parte motiva de esta providencia. </w:t>
      </w:r>
    </w:p>
    <w:p w14:paraId="03C9D581" w14:textId="77777777" w:rsidR="00096EC9" w:rsidRPr="00096EC9" w:rsidRDefault="00096EC9" w:rsidP="00096EC9">
      <w:pPr>
        <w:tabs>
          <w:tab w:val="left" w:pos="6359"/>
        </w:tabs>
        <w:spacing w:after="0" w:line="240" w:lineRule="auto"/>
        <w:jc w:val="both"/>
        <w:textAlignment w:val="baseline"/>
        <w:rPr>
          <w:rFonts w:ascii="Arial" w:hAnsi="Arial" w:cs="Arial"/>
          <w:sz w:val="24"/>
          <w:szCs w:val="24"/>
          <w:shd w:val="clear" w:color="auto" w:fill="FFFFFF"/>
          <w:lang w:eastAsia="es-ES_tradnl"/>
        </w:rPr>
      </w:pPr>
    </w:p>
    <w:p w14:paraId="71105CE6" w14:textId="55AEF043" w:rsidR="00096EC9" w:rsidRPr="00096EC9" w:rsidRDefault="00096EC9" w:rsidP="00096EC9">
      <w:pPr>
        <w:tabs>
          <w:tab w:val="left" w:pos="6359"/>
        </w:tabs>
        <w:spacing w:after="0" w:line="240" w:lineRule="auto"/>
        <w:jc w:val="both"/>
        <w:textAlignment w:val="baseline"/>
        <w:rPr>
          <w:rFonts w:ascii="Arial" w:hAnsi="Arial" w:cs="Arial"/>
          <w:sz w:val="24"/>
          <w:szCs w:val="24"/>
          <w:shd w:val="clear" w:color="auto" w:fill="FFFFFF"/>
          <w:lang w:eastAsia="es-ES_tradnl"/>
        </w:rPr>
      </w:pPr>
      <w:r w:rsidRPr="00096EC9">
        <w:rPr>
          <w:rFonts w:ascii="Arial" w:hAnsi="Arial" w:cs="Arial"/>
          <w:b/>
          <w:bCs/>
          <w:sz w:val="24"/>
          <w:szCs w:val="24"/>
          <w:shd w:val="clear" w:color="auto" w:fill="FFFFFF"/>
          <w:lang w:eastAsia="es-ES_tradnl"/>
        </w:rPr>
        <w:t xml:space="preserve">SEGUNDO. </w:t>
      </w:r>
      <w:r>
        <w:rPr>
          <w:rFonts w:ascii="Arial" w:hAnsi="Arial" w:cs="Arial"/>
          <w:b/>
          <w:bCs/>
          <w:sz w:val="24"/>
          <w:szCs w:val="24"/>
          <w:shd w:val="clear" w:color="auto" w:fill="FFFFFF"/>
          <w:lang w:eastAsia="es-ES_tradnl"/>
        </w:rPr>
        <w:t xml:space="preserve">NEGAR </w:t>
      </w:r>
      <w:r>
        <w:rPr>
          <w:rFonts w:ascii="Arial" w:hAnsi="Arial" w:cs="Arial"/>
          <w:sz w:val="24"/>
          <w:szCs w:val="24"/>
          <w:shd w:val="clear" w:color="auto" w:fill="FFFFFF"/>
          <w:lang w:eastAsia="es-ES_tradnl"/>
        </w:rPr>
        <w:t xml:space="preserve">la desvinculación del presente trámite que, por falta de legitimación en la causa por pasiva, </w:t>
      </w:r>
      <w:r w:rsidR="00EF40FD">
        <w:rPr>
          <w:rFonts w:ascii="Arial" w:hAnsi="Arial" w:cs="Arial"/>
          <w:sz w:val="24"/>
          <w:szCs w:val="24"/>
          <w:shd w:val="clear" w:color="auto" w:fill="FFFFFF"/>
          <w:lang w:eastAsia="es-ES_tradnl"/>
        </w:rPr>
        <w:t xml:space="preserve">solicitaron </w:t>
      </w:r>
      <w:r>
        <w:rPr>
          <w:rFonts w:ascii="Arial" w:hAnsi="Arial" w:cs="Arial"/>
          <w:sz w:val="24"/>
          <w:szCs w:val="24"/>
          <w:shd w:val="clear" w:color="auto" w:fill="FFFFFF"/>
          <w:lang w:eastAsia="es-ES_tradnl"/>
        </w:rPr>
        <w:t>la Sección Quinta del Consejo de Estado, el Consejo Nacional Electoral y la Registraduría Nacional del Estado Civil</w:t>
      </w:r>
      <w:r w:rsidR="00EF40FD">
        <w:rPr>
          <w:rFonts w:ascii="Arial" w:hAnsi="Arial" w:cs="Arial"/>
          <w:sz w:val="24"/>
          <w:szCs w:val="24"/>
          <w:shd w:val="clear" w:color="auto" w:fill="FFFFFF"/>
          <w:lang w:eastAsia="es-ES_tradnl"/>
        </w:rPr>
        <w:t>, atendiendo a lo consignado en la parte motiva.</w:t>
      </w:r>
      <w:r>
        <w:rPr>
          <w:rFonts w:ascii="Arial" w:hAnsi="Arial" w:cs="Arial"/>
          <w:sz w:val="24"/>
          <w:szCs w:val="24"/>
          <w:shd w:val="clear" w:color="auto" w:fill="FFFFFF"/>
          <w:lang w:eastAsia="es-ES_tradnl"/>
        </w:rPr>
        <w:t xml:space="preserve"> </w:t>
      </w:r>
    </w:p>
    <w:p w14:paraId="1BC8D5BF" w14:textId="77777777" w:rsidR="00096EC9" w:rsidRPr="00096EC9" w:rsidRDefault="00096EC9" w:rsidP="00096EC9">
      <w:pPr>
        <w:tabs>
          <w:tab w:val="left" w:pos="6359"/>
        </w:tabs>
        <w:spacing w:after="0" w:line="240" w:lineRule="auto"/>
        <w:jc w:val="both"/>
        <w:textAlignment w:val="baseline"/>
        <w:rPr>
          <w:rFonts w:ascii="Arial" w:hAnsi="Arial" w:cs="Arial"/>
          <w:b/>
          <w:bCs/>
          <w:sz w:val="24"/>
          <w:szCs w:val="24"/>
          <w:shd w:val="clear" w:color="auto" w:fill="FFFFFF"/>
          <w:lang w:eastAsia="es-ES_tradnl"/>
        </w:rPr>
      </w:pPr>
    </w:p>
    <w:p w14:paraId="02BCD356" w14:textId="77777777" w:rsidR="00096EC9" w:rsidRPr="00096EC9" w:rsidRDefault="00096EC9" w:rsidP="00096EC9">
      <w:pPr>
        <w:tabs>
          <w:tab w:val="left" w:pos="6359"/>
        </w:tabs>
        <w:spacing w:after="0" w:line="240" w:lineRule="auto"/>
        <w:jc w:val="both"/>
        <w:textAlignment w:val="baseline"/>
        <w:rPr>
          <w:rFonts w:ascii="Arial" w:hAnsi="Arial" w:cs="Arial"/>
          <w:sz w:val="24"/>
          <w:szCs w:val="24"/>
          <w:shd w:val="clear" w:color="auto" w:fill="FFFFFF"/>
          <w:lang w:eastAsia="es-ES_tradnl"/>
        </w:rPr>
      </w:pPr>
      <w:r w:rsidRPr="00096EC9">
        <w:rPr>
          <w:rFonts w:ascii="Arial" w:hAnsi="Arial" w:cs="Arial"/>
          <w:b/>
          <w:bCs/>
          <w:sz w:val="24"/>
          <w:szCs w:val="24"/>
          <w:shd w:val="clear" w:color="auto" w:fill="FFFFFF"/>
          <w:lang w:eastAsia="es-ES_tradnl"/>
        </w:rPr>
        <w:t xml:space="preserve">TERCERO. NOTIFICAR </w:t>
      </w:r>
      <w:r w:rsidRPr="00096EC9">
        <w:rPr>
          <w:rFonts w:ascii="Arial" w:hAnsi="Arial" w:cs="Arial"/>
          <w:sz w:val="24"/>
          <w:szCs w:val="24"/>
          <w:shd w:val="clear" w:color="auto" w:fill="FFFFFF"/>
          <w:lang w:eastAsia="es-ES_tradnl"/>
        </w:rPr>
        <w:t xml:space="preserve">la presente decisión a las partes y a los interesados por el medio más expedito.  </w:t>
      </w:r>
    </w:p>
    <w:p w14:paraId="210440A4" w14:textId="77777777" w:rsidR="00096EC9" w:rsidRPr="00096EC9" w:rsidRDefault="00096EC9" w:rsidP="00096EC9">
      <w:pPr>
        <w:tabs>
          <w:tab w:val="left" w:pos="6359"/>
        </w:tabs>
        <w:spacing w:after="0" w:line="240" w:lineRule="auto"/>
        <w:jc w:val="both"/>
        <w:textAlignment w:val="baseline"/>
        <w:rPr>
          <w:rFonts w:ascii="Arial" w:hAnsi="Arial" w:cs="Arial"/>
          <w:sz w:val="24"/>
          <w:szCs w:val="24"/>
          <w:shd w:val="clear" w:color="auto" w:fill="FFFFFF"/>
          <w:lang w:eastAsia="es-ES_tradnl"/>
        </w:rPr>
      </w:pPr>
    </w:p>
    <w:p w14:paraId="3B30A87A" w14:textId="77777777" w:rsidR="00096EC9" w:rsidRPr="00096EC9" w:rsidRDefault="00096EC9" w:rsidP="00096EC9">
      <w:pPr>
        <w:tabs>
          <w:tab w:val="left" w:pos="6359"/>
        </w:tabs>
        <w:spacing w:after="0" w:line="240" w:lineRule="auto"/>
        <w:jc w:val="both"/>
        <w:textAlignment w:val="baseline"/>
        <w:rPr>
          <w:rFonts w:ascii="Arial" w:hAnsi="Arial" w:cs="Arial"/>
          <w:sz w:val="24"/>
          <w:szCs w:val="24"/>
          <w:shd w:val="clear" w:color="auto" w:fill="FFFFFF"/>
          <w:lang w:eastAsia="es-ES_tradnl"/>
        </w:rPr>
      </w:pPr>
      <w:r w:rsidRPr="00096EC9">
        <w:rPr>
          <w:rFonts w:ascii="Arial" w:hAnsi="Arial" w:cs="Arial"/>
          <w:b/>
          <w:bCs/>
          <w:sz w:val="24"/>
          <w:szCs w:val="24"/>
          <w:shd w:val="clear" w:color="auto" w:fill="FFFFFF"/>
          <w:lang w:eastAsia="es-ES_tradnl"/>
        </w:rPr>
        <w:t xml:space="preserve">CUARTO. ENVIAR </w:t>
      </w:r>
      <w:r w:rsidRPr="00096EC9">
        <w:rPr>
          <w:rFonts w:ascii="Arial" w:hAnsi="Arial" w:cs="Arial"/>
          <w:sz w:val="24"/>
          <w:szCs w:val="24"/>
          <w:shd w:val="clear" w:color="auto" w:fill="FFFFFF"/>
          <w:lang w:eastAsia="es-ES_tradnl"/>
        </w:rPr>
        <w:t xml:space="preserve">la presente providencia a la Corte Constitucional para su eventual revisión, en caso de que esta sentencia no fuere impugnada. </w:t>
      </w:r>
    </w:p>
    <w:p w14:paraId="54BC1315" w14:textId="77777777" w:rsidR="00096EC9" w:rsidRPr="00096EC9" w:rsidRDefault="00096EC9" w:rsidP="00096EC9">
      <w:pPr>
        <w:tabs>
          <w:tab w:val="left" w:pos="6359"/>
        </w:tabs>
        <w:spacing w:after="0" w:line="240" w:lineRule="auto"/>
        <w:jc w:val="both"/>
        <w:textAlignment w:val="baseline"/>
        <w:rPr>
          <w:rFonts w:ascii="Arial" w:hAnsi="Arial" w:cs="Arial"/>
          <w:sz w:val="24"/>
          <w:szCs w:val="24"/>
          <w:shd w:val="clear" w:color="auto" w:fill="FFFFFF"/>
          <w:lang w:eastAsia="es-ES_tradnl"/>
        </w:rPr>
      </w:pPr>
    </w:p>
    <w:p w14:paraId="4E34E066" w14:textId="77777777" w:rsidR="00096EC9" w:rsidRPr="00096EC9" w:rsidRDefault="00096EC9" w:rsidP="00096EC9">
      <w:pPr>
        <w:tabs>
          <w:tab w:val="left" w:pos="6359"/>
        </w:tabs>
        <w:spacing w:after="0" w:line="240" w:lineRule="auto"/>
        <w:jc w:val="both"/>
        <w:textAlignment w:val="baseline"/>
        <w:rPr>
          <w:rFonts w:ascii="Arial" w:hAnsi="Arial" w:cs="Arial"/>
          <w:b/>
          <w:bCs/>
          <w:sz w:val="24"/>
          <w:szCs w:val="24"/>
          <w:shd w:val="clear" w:color="auto" w:fill="FFFFFF"/>
          <w:lang w:eastAsia="es-ES_tradnl"/>
        </w:rPr>
      </w:pPr>
      <w:r w:rsidRPr="00096EC9">
        <w:rPr>
          <w:rFonts w:ascii="Arial" w:hAnsi="Arial" w:cs="Arial"/>
          <w:b/>
          <w:bCs/>
          <w:sz w:val="24"/>
          <w:szCs w:val="24"/>
          <w:shd w:val="clear" w:color="auto" w:fill="FFFFFF"/>
          <w:lang w:eastAsia="es-ES_tradnl"/>
        </w:rPr>
        <w:tab/>
      </w:r>
    </w:p>
    <w:p w14:paraId="5D9185BD" w14:textId="77777777" w:rsidR="00096EC9" w:rsidRPr="00096EC9" w:rsidRDefault="00096EC9" w:rsidP="00096EC9">
      <w:pPr>
        <w:spacing w:after="0" w:line="240" w:lineRule="auto"/>
        <w:jc w:val="both"/>
        <w:textAlignment w:val="baseline"/>
        <w:rPr>
          <w:rFonts w:ascii="Arial" w:hAnsi="Arial" w:cs="Arial"/>
          <w:color w:val="000000"/>
          <w:sz w:val="24"/>
          <w:szCs w:val="24"/>
          <w:shd w:val="clear" w:color="auto" w:fill="FFFFFF"/>
          <w:lang w:eastAsia="es-ES_tradnl"/>
        </w:rPr>
      </w:pPr>
      <w:r w:rsidRPr="00096EC9">
        <w:rPr>
          <w:rFonts w:ascii="Arial" w:hAnsi="Arial" w:cs="Arial"/>
          <w:b/>
          <w:bCs/>
          <w:color w:val="000000"/>
          <w:sz w:val="24"/>
          <w:szCs w:val="24"/>
          <w:shd w:val="clear" w:color="auto" w:fill="FFFFFF"/>
          <w:lang w:eastAsia="es-ES_tradnl"/>
        </w:rPr>
        <w:t xml:space="preserve">Notifíquese y Cúmplase,  </w:t>
      </w:r>
    </w:p>
    <w:p w14:paraId="32C497F3" w14:textId="77777777" w:rsidR="00096EC9" w:rsidRPr="00096EC9" w:rsidRDefault="00096EC9" w:rsidP="00096EC9">
      <w:pPr>
        <w:spacing w:after="0" w:line="240" w:lineRule="auto"/>
        <w:textAlignment w:val="baseline"/>
        <w:rPr>
          <w:rFonts w:ascii="Arial" w:hAnsi="Arial" w:cs="Arial"/>
          <w:b/>
          <w:bCs/>
          <w:color w:val="000000"/>
          <w:sz w:val="24"/>
          <w:szCs w:val="24"/>
          <w:shd w:val="clear" w:color="auto" w:fill="FFFFFF"/>
          <w:lang w:eastAsia="es-ES_tradnl"/>
        </w:rPr>
      </w:pPr>
    </w:p>
    <w:p w14:paraId="3B061B85" w14:textId="77777777" w:rsidR="00096EC9" w:rsidRPr="00096EC9" w:rsidRDefault="00096EC9" w:rsidP="00096EC9">
      <w:pPr>
        <w:spacing w:after="0" w:line="240" w:lineRule="auto"/>
        <w:textAlignment w:val="baseline"/>
        <w:rPr>
          <w:rFonts w:ascii="Arial" w:hAnsi="Arial" w:cs="Arial"/>
          <w:b/>
          <w:bCs/>
          <w:color w:val="000000"/>
          <w:sz w:val="24"/>
          <w:szCs w:val="24"/>
          <w:shd w:val="clear" w:color="auto" w:fill="FFFFFF"/>
          <w:lang w:eastAsia="es-ES_tradnl"/>
        </w:rPr>
      </w:pPr>
    </w:p>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511"/>
      </w:tblGrid>
      <w:tr w:rsidR="00096EC9" w:rsidRPr="00096EC9" w14:paraId="35063D87" w14:textId="77777777" w:rsidTr="00103391">
        <w:tc>
          <w:tcPr>
            <w:tcW w:w="9215" w:type="dxa"/>
            <w:gridSpan w:val="2"/>
          </w:tcPr>
          <w:p w14:paraId="745A99C6" w14:textId="77777777" w:rsidR="00096EC9" w:rsidRPr="00096EC9" w:rsidRDefault="00096EC9" w:rsidP="00096EC9">
            <w:pPr>
              <w:tabs>
                <w:tab w:val="center" w:pos="4420"/>
                <w:tab w:val="right" w:pos="8840"/>
              </w:tabs>
              <w:ind w:right="51"/>
              <w:jc w:val="center"/>
              <w:rPr>
                <w:rFonts w:ascii="Arial" w:hAnsi="Arial" w:cs="Arial"/>
                <w:b/>
                <w:sz w:val="24"/>
                <w:szCs w:val="24"/>
                <w:lang w:eastAsia="es-ES_tradnl"/>
              </w:rPr>
            </w:pPr>
            <w:r w:rsidRPr="00096EC9">
              <w:rPr>
                <w:rFonts w:ascii="Arial" w:hAnsi="Arial" w:cs="Arial"/>
                <w:b/>
                <w:sz w:val="24"/>
                <w:szCs w:val="24"/>
                <w:lang w:eastAsia="es-ES_tradnl"/>
              </w:rPr>
              <w:t>NICOLÁS YEPES CORRALES</w:t>
            </w:r>
          </w:p>
          <w:p w14:paraId="52CA46AD" w14:textId="77777777" w:rsidR="00096EC9" w:rsidRPr="00096EC9" w:rsidRDefault="00096EC9" w:rsidP="00096EC9">
            <w:pPr>
              <w:spacing w:after="240"/>
              <w:ind w:right="51"/>
              <w:jc w:val="center"/>
              <w:rPr>
                <w:rFonts w:ascii="Arial" w:hAnsi="Arial" w:cs="Arial"/>
                <w:b/>
                <w:sz w:val="24"/>
                <w:szCs w:val="24"/>
                <w:lang w:eastAsia="es-ES_tradnl"/>
              </w:rPr>
            </w:pPr>
            <w:r w:rsidRPr="00096EC9">
              <w:rPr>
                <w:rFonts w:ascii="Arial" w:hAnsi="Arial" w:cs="Arial"/>
                <w:b/>
                <w:sz w:val="24"/>
                <w:szCs w:val="24"/>
                <w:lang w:eastAsia="es-ES_tradnl"/>
              </w:rPr>
              <w:t>Presidente de Sala</w:t>
            </w:r>
          </w:p>
        </w:tc>
      </w:tr>
      <w:tr w:rsidR="00096EC9" w:rsidRPr="00096EC9" w14:paraId="4C7F7C3A" w14:textId="77777777" w:rsidTr="00103391">
        <w:tc>
          <w:tcPr>
            <w:tcW w:w="4704" w:type="dxa"/>
          </w:tcPr>
          <w:p w14:paraId="4B734659" w14:textId="77777777" w:rsidR="00096EC9" w:rsidRPr="00096EC9" w:rsidRDefault="00096EC9" w:rsidP="00096EC9">
            <w:pPr>
              <w:spacing w:before="240"/>
              <w:ind w:right="51"/>
              <w:jc w:val="center"/>
              <w:rPr>
                <w:rFonts w:ascii="Arial" w:hAnsi="Arial" w:cs="Arial"/>
                <w:b/>
                <w:sz w:val="24"/>
                <w:szCs w:val="24"/>
                <w:lang w:eastAsia="es-ES_tradnl"/>
              </w:rPr>
            </w:pPr>
            <w:r w:rsidRPr="00096EC9">
              <w:rPr>
                <w:rFonts w:ascii="Arial" w:hAnsi="Arial" w:cs="Arial"/>
                <w:b/>
                <w:sz w:val="24"/>
                <w:szCs w:val="24"/>
                <w:lang w:eastAsia="es-ES_tradnl"/>
              </w:rPr>
              <w:t>JAIME ENRIQUE RODRÍGUEZ NAVAS</w:t>
            </w:r>
          </w:p>
          <w:p w14:paraId="205EAA29" w14:textId="77777777" w:rsidR="00096EC9" w:rsidRPr="00096EC9" w:rsidRDefault="00096EC9" w:rsidP="00096EC9">
            <w:pPr>
              <w:ind w:right="51"/>
              <w:jc w:val="center"/>
              <w:rPr>
                <w:rFonts w:ascii="Arial" w:hAnsi="Arial" w:cs="Arial"/>
                <w:b/>
                <w:sz w:val="24"/>
                <w:szCs w:val="24"/>
                <w:lang w:eastAsia="es-ES_tradnl"/>
              </w:rPr>
            </w:pPr>
            <w:r w:rsidRPr="00096EC9">
              <w:rPr>
                <w:rFonts w:ascii="Arial" w:hAnsi="Arial" w:cs="Arial"/>
                <w:b/>
                <w:sz w:val="24"/>
                <w:szCs w:val="24"/>
                <w:lang w:eastAsia="es-ES_tradnl"/>
              </w:rPr>
              <w:t>Magistrado</w:t>
            </w:r>
          </w:p>
          <w:p w14:paraId="6AB2BAF6" w14:textId="77777777" w:rsidR="00096EC9" w:rsidRPr="00096EC9" w:rsidRDefault="00096EC9" w:rsidP="00096EC9">
            <w:pPr>
              <w:ind w:right="51"/>
              <w:jc w:val="center"/>
              <w:rPr>
                <w:rFonts w:ascii="Arial" w:hAnsi="Arial" w:cs="Arial"/>
                <w:b/>
                <w:sz w:val="24"/>
                <w:szCs w:val="24"/>
                <w:lang w:eastAsia="es-ES_tradnl"/>
              </w:rPr>
            </w:pPr>
          </w:p>
          <w:p w14:paraId="3EEE84C5" w14:textId="7D499008" w:rsidR="00096EC9" w:rsidRPr="001E782D" w:rsidRDefault="00096EC9" w:rsidP="001E782D">
            <w:pPr>
              <w:ind w:right="51"/>
              <w:jc w:val="both"/>
              <w:rPr>
                <w:rFonts w:ascii="Arial" w:eastAsiaTheme="minorHAnsi" w:hAnsi="Arial" w:cs="Arial"/>
                <w:sz w:val="16"/>
                <w:szCs w:val="16"/>
                <w:lang w:eastAsia="es-ES_tradnl"/>
              </w:rPr>
            </w:pPr>
          </w:p>
        </w:tc>
        <w:tc>
          <w:tcPr>
            <w:tcW w:w="4511" w:type="dxa"/>
          </w:tcPr>
          <w:p w14:paraId="5F685341" w14:textId="77777777" w:rsidR="00096EC9" w:rsidRPr="00096EC9" w:rsidRDefault="00096EC9" w:rsidP="00096EC9">
            <w:pPr>
              <w:spacing w:before="240"/>
              <w:ind w:right="51"/>
              <w:jc w:val="center"/>
              <w:rPr>
                <w:rFonts w:ascii="Arial" w:hAnsi="Arial" w:cs="Arial"/>
                <w:b/>
                <w:sz w:val="24"/>
                <w:szCs w:val="24"/>
                <w:lang w:eastAsia="es-ES_tradnl"/>
              </w:rPr>
            </w:pPr>
            <w:r w:rsidRPr="00096EC9">
              <w:rPr>
                <w:rFonts w:ascii="Arial" w:hAnsi="Arial" w:cs="Arial"/>
                <w:b/>
                <w:sz w:val="24"/>
                <w:szCs w:val="24"/>
                <w:lang w:eastAsia="es-ES_tradnl"/>
              </w:rPr>
              <w:t>GUILLERMO SÁNCHEZ LUQUE</w:t>
            </w:r>
          </w:p>
          <w:p w14:paraId="404ECEB6" w14:textId="5A6C143D" w:rsidR="00096EC9" w:rsidRDefault="00096EC9" w:rsidP="00096EC9">
            <w:pPr>
              <w:ind w:right="51"/>
              <w:jc w:val="center"/>
              <w:rPr>
                <w:rFonts w:ascii="Arial" w:hAnsi="Arial" w:cs="Arial"/>
                <w:b/>
                <w:sz w:val="24"/>
                <w:szCs w:val="24"/>
                <w:lang w:eastAsia="es-ES_tradnl"/>
              </w:rPr>
            </w:pPr>
            <w:r w:rsidRPr="00096EC9">
              <w:rPr>
                <w:rFonts w:ascii="Arial" w:hAnsi="Arial" w:cs="Arial"/>
                <w:b/>
                <w:sz w:val="24"/>
                <w:szCs w:val="24"/>
                <w:lang w:eastAsia="es-ES_tradnl"/>
              </w:rPr>
              <w:t>Magistrado</w:t>
            </w:r>
          </w:p>
          <w:p w14:paraId="7F514930" w14:textId="78D3A0FC" w:rsidR="008035D9" w:rsidRPr="008035D9" w:rsidRDefault="008035D9" w:rsidP="00096EC9">
            <w:pPr>
              <w:ind w:right="51"/>
              <w:jc w:val="center"/>
              <w:rPr>
                <w:rFonts w:ascii="Arial" w:hAnsi="Arial" w:cs="Arial"/>
                <w:b/>
                <w:sz w:val="24"/>
                <w:szCs w:val="24"/>
                <w:lang w:eastAsia="es-ES_tradnl"/>
              </w:rPr>
            </w:pPr>
            <w:r>
              <w:rPr>
                <w:color w:val="000000"/>
                <w:sz w:val="27"/>
                <w:szCs w:val="27"/>
              </w:rPr>
              <w:t xml:space="preserve"> </w:t>
            </w:r>
            <w:r w:rsidRPr="008035D9">
              <w:rPr>
                <w:rFonts w:ascii="Arial" w:hAnsi="Arial" w:cs="Arial"/>
                <w:b/>
                <w:color w:val="000000"/>
                <w:sz w:val="24"/>
                <w:szCs w:val="24"/>
              </w:rPr>
              <w:t>Aclaración de voto Cfr. Rad. 11001-03-15-000-2019-01299-00</w:t>
            </w:r>
          </w:p>
          <w:p w14:paraId="2A5CFDC0" w14:textId="77777777" w:rsidR="00096EC9" w:rsidRPr="00096EC9" w:rsidRDefault="00096EC9" w:rsidP="00096EC9">
            <w:pPr>
              <w:tabs>
                <w:tab w:val="left" w:pos="709"/>
                <w:tab w:val="left" w:pos="9000"/>
              </w:tabs>
              <w:ind w:right="51"/>
              <w:jc w:val="center"/>
              <w:outlineLvl w:val="6"/>
              <w:rPr>
                <w:rFonts w:ascii="Arial" w:hAnsi="Arial" w:cs="Arial"/>
                <w:b/>
                <w:bCs/>
                <w:sz w:val="24"/>
                <w:szCs w:val="24"/>
                <w:lang w:eastAsia="es-ES_tradnl"/>
              </w:rPr>
            </w:pPr>
          </w:p>
        </w:tc>
      </w:tr>
      <w:tr w:rsidR="00EF40FD" w:rsidRPr="00096EC9" w14:paraId="31587E06" w14:textId="77777777" w:rsidTr="00103391">
        <w:tc>
          <w:tcPr>
            <w:tcW w:w="4704" w:type="dxa"/>
          </w:tcPr>
          <w:p w14:paraId="15967666" w14:textId="61470479" w:rsidR="00EF40FD" w:rsidRPr="00EF40FD" w:rsidRDefault="00EF40FD" w:rsidP="00EF40FD">
            <w:pPr>
              <w:spacing w:before="240"/>
              <w:ind w:right="51"/>
              <w:jc w:val="both"/>
              <w:rPr>
                <w:rFonts w:ascii="Arial" w:hAnsi="Arial" w:cs="Arial"/>
                <w:b/>
                <w:sz w:val="16"/>
                <w:szCs w:val="16"/>
                <w:lang w:eastAsia="es-ES_tradnl"/>
              </w:rPr>
            </w:pPr>
            <w:r>
              <w:rPr>
                <w:rFonts w:ascii="Arial" w:hAnsi="Arial" w:cs="Arial"/>
                <w:b/>
                <w:sz w:val="16"/>
                <w:szCs w:val="16"/>
                <w:lang w:eastAsia="es-ES_tradnl"/>
              </w:rPr>
              <w:t>VMP</w:t>
            </w:r>
          </w:p>
        </w:tc>
        <w:tc>
          <w:tcPr>
            <w:tcW w:w="4511" w:type="dxa"/>
          </w:tcPr>
          <w:p w14:paraId="4848F129" w14:textId="77777777" w:rsidR="00EF40FD" w:rsidRPr="00096EC9" w:rsidRDefault="00EF40FD" w:rsidP="00096EC9">
            <w:pPr>
              <w:spacing w:before="240"/>
              <w:ind w:right="51"/>
              <w:jc w:val="center"/>
              <w:rPr>
                <w:rFonts w:ascii="Arial" w:hAnsi="Arial" w:cs="Arial"/>
                <w:b/>
                <w:sz w:val="24"/>
                <w:szCs w:val="24"/>
                <w:lang w:eastAsia="es-ES_tradnl"/>
              </w:rPr>
            </w:pPr>
          </w:p>
        </w:tc>
      </w:tr>
      <w:bookmarkEnd w:id="0"/>
    </w:tbl>
    <w:p w14:paraId="58EDA4CE" w14:textId="66E442DF" w:rsidR="00BB3E60" w:rsidRPr="00FC3A72" w:rsidRDefault="00BB3E60" w:rsidP="00FC3A72">
      <w:pPr>
        <w:overflowPunct w:val="0"/>
        <w:autoSpaceDE w:val="0"/>
        <w:autoSpaceDN w:val="0"/>
        <w:adjustRightInd w:val="0"/>
        <w:rPr>
          <w:rFonts w:ascii="Arial" w:hAnsi="Arial" w:cs="Arial"/>
        </w:rPr>
      </w:pPr>
    </w:p>
    <w:sectPr w:rsidR="00BB3E60" w:rsidRPr="00FC3A72" w:rsidSect="007725A6">
      <w:headerReference w:type="default" r:id="rId11"/>
      <w:footerReference w:type="default" r:id="rId12"/>
      <w:headerReference w:type="first" r:id="rId13"/>
      <w:footerReference w:type="first" r:id="rId14"/>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248D" w14:textId="77777777" w:rsidR="00B451B2" w:rsidRDefault="00B451B2" w:rsidP="00BD584C">
      <w:pPr>
        <w:spacing w:after="0" w:line="240" w:lineRule="auto"/>
      </w:pPr>
      <w:r>
        <w:separator/>
      </w:r>
    </w:p>
  </w:endnote>
  <w:endnote w:type="continuationSeparator" w:id="0">
    <w:p w14:paraId="2A91BB3F" w14:textId="77777777" w:rsidR="00B451B2" w:rsidRDefault="00B451B2" w:rsidP="00BD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103391" w14:paraId="5A8C46BB" w14:textId="77777777" w:rsidTr="00103391">
      <w:trPr>
        <w:jc w:val="right"/>
      </w:trPr>
      <w:tc>
        <w:tcPr>
          <w:tcW w:w="4795" w:type="dxa"/>
          <w:vAlign w:val="center"/>
        </w:tcPr>
        <w:p w14:paraId="7DCD1EC4" w14:textId="77777777" w:rsidR="00103391" w:rsidRDefault="00103391" w:rsidP="00103391">
          <w:pPr>
            <w:pStyle w:val="Encabezado"/>
            <w:jc w:val="center"/>
            <w:rPr>
              <w:color w:val="767171"/>
              <w:sz w:val="20"/>
              <w:szCs w:val="20"/>
            </w:rPr>
          </w:pPr>
          <w:r w:rsidRPr="00A21194">
            <w:rPr>
              <w:color w:val="767171"/>
              <w:sz w:val="20"/>
              <w:szCs w:val="20"/>
            </w:rPr>
            <w:t>Calle 12 No. 7-65 – Tel: (57-1) 350-6700 – Bogotá D.C. – Colombia</w:t>
          </w:r>
        </w:p>
        <w:p w14:paraId="41224495" w14:textId="77777777" w:rsidR="00103391" w:rsidRPr="00A21194" w:rsidRDefault="00103391" w:rsidP="00103391">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AADD9E0" w14:textId="77777777" w:rsidR="00103391" w:rsidRPr="00B6429B" w:rsidRDefault="00103391" w:rsidP="00103391">
          <w:pPr>
            <w:pStyle w:val="Piedepgina"/>
            <w:jc w:val="center"/>
          </w:pPr>
          <w:r w:rsidRPr="00B6429B">
            <w:fldChar w:fldCharType="begin"/>
          </w:r>
          <w:r w:rsidRPr="00B6429B">
            <w:instrText>PAGE   \* MERGEFORMAT</w:instrText>
          </w:r>
          <w:r w:rsidRPr="00B6429B">
            <w:fldChar w:fldCharType="separate"/>
          </w:r>
          <w:r w:rsidRPr="005D29A5">
            <w:rPr>
              <w:noProof/>
              <w:lang w:val="es-ES"/>
            </w:rPr>
            <w:t>10</w:t>
          </w:r>
          <w:r w:rsidRPr="00B6429B">
            <w:fldChar w:fldCharType="end"/>
          </w:r>
        </w:p>
      </w:tc>
    </w:tr>
  </w:tbl>
  <w:p w14:paraId="52826466" w14:textId="77777777" w:rsidR="00103391" w:rsidRPr="008C0DBE" w:rsidRDefault="00103391" w:rsidP="00103391">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103391" w14:paraId="0758AC3D" w14:textId="77777777" w:rsidTr="00103391">
      <w:trPr>
        <w:jc w:val="right"/>
      </w:trPr>
      <w:tc>
        <w:tcPr>
          <w:tcW w:w="4795" w:type="dxa"/>
          <w:vAlign w:val="center"/>
        </w:tcPr>
        <w:p w14:paraId="26ABA28E" w14:textId="77777777" w:rsidR="00103391" w:rsidRDefault="00103391" w:rsidP="00103391">
          <w:pPr>
            <w:pStyle w:val="Encabezado"/>
            <w:jc w:val="center"/>
            <w:rPr>
              <w:color w:val="767171"/>
              <w:sz w:val="20"/>
              <w:szCs w:val="20"/>
            </w:rPr>
          </w:pPr>
          <w:r w:rsidRPr="00A21194">
            <w:rPr>
              <w:color w:val="767171"/>
              <w:sz w:val="20"/>
              <w:szCs w:val="20"/>
            </w:rPr>
            <w:t>Calle 12 No. 7-65 – Tel: (57-1) 350-6700 – Bogotá D.C. – Colombia</w:t>
          </w:r>
        </w:p>
        <w:p w14:paraId="2187DAAF" w14:textId="77777777" w:rsidR="00103391" w:rsidRPr="00A21194" w:rsidRDefault="00103391" w:rsidP="00103391">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3DD2EC8" w14:textId="77777777" w:rsidR="00103391" w:rsidRPr="00B6429B" w:rsidRDefault="00103391">
          <w:pPr>
            <w:pStyle w:val="Piedepgina"/>
            <w:jc w:val="center"/>
          </w:pPr>
          <w:r w:rsidRPr="00B6429B">
            <w:fldChar w:fldCharType="begin"/>
          </w:r>
          <w:r w:rsidRPr="00B6429B">
            <w:instrText>PAGE   \* MERGEFORMAT</w:instrText>
          </w:r>
          <w:r w:rsidRPr="00B6429B">
            <w:fldChar w:fldCharType="separate"/>
          </w:r>
          <w:r w:rsidRPr="005D29A5">
            <w:rPr>
              <w:noProof/>
              <w:lang w:val="es-ES"/>
            </w:rPr>
            <w:t>1</w:t>
          </w:r>
          <w:r w:rsidRPr="00B6429B">
            <w:fldChar w:fldCharType="end"/>
          </w:r>
        </w:p>
      </w:tc>
    </w:tr>
  </w:tbl>
  <w:p w14:paraId="6FD4641E" w14:textId="77777777" w:rsidR="00103391" w:rsidRDefault="001033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E0EF" w14:textId="77777777" w:rsidR="00B451B2" w:rsidRDefault="00B451B2" w:rsidP="00BD584C">
      <w:pPr>
        <w:spacing w:after="0" w:line="240" w:lineRule="auto"/>
      </w:pPr>
      <w:r>
        <w:separator/>
      </w:r>
    </w:p>
  </w:footnote>
  <w:footnote w:type="continuationSeparator" w:id="0">
    <w:p w14:paraId="78CF9551" w14:textId="77777777" w:rsidR="00B451B2" w:rsidRDefault="00B451B2" w:rsidP="00BD584C">
      <w:pPr>
        <w:spacing w:after="0" w:line="240" w:lineRule="auto"/>
      </w:pPr>
      <w:r>
        <w:continuationSeparator/>
      </w:r>
    </w:p>
  </w:footnote>
  <w:footnote w:id="1">
    <w:p w14:paraId="559C4DA8" w14:textId="77777777" w:rsidR="00103391" w:rsidRPr="00F03BF8" w:rsidRDefault="00103391" w:rsidP="00A3745B">
      <w:pPr>
        <w:pStyle w:val="Textonotapie"/>
        <w:rPr>
          <w:lang w:val="es-MX"/>
        </w:rPr>
      </w:pPr>
      <w:r w:rsidRPr="00F03BF8">
        <w:rPr>
          <w:rStyle w:val="Refdenotaalpie"/>
        </w:rPr>
        <w:footnoteRef/>
      </w:r>
      <w:r w:rsidRPr="00F03BF8">
        <w:t xml:space="preserve"> </w:t>
      </w:r>
      <w:r w:rsidRPr="00F03BF8">
        <w:rPr>
          <w:lang w:val="es-MX"/>
        </w:rPr>
        <w:t xml:space="preserve">Documento contenido en el expediente digital de tutela con certificado </w:t>
      </w:r>
      <w:r w:rsidRPr="00F03BF8">
        <w:rPr>
          <w:shd w:val="clear" w:color="auto" w:fill="FFFFFF"/>
        </w:rPr>
        <w:t xml:space="preserve">9F544AC0886A06AD E915D4F0C923DF73 A6B6CDC4FEC27AF9 69E416E423F19A3D, ubicado en el índice 2. </w:t>
      </w:r>
    </w:p>
  </w:footnote>
  <w:footnote w:id="2">
    <w:p w14:paraId="685C1C31" w14:textId="5BEB4D6C" w:rsidR="00103391" w:rsidRPr="00F03BF8" w:rsidRDefault="00103391" w:rsidP="00A3745B">
      <w:pPr>
        <w:pStyle w:val="Textonotapie"/>
        <w:rPr>
          <w:lang w:val="es-MX"/>
        </w:rPr>
      </w:pPr>
      <w:r w:rsidRPr="00F03BF8">
        <w:rPr>
          <w:rStyle w:val="Refdenotaalpie"/>
        </w:rPr>
        <w:footnoteRef/>
      </w:r>
      <w:r w:rsidRPr="00F03BF8">
        <w:t xml:space="preserve"> </w:t>
      </w:r>
      <w:r w:rsidRPr="00F03BF8">
        <w:rPr>
          <w:lang w:val="es-MX"/>
        </w:rPr>
        <w:t xml:space="preserve">Documento contenido en el expediente ordinario </w:t>
      </w:r>
      <w:r>
        <w:rPr>
          <w:lang w:val="es-MX"/>
        </w:rPr>
        <w:t xml:space="preserve">que obra </w:t>
      </w:r>
      <w:r w:rsidR="00CE0AC8">
        <w:rPr>
          <w:lang w:val="es-MX"/>
        </w:rPr>
        <w:t xml:space="preserve"> </w:t>
      </w:r>
      <w:r>
        <w:rPr>
          <w:lang w:val="es-MX"/>
        </w:rPr>
        <w:t xml:space="preserve">en el aplicativo SAMAÍ </w:t>
      </w:r>
      <w:r w:rsidRPr="00F03BF8">
        <w:rPr>
          <w:lang w:val="es-MX"/>
        </w:rPr>
        <w:t xml:space="preserve">con certificado </w:t>
      </w:r>
      <w:r w:rsidRPr="00F03BF8">
        <w:rPr>
          <w:shd w:val="clear" w:color="auto" w:fill="FFFFFF"/>
        </w:rPr>
        <w:t>DAB6CBDFCE9A67BF 6E996A28255F7E6A BD16A6F5A5A9ADF5 889DF72F961D75DE, ubicado en el índice 38.</w:t>
      </w:r>
      <w:r w:rsidRPr="00F03BF8">
        <w:rPr>
          <w:rFonts w:ascii="Segoe UI" w:hAnsi="Segoe UI" w:cs="Segoe UI"/>
          <w:shd w:val="clear" w:color="auto" w:fill="FFFFFF"/>
        </w:rPr>
        <w:t xml:space="preserve"> </w:t>
      </w:r>
    </w:p>
  </w:footnote>
  <w:footnote w:id="3">
    <w:p w14:paraId="30B26ECD" w14:textId="77777777" w:rsidR="00103391" w:rsidRPr="003B722A" w:rsidRDefault="00103391" w:rsidP="00A3745B">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20EDA83DA74C62D0 828B7C4A57A4DDE2 CD0F7D5066936A70 5D63F6BC7ACF27CD, ubicado en el índice 42. </w:t>
      </w:r>
    </w:p>
  </w:footnote>
  <w:footnote w:id="4">
    <w:p w14:paraId="485170A2" w14:textId="77777777" w:rsidR="00103391" w:rsidRPr="003B722A" w:rsidRDefault="00103391" w:rsidP="00945E95">
      <w:pPr>
        <w:spacing w:after="0" w:line="240" w:lineRule="auto"/>
        <w:contextualSpacing/>
        <w:jc w:val="both"/>
        <w:rPr>
          <w:rFonts w:ascii="Arial" w:eastAsia="Times New Roman" w:hAnsi="Arial" w:cs="Arial"/>
          <w:sz w:val="20"/>
          <w:szCs w:val="20"/>
          <w:lang w:eastAsia="es-CO"/>
        </w:rPr>
      </w:pPr>
      <w:r w:rsidRPr="003B722A">
        <w:rPr>
          <w:rStyle w:val="Refdenotaalpie"/>
          <w:rFonts w:ascii="Arial" w:hAnsi="Arial" w:cs="Arial"/>
          <w:sz w:val="20"/>
          <w:szCs w:val="20"/>
        </w:rPr>
        <w:footnoteRef/>
      </w:r>
      <w:r w:rsidRPr="003B722A">
        <w:rPr>
          <w:rFonts w:ascii="Arial" w:hAnsi="Arial" w:cs="Arial"/>
          <w:sz w:val="20"/>
          <w:szCs w:val="20"/>
        </w:rPr>
        <w:t xml:space="preserve"> </w:t>
      </w:r>
      <w:r w:rsidRPr="003B722A">
        <w:rPr>
          <w:rFonts w:ascii="Arial" w:hAnsi="Arial" w:cs="Arial"/>
          <w:sz w:val="20"/>
          <w:szCs w:val="20"/>
          <w:lang w:val="es-MX"/>
        </w:rPr>
        <w:t xml:space="preserve">Documento contenido en el expediente ordinario que obra en el aplicativo SAMAI con certificado </w:t>
      </w:r>
      <w:r w:rsidRPr="003B722A">
        <w:rPr>
          <w:rFonts w:ascii="Arial" w:eastAsia="Times New Roman" w:hAnsi="Arial" w:cs="Arial"/>
          <w:sz w:val="20"/>
          <w:szCs w:val="20"/>
          <w:lang w:eastAsia="es-CO"/>
        </w:rPr>
        <w:t xml:space="preserve">EE83B1B0057F8F8C 476F6A92BB99C37A AFB201E5915A8FBA 55369C7FBBB63CE1, ubicado en el índice 47. </w:t>
      </w:r>
    </w:p>
  </w:footnote>
  <w:footnote w:id="5">
    <w:p w14:paraId="775ADF99" w14:textId="77777777" w:rsidR="00103391" w:rsidRPr="003B722A" w:rsidRDefault="00103391" w:rsidP="00A3745B">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0906F5C57921E3B1 B17676F172CC1780 E9BEFA0D2A82B65D B1051245CBF641A6, ubicado en el índice 57. </w:t>
      </w:r>
    </w:p>
  </w:footnote>
  <w:footnote w:id="6">
    <w:p w14:paraId="7440EE3C" w14:textId="77777777" w:rsidR="00103391" w:rsidRPr="003B722A" w:rsidRDefault="00103391" w:rsidP="00A3745B">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B51800113BDD4B92 CA91427AAE3DB9DB 952A7A9F234DA7F3 4246AB753C06D9DE, ubicado en el índice 64. </w:t>
      </w:r>
    </w:p>
  </w:footnote>
  <w:footnote w:id="7">
    <w:p w14:paraId="7A006529" w14:textId="77777777" w:rsidR="00103391" w:rsidRPr="003B722A" w:rsidRDefault="00103391" w:rsidP="00A3745B">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1E886FB08D3E794F 18A7EF99B28E6E16 E83CAC3D100E648C 084B515FFD7B226C, ubicado en el índice 76. </w:t>
      </w:r>
    </w:p>
  </w:footnote>
  <w:footnote w:id="8">
    <w:p w14:paraId="7C35CF5A" w14:textId="77777777" w:rsidR="00103391" w:rsidRPr="003B722A" w:rsidRDefault="00103391" w:rsidP="00A3745B">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C1740F6995B48FC2 E3C5F8B90F14EF56 F339347AB184636B 76A789289FE2794F, ubicado en el índice 80. </w:t>
      </w:r>
    </w:p>
  </w:footnote>
  <w:footnote w:id="9">
    <w:p w14:paraId="37609A78" w14:textId="77777777" w:rsidR="00103391" w:rsidRPr="003B722A" w:rsidRDefault="00103391" w:rsidP="00A3745B">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2DFA79E276D636E1 B8886033D96499BA 15D5EA5320530C52 F079412C84B24C0B, ubicado en el índice 82. </w:t>
      </w:r>
    </w:p>
  </w:footnote>
  <w:footnote w:id="10">
    <w:p w14:paraId="1012C14B" w14:textId="77777777" w:rsidR="00103391" w:rsidRPr="003B722A" w:rsidRDefault="00103391" w:rsidP="007725A6">
      <w:pPr>
        <w:spacing w:after="0" w:line="240" w:lineRule="auto"/>
        <w:contextualSpacing/>
        <w:jc w:val="both"/>
        <w:rPr>
          <w:rFonts w:ascii="Arial" w:eastAsia="Times New Roman" w:hAnsi="Arial" w:cs="Arial"/>
          <w:sz w:val="20"/>
          <w:szCs w:val="20"/>
          <w:lang w:eastAsia="es-CO"/>
        </w:rPr>
      </w:pPr>
      <w:r w:rsidRPr="003B722A">
        <w:rPr>
          <w:rStyle w:val="Refdenotaalpie"/>
          <w:rFonts w:ascii="Arial" w:hAnsi="Arial" w:cs="Arial"/>
          <w:sz w:val="20"/>
          <w:szCs w:val="20"/>
        </w:rPr>
        <w:footnoteRef/>
      </w:r>
      <w:r w:rsidRPr="003B722A">
        <w:rPr>
          <w:rFonts w:ascii="Arial" w:hAnsi="Arial" w:cs="Arial"/>
          <w:sz w:val="20"/>
          <w:szCs w:val="20"/>
        </w:rPr>
        <w:t xml:space="preserve"> </w:t>
      </w:r>
      <w:r w:rsidRPr="003B722A">
        <w:rPr>
          <w:rFonts w:ascii="Arial" w:hAnsi="Arial" w:cs="Arial"/>
          <w:sz w:val="20"/>
          <w:szCs w:val="20"/>
          <w:lang w:val="es-MX"/>
        </w:rPr>
        <w:t xml:space="preserve">Documento contenido en el expediente ordinario que obra en el aplicativo SAMAI, con certificado </w:t>
      </w:r>
      <w:r w:rsidRPr="003B722A">
        <w:rPr>
          <w:rFonts w:ascii="Arial" w:eastAsia="Times New Roman" w:hAnsi="Arial" w:cs="Arial"/>
          <w:sz w:val="20"/>
          <w:szCs w:val="20"/>
          <w:lang w:eastAsia="es-CO"/>
        </w:rPr>
        <w:t xml:space="preserve">63A054671F533426 4EC3852718EADB1F 6AC30229C18C3AE5 3563B5A9500FB5DD, ubicado en el índice 86. </w:t>
      </w:r>
    </w:p>
  </w:footnote>
  <w:footnote w:id="11">
    <w:p w14:paraId="41F2C811" w14:textId="4E300D13" w:rsidR="00103391" w:rsidRPr="003B722A" w:rsidRDefault="00103391" w:rsidP="007725A6">
      <w:pPr>
        <w:pStyle w:val="Textonotapie"/>
        <w:rPr>
          <w:lang w:val="es-MX"/>
        </w:rPr>
      </w:pPr>
      <w:r w:rsidRPr="003B722A">
        <w:rPr>
          <w:rStyle w:val="Refdenotaalpie"/>
        </w:rPr>
        <w:footnoteRef/>
      </w:r>
      <w:r w:rsidRPr="003B722A">
        <w:t xml:space="preserve"> </w:t>
      </w:r>
      <w:r w:rsidRPr="003B722A">
        <w:rPr>
          <w:lang w:val="es-MX"/>
        </w:rPr>
        <w:t xml:space="preserve">Documento contenido en el expediente ordinario que obra en el aplicativo SAMAI, con certificado </w:t>
      </w:r>
      <w:r w:rsidRPr="003B722A">
        <w:rPr>
          <w:shd w:val="clear" w:color="auto" w:fill="FFFFFF"/>
        </w:rPr>
        <w:t xml:space="preserve">9BB15A8DE2819BD9 7996429118131626 3EF11189836DF23B 44722269E3783EB4, ubicado en el índice 81. </w:t>
      </w:r>
    </w:p>
  </w:footnote>
  <w:footnote w:id="12">
    <w:p w14:paraId="3A8E099A" w14:textId="77777777" w:rsidR="00103391" w:rsidRPr="003B722A" w:rsidRDefault="00103391" w:rsidP="003B722A">
      <w:pPr>
        <w:spacing w:after="0" w:line="240" w:lineRule="auto"/>
        <w:contextualSpacing/>
        <w:jc w:val="both"/>
        <w:rPr>
          <w:rFonts w:ascii="Arial" w:eastAsia="Times New Roman" w:hAnsi="Arial" w:cs="Arial"/>
          <w:sz w:val="24"/>
          <w:szCs w:val="24"/>
          <w:lang w:eastAsia="es-CO"/>
        </w:rPr>
      </w:pPr>
      <w:r w:rsidRPr="003B722A">
        <w:rPr>
          <w:rStyle w:val="Refdenotaalpie"/>
          <w:rFonts w:ascii="Arial" w:hAnsi="Arial" w:cs="Arial"/>
          <w:sz w:val="20"/>
          <w:szCs w:val="20"/>
        </w:rPr>
        <w:footnoteRef/>
      </w:r>
      <w:r w:rsidRPr="003B722A">
        <w:rPr>
          <w:rFonts w:ascii="Arial" w:hAnsi="Arial" w:cs="Arial"/>
          <w:sz w:val="20"/>
          <w:szCs w:val="20"/>
        </w:rPr>
        <w:t xml:space="preserve"> </w:t>
      </w:r>
      <w:r w:rsidRPr="003B722A">
        <w:rPr>
          <w:rFonts w:ascii="Arial" w:hAnsi="Arial" w:cs="Arial"/>
          <w:sz w:val="20"/>
          <w:szCs w:val="20"/>
          <w:lang w:val="es-MX"/>
        </w:rPr>
        <w:t xml:space="preserve">Documento contenido en el expediente ordinario que obra en el aplicativo SAMAI, con certificado </w:t>
      </w:r>
      <w:r w:rsidRPr="003B722A">
        <w:rPr>
          <w:rFonts w:ascii="Arial" w:eastAsia="Times New Roman" w:hAnsi="Arial" w:cs="Arial"/>
          <w:sz w:val="20"/>
          <w:szCs w:val="20"/>
          <w:lang w:eastAsia="es-CO"/>
        </w:rPr>
        <w:t>EBF9EAFF4E60186A F663A9AF7C03EF44 1426D9C163B558B4 6A4FDA80D0DEA523, ubicado en el índice 90.</w:t>
      </w:r>
      <w:r w:rsidRPr="003B722A">
        <w:rPr>
          <w:rFonts w:ascii="Arial" w:eastAsia="Times New Roman" w:hAnsi="Arial" w:cs="Arial"/>
          <w:sz w:val="24"/>
          <w:szCs w:val="24"/>
          <w:lang w:eastAsia="es-CO"/>
        </w:rPr>
        <w:t xml:space="preserve"> </w:t>
      </w:r>
    </w:p>
  </w:footnote>
  <w:footnote w:id="13">
    <w:p w14:paraId="76132AFD" w14:textId="77777777" w:rsidR="00103391" w:rsidRPr="0069657C" w:rsidRDefault="00103391" w:rsidP="0069657C">
      <w:pPr>
        <w:pStyle w:val="Textonotapie"/>
        <w:rPr>
          <w:lang w:val="es-MX"/>
        </w:rPr>
      </w:pPr>
      <w:r w:rsidRPr="0069657C">
        <w:rPr>
          <w:rStyle w:val="Refdenotaalpie"/>
        </w:rPr>
        <w:footnoteRef/>
      </w:r>
      <w:r w:rsidRPr="0069657C">
        <w:t xml:space="preserve"> </w:t>
      </w:r>
      <w:r w:rsidRPr="0069657C">
        <w:rPr>
          <w:lang w:val="es-MX"/>
        </w:rPr>
        <w:t xml:space="preserve">Documento contenido en el expediente ordinario que obra en el aplicativo SAMAI, con certificado </w:t>
      </w:r>
      <w:r w:rsidRPr="0069657C">
        <w:rPr>
          <w:shd w:val="clear" w:color="auto" w:fill="FFFFFF"/>
        </w:rPr>
        <w:t xml:space="preserve">3C1C6C0B8EC8A368 40C671D6791C2DAB D3C4DBF7F8ACFA6A 0393188AA9644E27, ubicado en el índice 100. </w:t>
      </w:r>
    </w:p>
  </w:footnote>
  <w:footnote w:id="14">
    <w:p w14:paraId="58652824" w14:textId="44B18934" w:rsidR="00103391" w:rsidRPr="0069657C" w:rsidRDefault="00103391" w:rsidP="0069657C">
      <w:pPr>
        <w:pStyle w:val="Textonotapie"/>
        <w:rPr>
          <w:lang w:val="es-MX"/>
        </w:rPr>
      </w:pPr>
      <w:r w:rsidRPr="0069657C">
        <w:rPr>
          <w:rStyle w:val="Refdenotaalpie"/>
        </w:rPr>
        <w:footnoteRef/>
      </w:r>
      <w:r w:rsidRPr="0069657C">
        <w:t xml:space="preserve"> </w:t>
      </w:r>
      <w:r w:rsidRPr="0069657C">
        <w:rPr>
          <w:lang w:val="es-MX"/>
        </w:rPr>
        <w:t>Documento contenido en el expediente ordinario que obra en el aplicativo SAMAI, con certificado</w:t>
      </w:r>
      <w:r w:rsidR="009335EA" w:rsidRPr="0069657C">
        <w:rPr>
          <w:highlight w:val="yellow"/>
          <w:shd w:val="clear" w:color="auto" w:fill="FFFFFF"/>
        </w:rPr>
        <w:t xml:space="preserve"> </w:t>
      </w:r>
      <w:r w:rsidR="009335EA" w:rsidRPr="0069657C">
        <w:rPr>
          <w:shd w:val="clear" w:color="auto" w:fill="FFFFFF"/>
        </w:rPr>
        <w:t>B84495E4B518796C BE97125FA7A1AE76 FE5533C46DA420EC B7BD778F7D769970</w:t>
      </w:r>
      <w:r w:rsidRPr="0069657C">
        <w:rPr>
          <w:shd w:val="clear" w:color="auto" w:fill="FFFFFF"/>
        </w:rPr>
        <w:t xml:space="preserve">, ubicado en el índice 104. </w:t>
      </w:r>
    </w:p>
  </w:footnote>
  <w:footnote w:id="15">
    <w:p w14:paraId="3BC1CD36" w14:textId="1B24048F" w:rsidR="00103391" w:rsidRPr="007725A6" w:rsidRDefault="00103391" w:rsidP="003B4D27">
      <w:pPr>
        <w:spacing w:after="0" w:line="240" w:lineRule="auto"/>
        <w:jc w:val="both"/>
        <w:rPr>
          <w:rFonts w:ascii="Arial" w:eastAsia="Times New Roman" w:hAnsi="Arial" w:cs="Arial"/>
          <w:color w:val="000000" w:themeColor="text1"/>
          <w:sz w:val="20"/>
          <w:szCs w:val="20"/>
          <w:lang w:eastAsia="es-CO"/>
        </w:rPr>
      </w:pPr>
      <w:r w:rsidRPr="007725A6">
        <w:rPr>
          <w:rStyle w:val="Refdenotaalpie"/>
          <w:rFonts w:ascii="Arial" w:hAnsi="Arial" w:cs="Arial"/>
          <w:color w:val="000000" w:themeColor="text1"/>
          <w:sz w:val="20"/>
          <w:szCs w:val="20"/>
        </w:rPr>
        <w:footnoteRef/>
      </w:r>
      <w:r w:rsidRPr="007725A6">
        <w:rPr>
          <w:rFonts w:ascii="Arial" w:hAnsi="Arial" w:cs="Arial"/>
          <w:color w:val="000000" w:themeColor="text1"/>
          <w:sz w:val="20"/>
          <w:szCs w:val="20"/>
        </w:rPr>
        <w:t xml:space="preserve"> </w:t>
      </w:r>
      <w:r w:rsidRPr="007725A6">
        <w:rPr>
          <w:rFonts w:ascii="Arial" w:hAnsi="Arial" w:cs="Arial"/>
          <w:color w:val="000000" w:themeColor="text1"/>
          <w:sz w:val="20"/>
          <w:szCs w:val="20"/>
          <w:lang w:val="es-MX"/>
        </w:rPr>
        <w:t>Documento contenido en el expediente ordinario que obra en el aplicativo SAMAI, con certificado</w:t>
      </w:r>
      <w:r w:rsidR="008D2745" w:rsidRPr="007725A6">
        <w:rPr>
          <w:rFonts w:ascii="Arial" w:hAnsi="Arial" w:cs="Arial"/>
          <w:color w:val="000000" w:themeColor="text1"/>
          <w:sz w:val="20"/>
          <w:szCs w:val="20"/>
          <w:highlight w:val="yellow"/>
          <w:shd w:val="clear" w:color="auto" w:fill="FFFFFF"/>
        </w:rPr>
        <w:t xml:space="preserve"> </w:t>
      </w:r>
      <w:r w:rsidR="008D2745" w:rsidRPr="007725A6">
        <w:rPr>
          <w:rFonts w:ascii="Arial" w:eastAsia="Times New Roman" w:hAnsi="Arial" w:cs="Arial"/>
          <w:color w:val="000000" w:themeColor="text1"/>
          <w:sz w:val="20"/>
          <w:szCs w:val="20"/>
          <w:lang w:eastAsia="es-CO"/>
        </w:rPr>
        <w:t>3E43F3448E7655AB 1EE2F979E89E344F 1731D08E58D51621 3F223DE276BD0A74</w:t>
      </w:r>
      <w:r w:rsidRPr="007725A6">
        <w:rPr>
          <w:rFonts w:ascii="Arial" w:hAnsi="Arial" w:cs="Arial"/>
          <w:color w:val="000000" w:themeColor="text1"/>
          <w:sz w:val="20"/>
          <w:szCs w:val="20"/>
          <w:shd w:val="clear" w:color="auto" w:fill="FFFFFF"/>
        </w:rPr>
        <w:t xml:space="preserve">, ubicado en el índice 105. </w:t>
      </w:r>
    </w:p>
  </w:footnote>
  <w:footnote w:id="16">
    <w:p w14:paraId="14EA6C2F" w14:textId="183994D3" w:rsidR="00103391" w:rsidRPr="007725A6" w:rsidRDefault="00103391" w:rsidP="003B4D27">
      <w:pPr>
        <w:pStyle w:val="Textonotapie"/>
        <w:rPr>
          <w:color w:val="000000" w:themeColor="text1"/>
          <w:lang w:val="es-MX"/>
        </w:rPr>
      </w:pPr>
      <w:r w:rsidRPr="007725A6">
        <w:rPr>
          <w:rStyle w:val="Refdenotaalpie"/>
          <w:color w:val="000000" w:themeColor="text1"/>
        </w:rPr>
        <w:footnoteRef/>
      </w:r>
      <w:r w:rsidRPr="007725A6">
        <w:rPr>
          <w:color w:val="000000" w:themeColor="text1"/>
        </w:rPr>
        <w:t xml:space="preserve"> </w:t>
      </w:r>
      <w:r w:rsidRPr="007725A6">
        <w:rPr>
          <w:color w:val="000000" w:themeColor="text1"/>
          <w:lang w:val="es-MX"/>
        </w:rPr>
        <w:t>Documento contenido en el expediente ordinario que obra en el aplicativo SAMAI, con certificado</w:t>
      </w:r>
      <w:r w:rsidRPr="007725A6">
        <w:rPr>
          <w:color w:val="000000" w:themeColor="text1"/>
          <w:shd w:val="clear" w:color="auto" w:fill="FFFFFF"/>
        </w:rPr>
        <w:t xml:space="preserve"> 9ED2C124ECF4A0B3 4355E386DBD13C6A A5C6FDB7934D3605 8987D63C93B930F3, ubicado en el índice 107. </w:t>
      </w:r>
    </w:p>
  </w:footnote>
  <w:footnote w:id="17">
    <w:p w14:paraId="34A915B5" w14:textId="67C85478" w:rsidR="00103391" w:rsidRPr="007725A6" w:rsidRDefault="00103391" w:rsidP="003B4D27">
      <w:pPr>
        <w:pStyle w:val="Textonotapie"/>
        <w:rPr>
          <w:color w:val="000000" w:themeColor="text1"/>
          <w:lang w:val="es-MX"/>
        </w:rPr>
      </w:pPr>
      <w:r w:rsidRPr="007725A6">
        <w:rPr>
          <w:rStyle w:val="Refdenotaalpie"/>
          <w:color w:val="000000" w:themeColor="text1"/>
        </w:rPr>
        <w:footnoteRef/>
      </w:r>
      <w:r w:rsidRPr="007725A6">
        <w:rPr>
          <w:color w:val="000000" w:themeColor="text1"/>
        </w:rPr>
        <w:t xml:space="preserve"> </w:t>
      </w:r>
      <w:r w:rsidRPr="007725A6">
        <w:rPr>
          <w:color w:val="000000" w:themeColor="text1"/>
          <w:lang w:val="es-MX"/>
        </w:rPr>
        <w:t xml:space="preserve">Documento contenido en el expediente ordinario que obra en el aplicativo SAMAI, con certificado </w:t>
      </w:r>
      <w:r w:rsidRPr="007725A6">
        <w:rPr>
          <w:color w:val="000000" w:themeColor="text1"/>
          <w:shd w:val="clear" w:color="auto" w:fill="FFFFFF"/>
        </w:rPr>
        <w:t xml:space="preserve">FDC5E5DF7E5668F1 E2FA863467475DE0 A9877F04E788174C 111F826A45BFBD30, ubicado en el índice 106. </w:t>
      </w:r>
    </w:p>
  </w:footnote>
  <w:footnote w:id="18">
    <w:p w14:paraId="350C669C" w14:textId="3316D8B9" w:rsidR="00103391" w:rsidRPr="007725A6" w:rsidRDefault="00103391" w:rsidP="003B4D27">
      <w:pPr>
        <w:spacing w:after="0" w:line="240" w:lineRule="auto"/>
        <w:contextualSpacing/>
        <w:jc w:val="both"/>
        <w:rPr>
          <w:rFonts w:ascii="Arial" w:eastAsia="Times New Roman" w:hAnsi="Arial" w:cs="Arial"/>
          <w:color w:val="000000" w:themeColor="text1"/>
          <w:sz w:val="20"/>
          <w:szCs w:val="20"/>
          <w:lang w:eastAsia="es-CO"/>
        </w:rPr>
      </w:pPr>
      <w:r w:rsidRPr="007725A6">
        <w:rPr>
          <w:rStyle w:val="Refdenotaalpie"/>
          <w:rFonts w:ascii="Arial" w:hAnsi="Arial" w:cs="Arial"/>
          <w:color w:val="000000" w:themeColor="text1"/>
          <w:sz w:val="20"/>
          <w:szCs w:val="20"/>
        </w:rPr>
        <w:footnoteRef/>
      </w:r>
      <w:r w:rsidRPr="007725A6">
        <w:rPr>
          <w:rFonts w:ascii="Arial" w:hAnsi="Arial" w:cs="Arial"/>
          <w:color w:val="000000" w:themeColor="text1"/>
          <w:sz w:val="20"/>
          <w:szCs w:val="20"/>
        </w:rPr>
        <w:t xml:space="preserve"> </w:t>
      </w:r>
      <w:r w:rsidRPr="007725A6">
        <w:rPr>
          <w:rFonts w:ascii="Arial" w:hAnsi="Arial" w:cs="Arial"/>
          <w:color w:val="000000" w:themeColor="text1"/>
          <w:sz w:val="20"/>
          <w:szCs w:val="20"/>
          <w:lang w:val="es-MX"/>
        </w:rPr>
        <w:t xml:space="preserve">Documento contenido en el expediente ordinario que obra en el aplicativo SAMAI, con certificado </w:t>
      </w:r>
      <w:r w:rsidRPr="007725A6">
        <w:rPr>
          <w:rFonts w:ascii="Arial" w:eastAsia="Times New Roman" w:hAnsi="Arial" w:cs="Arial"/>
          <w:color w:val="000000" w:themeColor="text1"/>
          <w:sz w:val="20"/>
          <w:szCs w:val="20"/>
          <w:lang w:eastAsia="es-CO"/>
        </w:rPr>
        <w:t xml:space="preserve">D7C591AB19D3F941 43286B0A9D48F49E D56ABDBFD5F8AFFF 68746135C2199BAD, ubicado en el índice 108. </w:t>
      </w:r>
    </w:p>
  </w:footnote>
  <w:footnote w:id="19">
    <w:p w14:paraId="59D5B505" w14:textId="389F7DFC" w:rsidR="00103391" w:rsidRPr="007725A6" w:rsidRDefault="00103391" w:rsidP="003B4D27">
      <w:pPr>
        <w:pStyle w:val="Textonotapie"/>
        <w:rPr>
          <w:color w:val="000000" w:themeColor="text1"/>
          <w:lang w:val="es-MX"/>
        </w:rPr>
      </w:pPr>
      <w:r w:rsidRPr="007725A6">
        <w:rPr>
          <w:rStyle w:val="Refdenotaalpie"/>
          <w:color w:val="000000" w:themeColor="text1"/>
        </w:rPr>
        <w:footnoteRef/>
      </w:r>
      <w:r w:rsidRPr="007725A6">
        <w:rPr>
          <w:color w:val="000000" w:themeColor="text1"/>
        </w:rPr>
        <w:t xml:space="preserve"> </w:t>
      </w:r>
      <w:r w:rsidRPr="007725A6">
        <w:rPr>
          <w:color w:val="000000" w:themeColor="text1"/>
          <w:lang w:val="es-MX"/>
        </w:rPr>
        <w:t>Documento contenido en el expediente ordinario que obra en el aplicativo SAMAI, con certificado</w:t>
      </w:r>
      <w:r w:rsidR="0069657C" w:rsidRPr="007725A6">
        <w:rPr>
          <w:color w:val="000000" w:themeColor="text1"/>
          <w:highlight w:val="yellow"/>
          <w:shd w:val="clear" w:color="auto" w:fill="FFFFFF"/>
        </w:rPr>
        <w:t xml:space="preserve"> </w:t>
      </w:r>
      <w:r w:rsidR="0069657C" w:rsidRPr="007725A6">
        <w:rPr>
          <w:color w:val="000000" w:themeColor="text1"/>
          <w:shd w:val="clear" w:color="auto" w:fill="FFFFFF"/>
        </w:rPr>
        <w:t>7BB64B23223D7566 551BD3462CA97F00 483124F14C6FC716 0234FA7EDA3EC8B9</w:t>
      </w:r>
      <w:r w:rsidRPr="007725A6">
        <w:rPr>
          <w:color w:val="000000" w:themeColor="text1"/>
          <w:shd w:val="clear" w:color="auto" w:fill="FFFFFF"/>
        </w:rPr>
        <w:t xml:space="preserve">, ubicado en el índice 129. </w:t>
      </w:r>
    </w:p>
  </w:footnote>
  <w:footnote w:id="20">
    <w:p w14:paraId="71190738" w14:textId="77777777" w:rsidR="00103391" w:rsidRPr="007725A6" w:rsidRDefault="00103391" w:rsidP="003B4D27">
      <w:pPr>
        <w:pStyle w:val="Textonotapie"/>
        <w:rPr>
          <w:color w:val="000000" w:themeColor="text1"/>
          <w:lang w:val="es-MX"/>
        </w:rPr>
      </w:pPr>
      <w:r w:rsidRPr="007725A6">
        <w:rPr>
          <w:rStyle w:val="Refdenotaalpie"/>
          <w:color w:val="000000" w:themeColor="text1"/>
        </w:rPr>
        <w:footnoteRef/>
      </w:r>
      <w:r w:rsidRPr="007725A6">
        <w:rPr>
          <w:color w:val="000000" w:themeColor="text1"/>
        </w:rPr>
        <w:t xml:space="preserve"> </w:t>
      </w:r>
      <w:r w:rsidRPr="007725A6">
        <w:rPr>
          <w:color w:val="000000" w:themeColor="text1"/>
          <w:lang w:val="es-MX"/>
        </w:rPr>
        <w:t xml:space="preserve">Documento contenido en el expediente ordinario que obra en el aplicativo SAMAI, con certificado </w:t>
      </w:r>
      <w:r w:rsidRPr="007725A6">
        <w:rPr>
          <w:color w:val="000000" w:themeColor="text1"/>
          <w:shd w:val="clear" w:color="auto" w:fill="FFFFFF"/>
        </w:rPr>
        <w:t xml:space="preserve">135255BFDA77E2BB 4DA7D7A0B65DA733 C6BF21B655623B3C EDAD26CE52BC9217, ubicado en el índice 138. </w:t>
      </w:r>
    </w:p>
  </w:footnote>
  <w:footnote w:id="21">
    <w:p w14:paraId="6B09916A" w14:textId="16452A8E" w:rsidR="00103391" w:rsidRPr="007725A6" w:rsidRDefault="00103391" w:rsidP="0069657C">
      <w:pPr>
        <w:pStyle w:val="Textonotapie"/>
        <w:rPr>
          <w:color w:val="000000" w:themeColor="text1"/>
          <w:lang w:val="es-MX"/>
        </w:rPr>
      </w:pPr>
      <w:r w:rsidRPr="007725A6">
        <w:rPr>
          <w:rStyle w:val="Refdenotaalpie"/>
          <w:color w:val="000000" w:themeColor="text1"/>
        </w:rPr>
        <w:footnoteRef/>
      </w:r>
      <w:r w:rsidRPr="007725A6">
        <w:rPr>
          <w:color w:val="000000" w:themeColor="text1"/>
        </w:rPr>
        <w:t xml:space="preserve"> </w:t>
      </w:r>
      <w:r w:rsidRPr="007725A6">
        <w:rPr>
          <w:color w:val="000000" w:themeColor="text1"/>
          <w:lang w:val="es-MX"/>
        </w:rPr>
        <w:t xml:space="preserve">Documento contenido en el expediente ordinario que obra en el aplicativo SAMAI, con certificado </w:t>
      </w:r>
      <w:r w:rsidRPr="007725A6">
        <w:rPr>
          <w:color w:val="000000" w:themeColor="text1"/>
          <w:shd w:val="clear" w:color="auto" w:fill="FFFFFF"/>
        </w:rPr>
        <w:t xml:space="preserve">86DF58D5137342A2 F4CBC89C3A49513F E70650C2E578B93D 10275E0FC9E2A15E, ubicado en el índice 148. </w:t>
      </w:r>
    </w:p>
  </w:footnote>
  <w:footnote w:id="22">
    <w:p w14:paraId="6836EC8C" w14:textId="77777777" w:rsidR="00103391" w:rsidRPr="00D35135" w:rsidRDefault="00103391" w:rsidP="00D35135">
      <w:pPr>
        <w:spacing w:after="0" w:line="240" w:lineRule="auto"/>
        <w:contextualSpacing/>
        <w:jc w:val="both"/>
        <w:rPr>
          <w:rFonts w:ascii="Arial" w:eastAsia="Times New Roman" w:hAnsi="Arial" w:cs="Arial"/>
          <w:sz w:val="20"/>
          <w:szCs w:val="20"/>
          <w:lang w:eastAsia="es-CO"/>
        </w:rPr>
      </w:pPr>
      <w:r w:rsidRPr="007725A6">
        <w:rPr>
          <w:rStyle w:val="Refdenotaalpie"/>
          <w:rFonts w:ascii="Arial" w:hAnsi="Arial" w:cs="Arial"/>
          <w:color w:val="000000" w:themeColor="text1"/>
          <w:sz w:val="20"/>
          <w:szCs w:val="20"/>
        </w:rPr>
        <w:footnoteRef/>
      </w:r>
      <w:r w:rsidRPr="007725A6">
        <w:rPr>
          <w:rFonts w:ascii="Arial" w:hAnsi="Arial" w:cs="Arial"/>
          <w:color w:val="000000" w:themeColor="text1"/>
          <w:sz w:val="20"/>
          <w:szCs w:val="20"/>
        </w:rPr>
        <w:t xml:space="preserve"> </w:t>
      </w:r>
      <w:r w:rsidRPr="007725A6">
        <w:rPr>
          <w:rFonts w:ascii="Arial" w:hAnsi="Arial" w:cs="Arial"/>
          <w:color w:val="000000" w:themeColor="text1"/>
          <w:sz w:val="20"/>
          <w:szCs w:val="20"/>
          <w:lang w:val="es-MX"/>
        </w:rPr>
        <w:t xml:space="preserve">Documento contenido en el expediente ordinario que obra en el aplicativo SAMAI, con certificado </w:t>
      </w:r>
      <w:r w:rsidRPr="007725A6">
        <w:rPr>
          <w:rFonts w:ascii="Arial" w:eastAsia="Times New Roman" w:hAnsi="Arial" w:cs="Arial"/>
          <w:color w:val="000000" w:themeColor="text1"/>
          <w:sz w:val="20"/>
          <w:szCs w:val="20"/>
          <w:lang w:eastAsia="es-CO"/>
        </w:rPr>
        <w:t xml:space="preserve">1779F0110939746F 47E45558D8E9ED7E 9000B80594BD87EF 39816D7DD2C8CF81, ubicado en el índice 161. </w:t>
      </w:r>
    </w:p>
  </w:footnote>
  <w:footnote w:id="23">
    <w:p w14:paraId="1E1DB32B" w14:textId="77777777" w:rsidR="00103391" w:rsidRPr="00D35135" w:rsidRDefault="00103391" w:rsidP="00A3745B">
      <w:pPr>
        <w:pStyle w:val="Textonotapie"/>
        <w:contextualSpacing/>
        <w:rPr>
          <w:lang w:val="es-MX"/>
        </w:rPr>
      </w:pPr>
      <w:r w:rsidRPr="00D35135">
        <w:rPr>
          <w:rStyle w:val="Refdenotaalpie"/>
        </w:rPr>
        <w:footnoteRef/>
      </w:r>
      <w:r w:rsidRPr="00D35135">
        <w:t xml:space="preserve"> Documento contenido en el expediente ordinario que obra en el aplicativo SAMAI, con certificado </w:t>
      </w:r>
      <w:r w:rsidRPr="00D35135">
        <w:rPr>
          <w:shd w:val="clear" w:color="auto" w:fill="FFFFFF"/>
        </w:rPr>
        <w:t xml:space="preserve">30AD6362E28E5390 BB9AE921FD0E032B D19FA00C8DF73B69 04712CD9BB1E04F4, ubicado en el índice 168. </w:t>
      </w:r>
    </w:p>
  </w:footnote>
  <w:footnote w:id="24">
    <w:p w14:paraId="746F3935" w14:textId="77777777" w:rsidR="00103391" w:rsidRPr="004A1DB4" w:rsidRDefault="00103391" w:rsidP="00B503D5">
      <w:pPr>
        <w:spacing w:after="0" w:line="240" w:lineRule="auto"/>
        <w:contextualSpacing/>
        <w:jc w:val="both"/>
        <w:rPr>
          <w:rFonts w:ascii="Arial" w:eastAsia="Times New Roman" w:hAnsi="Arial" w:cs="Arial"/>
          <w:color w:val="000000" w:themeColor="text1"/>
          <w:sz w:val="24"/>
          <w:szCs w:val="24"/>
          <w:lang w:eastAsia="es-CO"/>
        </w:rPr>
      </w:pPr>
      <w:r w:rsidRPr="00D35135">
        <w:rPr>
          <w:rStyle w:val="Refdenotaalpie"/>
          <w:rFonts w:ascii="Arial" w:hAnsi="Arial" w:cs="Arial"/>
          <w:sz w:val="20"/>
          <w:szCs w:val="20"/>
        </w:rPr>
        <w:footnoteRef/>
      </w:r>
      <w:r w:rsidRPr="00D35135">
        <w:rPr>
          <w:rFonts w:ascii="Arial" w:hAnsi="Arial" w:cs="Arial"/>
          <w:sz w:val="20"/>
          <w:szCs w:val="20"/>
        </w:rPr>
        <w:t xml:space="preserve"> </w:t>
      </w:r>
      <w:r w:rsidRPr="00D35135">
        <w:rPr>
          <w:rFonts w:ascii="Arial" w:hAnsi="Arial" w:cs="Arial"/>
          <w:sz w:val="20"/>
          <w:szCs w:val="20"/>
          <w:lang w:val="es-MX"/>
        </w:rPr>
        <w:t xml:space="preserve">Documento contenido en el expediente ordinario que obra en el aplicativo SAMAI, con certificado </w:t>
      </w:r>
      <w:r w:rsidRPr="00D35135">
        <w:rPr>
          <w:rFonts w:ascii="Arial" w:eastAsia="Times New Roman" w:hAnsi="Arial" w:cs="Arial"/>
          <w:sz w:val="20"/>
          <w:szCs w:val="20"/>
          <w:lang w:eastAsia="es-CO"/>
        </w:rPr>
        <w:t xml:space="preserve">26E878C7E6A7000C 01C233BF25A23C80 80073987C062AB93 </w:t>
      </w:r>
      <w:r w:rsidRPr="004A1DB4">
        <w:rPr>
          <w:rFonts w:ascii="Arial" w:eastAsia="Times New Roman" w:hAnsi="Arial" w:cs="Arial"/>
          <w:color w:val="000000" w:themeColor="text1"/>
          <w:sz w:val="20"/>
          <w:szCs w:val="20"/>
          <w:lang w:eastAsia="es-CO"/>
        </w:rPr>
        <w:t>601BDB9C7DECEBA6, ubicado en el índice 169.</w:t>
      </w:r>
      <w:r w:rsidRPr="004A1DB4">
        <w:rPr>
          <w:rFonts w:ascii="Arial" w:eastAsia="Times New Roman" w:hAnsi="Arial" w:cs="Arial"/>
          <w:color w:val="000000" w:themeColor="text1"/>
          <w:sz w:val="24"/>
          <w:szCs w:val="24"/>
          <w:lang w:eastAsia="es-CO"/>
        </w:rPr>
        <w:t xml:space="preserve"> </w:t>
      </w:r>
    </w:p>
  </w:footnote>
  <w:footnote w:id="25">
    <w:p w14:paraId="69F2961F" w14:textId="77777777" w:rsidR="00103391" w:rsidRPr="003F3906" w:rsidRDefault="00103391" w:rsidP="00B503D5">
      <w:pPr>
        <w:pStyle w:val="Textonotapie"/>
        <w:contextualSpacing/>
        <w:rPr>
          <w:lang w:val="es-MX"/>
        </w:rPr>
      </w:pPr>
      <w:r w:rsidRPr="004A1DB4">
        <w:rPr>
          <w:rStyle w:val="Refdenotaalpie"/>
        </w:rPr>
        <w:footnoteRef/>
      </w:r>
      <w:r w:rsidRPr="004A1DB4">
        <w:t xml:space="preserve"> </w:t>
      </w:r>
      <w:r w:rsidRPr="004A1DB4">
        <w:rPr>
          <w:lang w:val="es-MX"/>
        </w:rPr>
        <w:t xml:space="preserve">Documento contenido en el expediente ordinario que obra en el aplicativo SAMAI, con certificado </w:t>
      </w:r>
      <w:r w:rsidRPr="004A1DB4">
        <w:rPr>
          <w:shd w:val="clear" w:color="auto" w:fill="FFFFFF"/>
        </w:rPr>
        <w:t>979E44492C80F8F8 4787FF19F24C3648 9A80C1A18681421B 028EEC23BFE8D13F, ubicado en el índice 176.</w:t>
      </w:r>
      <w:r w:rsidRPr="004A1DB4">
        <w:rPr>
          <w:rFonts w:ascii="Segoe UI" w:hAnsi="Segoe UI" w:cs="Segoe UI"/>
          <w:shd w:val="clear" w:color="auto" w:fill="FFFFFF"/>
        </w:rPr>
        <w:t xml:space="preserve"> </w:t>
      </w:r>
    </w:p>
  </w:footnote>
  <w:footnote w:id="26">
    <w:p w14:paraId="1A760472" w14:textId="77777777" w:rsidR="00103391" w:rsidRPr="00476711" w:rsidRDefault="00103391" w:rsidP="00A3745B">
      <w:pPr>
        <w:pStyle w:val="Textonotapie"/>
        <w:contextualSpacing/>
        <w:rPr>
          <w:lang w:val="es-MX"/>
        </w:rPr>
      </w:pPr>
      <w:r w:rsidRPr="00476711">
        <w:rPr>
          <w:rStyle w:val="Refdenotaalpie"/>
        </w:rPr>
        <w:footnoteRef/>
      </w:r>
      <w:r w:rsidRPr="00476711">
        <w:t xml:space="preserve"> Documento contenido en el expediente ordinario que obra en el aplicativo SAMAI, con certificado </w:t>
      </w:r>
      <w:r w:rsidRPr="00476711">
        <w:rPr>
          <w:shd w:val="clear" w:color="auto" w:fill="FFFFFF"/>
        </w:rPr>
        <w:t xml:space="preserve">61E6245FFC3E232B BFB139B3966D2252 0585566A0F0ADF65 B7148D435A0B4470, ubicado en el índice 178. </w:t>
      </w:r>
    </w:p>
  </w:footnote>
  <w:footnote w:id="27">
    <w:p w14:paraId="3C955372" w14:textId="77777777" w:rsidR="00103391" w:rsidRPr="00476711" w:rsidRDefault="00103391" w:rsidP="00A3745B">
      <w:pPr>
        <w:pStyle w:val="Textonotapie"/>
        <w:contextualSpacing/>
        <w:rPr>
          <w:lang w:val="es-MX"/>
        </w:rPr>
      </w:pPr>
      <w:r w:rsidRPr="00476711">
        <w:rPr>
          <w:rStyle w:val="Refdenotaalpie"/>
        </w:rPr>
        <w:footnoteRef/>
      </w:r>
      <w:r w:rsidRPr="00476711">
        <w:t xml:space="preserve"> </w:t>
      </w:r>
      <w:r w:rsidRPr="00476711">
        <w:rPr>
          <w:lang w:val="es-MX"/>
        </w:rPr>
        <w:t xml:space="preserve">Documento contenido en el expediente ordinario que obra en el aplicativo SAMAI, con certificado </w:t>
      </w:r>
      <w:r w:rsidRPr="00476711">
        <w:rPr>
          <w:shd w:val="clear" w:color="auto" w:fill="FFFFFF"/>
        </w:rPr>
        <w:t xml:space="preserve">762491E2D157B583 433639724B3A380B 740F48EFAFAE0623 82536CD2D0D559B4, ubicado en el índice 188. </w:t>
      </w:r>
    </w:p>
  </w:footnote>
  <w:footnote w:id="28">
    <w:p w14:paraId="4B55B391" w14:textId="79AB2AE9" w:rsidR="00103391" w:rsidRPr="00476711" w:rsidRDefault="00103391" w:rsidP="00A3745B">
      <w:pPr>
        <w:pStyle w:val="Textonotapie"/>
        <w:contextualSpacing/>
        <w:rPr>
          <w:lang w:val="es-ES"/>
        </w:rPr>
      </w:pPr>
      <w:r w:rsidRPr="00476711">
        <w:rPr>
          <w:rStyle w:val="Refdenotaalpie"/>
        </w:rPr>
        <w:footnoteRef/>
      </w:r>
      <w:r w:rsidRPr="00476711">
        <w:t xml:space="preserve"> </w:t>
      </w:r>
      <w:r w:rsidRPr="00476711">
        <w:rPr>
          <w:lang w:val="es-ES"/>
        </w:rPr>
        <w:t xml:space="preserve">Documento contenido en el expediente ordinario que obra en el aplicativo SAMAI, con certificado </w:t>
      </w:r>
      <w:r w:rsidRPr="00476711">
        <w:rPr>
          <w:shd w:val="clear" w:color="auto" w:fill="FFFFFF"/>
        </w:rPr>
        <w:t xml:space="preserve">204DDAD36C706AD1 AC6DB785C2A8FD94 F221F63F2627B8B7 C7D12E19BCA1E1BA, ubicado en el índice 195. </w:t>
      </w:r>
    </w:p>
  </w:footnote>
  <w:footnote w:id="29">
    <w:p w14:paraId="36895A80" w14:textId="62B4CDE2" w:rsidR="00103391" w:rsidRPr="00476711" w:rsidRDefault="00103391" w:rsidP="00A3745B">
      <w:pPr>
        <w:pStyle w:val="Textonotapie"/>
        <w:rPr>
          <w:lang w:val="es-ES"/>
        </w:rPr>
      </w:pPr>
      <w:r w:rsidRPr="00476711">
        <w:rPr>
          <w:rStyle w:val="Refdenotaalpie"/>
        </w:rPr>
        <w:footnoteRef/>
      </w:r>
      <w:r w:rsidRPr="00476711">
        <w:t xml:space="preserve"> </w:t>
      </w:r>
      <w:r w:rsidRPr="00476711">
        <w:rPr>
          <w:lang w:val="es-ES"/>
        </w:rPr>
        <w:t xml:space="preserve">Documento contenido en el expediente ordinario que obra en el aplicativo SAMAI, con certificado </w:t>
      </w:r>
      <w:r w:rsidRPr="00476711">
        <w:rPr>
          <w:shd w:val="clear" w:color="auto" w:fill="FFFFFF"/>
        </w:rPr>
        <w:t xml:space="preserve">00B21EA8DF27C049 6A858AC5468E2399 60574259CF3937E8 259CD342D3A81C86, ubicado en el índice 197. </w:t>
      </w:r>
    </w:p>
  </w:footnote>
  <w:footnote w:id="30">
    <w:p w14:paraId="637347D8" w14:textId="4D4B4C40" w:rsidR="00103391" w:rsidRPr="00476711" w:rsidRDefault="00103391" w:rsidP="00A3745B">
      <w:pPr>
        <w:pStyle w:val="Textonotapie"/>
        <w:rPr>
          <w:lang w:val="es-ES"/>
        </w:rPr>
      </w:pPr>
      <w:r w:rsidRPr="00476711">
        <w:rPr>
          <w:rStyle w:val="Refdenotaalpie"/>
        </w:rPr>
        <w:footnoteRef/>
      </w:r>
      <w:r w:rsidRPr="00476711">
        <w:t xml:space="preserve"> </w:t>
      </w:r>
      <w:r w:rsidRPr="00476711">
        <w:rPr>
          <w:lang w:val="es-ES"/>
        </w:rPr>
        <w:t xml:space="preserve">Documento contenido en el expediente ordinario que obra en el aplicativo SAMAI, con certificado </w:t>
      </w:r>
      <w:r w:rsidRPr="00476711">
        <w:rPr>
          <w:shd w:val="clear" w:color="auto" w:fill="FFFFFF"/>
        </w:rPr>
        <w:t xml:space="preserve">C176F0EDB0C4B8F7 0DFEE77D9EAE3DDF 044C0F44849D8136 B226867253D9F5E4, ubicado en el índice 199. </w:t>
      </w:r>
    </w:p>
  </w:footnote>
  <w:footnote w:id="31">
    <w:p w14:paraId="284DC939" w14:textId="32D0A4B9" w:rsidR="00103391" w:rsidRPr="00AA5742" w:rsidRDefault="00103391" w:rsidP="00A3745B">
      <w:pPr>
        <w:pStyle w:val="Textonotapie"/>
        <w:rPr>
          <w:lang w:val="es-ES"/>
        </w:rPr>
      </w:pPr>
      <w:r w:rsidRPr="00AA5742">
        <w:rPr>
          <w:rStyle w:val="Refdenotaalpie"/>
        </w:rPr>
        <w:footnoteRef/>
      </w:r>
      <w:r w:rsidRPr="00AA5742">
        <w:t xml:space="preserve"> </w:t>
      </w:r>
      <w:r w:rsidRPr="00AA5742">
        <w:rPr>
          <w:lang w:val="es-ES"/>
        </w:rPr>
        <w:t xml:space="preserve">Documento contenido en el expediente ordinario que obra en el aplicativo SAMAI, con certificado </w:t>
      </w:r>
      <w:r w:rsidRPr="00AA5742">
        <w:rPr>
          <w:shd w:val="clear" w:color="auto" w:fill="FFFFFF"/>
        </w:rPr>
        <w:t xml:space="preserve">296E101C572FDF01 242C8EEA958404A5 38B588D43BAD56DA AA0A4DE2D249F45C, ubicado en el índice 205. </w:t>
      </w:r>
    </w:p>
  </w:footnote>
  <w:footnote w:id="32">
    <w:p w14:paraId="47939F13" w14:textId="2C6FFE6A" w:rsidR="00103391" w:rsidRPr="00AA5742" w:rsidRDefault="00103391" w:rsidP="00EB2865">
      <w:pPr>
        <w:spacing w:after="0" w:line="240" w:lineRule="auto"/>
        <w:contextualSpacing/>
        <w:jc w:val="both"/>
        <w:rPr>
          <w:rFonts w:ascii="Arial" w:eastAsia="Times New Roman" w:hAnsi="Arial" w:cs="Arial"/>
          <w:sz w:val="20"/>
          <w:szCs w:val="20"/>
          <w:lang w:eastAsia="es-CO"/>
        </w:rPr>
      </w:pPr>
      <w:r w:rsidRPr="00AA5742">
        <w:rPr>
          <w:rStyle w:val="Refdenotaalpie"/>
          <w:rFonts w:ascii="Arial" w:hAnsi="Arial" w:cs="Arial"/>
          <w:sz w:val="20"/>
          <w:szCs w:val="20"/>
        </w:rPr>
        <w:footnoteRef/>
      </w:r>
      <w:r w:rsidRPr="00AA5742">
        <w:rPr>
          <w:rFonts w:ascii="Arial" w:hAnsi="Arial" w:cs="Arial"/>
          <w:sz w:val="20"/>
          <w:szCs w:val="20"/>
        </w:rPr>
        <w:t xml:space="preserve"> </w:t>
      </w:r>
      <w:r w:rsidRPr="00AA5742">
        <w:rPr>
          <w:rFonts w:ascii="Arial" w:hAnsi="Arial" w:cs="Arial"/>
          <w:sz w:val="20"/>
          <w:szCs w:val="20"/>
          <w:lang w:val="es-MX"/>
        </w:rPr>
        <w:t xml:space="preserve">Documento contenido en el expediente ordinario que obra en el aplicativo SAMAI, con certificado </w:t>
      </w:r>
      <w:r w:rsidRPr="00AA5742">
        <w:rPr>
          <w:rFonts w:ascii="Arial" w:eastAsia="Times New Roman" w:hAnsi="Arial" w:cs="Arial"/>
          <w:sz w:val="20"/>
          <w:szCs w:val="20"/>
          <w:lang w:eastAsia="es-CO"/>
        </w:rPr>
        <w:t>FDA3AD3924F13A7E 9F13DECEB22416BD A7A1583EBC5C15E6 57E00B4E345E0BE5</w:t>
      </w:r>
      <w:r>
        <w:rPr>
          <w:rFonts w:ascii="Arial" w:eastAsia="Times New Roman" w:hAnsi="Arial" w:cs="Arial"/>
          <w:sz w:val="20"/>
          <w:szCs w:val="20"/>
          <w:lang w:eastAsia="es-CO"/>
        </w:rPr>
        <w:t xml:space="preserve">, ubicado en el índice 184. </w:t>
      </w:r>
    </w:p>
  </w:footnote>
  <w:footnote w:id="33">
    <w:p w14:paraId="47AF0193" w14:textId="77777777" w:rsidR="00103391" w:rsidRPr="00AA5742" w:rsidRDefault="00103391" w:rsidP="00A3745B">
      <w:pPr>
        <w:pStyle w:val="Textonotapie"/>
        <w:rPr>
          <w:lang w:val="es-MX"/>
        </w:rPr>
      </w:pPr>
      <w:r w:rsidRPr="00AA5742">
        <w:rPr>
          <w:rStyle w:val="Refdenotaalpie"/>
        </w:rPr>
        <w:footnoteRef/>
      </w:r>
      <w:r w:rsidRPr="00AA5742">
        <w:t xml:space="preserve"> </w:t>
      </w:r>
      <w:r w:rsidRPr="00AA5742">
        <w:rPr>
          <w:lang w:val="es-MX"/>
        </w:rPr>
        <w:t xml:space="preserve">Consideró que además de improcedente fue extemporánea. </w:t>
      </w:r>
    </w:p>
  </w:footnote>
  <w:footnote w:id="34">
    <w:p w14:paraId="1FDC30FB" w14:textId="77777777" w:rsidR="00103391" w:rsidRPr="00AA5742" w:rsidRDefault="00103391" w:rsidP="00A3745B">
      <w:pPr>
        <w:pStyle w:val="Textonotapie"/>
        <w:rPr>
          <w:lang w:val="es-MX"/>
        </w:rPr>
      </w:pPr>
      <w:r w:rsidRPr="00AA5742">
        <w:rPr>
          <w:rStyle w:val="Refdenotaalpie"/>
        </w:rPr>
        <w:footnoteRef/>
      </w:r>
      <w:r w:rsidRPr="00AA5742">
        <w:t xml:space="preserve"> </w:t>
      </w:r>
      <w:r w:rsidRPr="00AA5742">
        <w:rPr>
          <w:lang w:val="es-MX"/>
        </w:rPr>
        <w:t xml:space="preserve">Modificado por el artículo 22 de la Ley 2080 de 2021, en su numeral 4. </w:t>
      </w:r>
    </w:p>
  </w:footnote>
  <w:footnote w:id="35">
    <w:p w14:paraId="5D4FD916" w14:textId="77777777" w:rsidR="00103391" w:rsidRPr="00387ED0" w:rsidRDefault="00103391" w:rsidP="00A3745B">
      <w:pPr>
        <w:pStyle w:val="Textonotapie"/>
        <w:rPr>
          <w:lang w:val="es-MX"/>
        </w:rPr>
      </w:pPr>
      <w:r w:rsidRPr="00387ED0">
        <w:rPr>
          <w:rStyle w:val="Refdenotaalpie"/>
        </w:rPr>
        <w:footnoteRef/>
      </w:r>
      <w:r w:rsidRPr="00387ED0">
        <w:t xml:space="preserve"> </w:t>
      </w:r>
      <w:r w:rsidRPr="00387ED0">
        <w:rPr>
          <w:lang w:val="es-MX"/>
        </w:rPr>
        <w:t xml:space="preserve">Documento contenido en el expediente digital de tutela con certificado </w:t>
      </w:r>
      <w:r w:rsidRPr="00387ED0">
        <w:rPr>
          <w:shd w:val="clear" w:color="auto" w:fill="FFFFFF"/>
        </w:rPr>
        <w:t xml:space="preserve">9F544AC0886A06AD E915D4F0C923DF73 A6B6CDC4FEC27AF9 69E416E423F19A3D, ubicado en el índice 2. </w:t>
      </w:r>
    </w:p>
  </w:footnote>
  <w:footnote w:id="36">
    <w:p w14:paraId="5B47FAE8" w14:textId="77777777" w:rsidR="00103391" w:rsidRPr="009C4788" w:rsidRDefault="00103391" w:rsidP="00A3745B">
      <w:pPr>
        <w:spacing w:after="0" w:line="240" w:lineRule="auto"/>
        <w:contextualSpacing/>
        <w:jc w:val="both"/>
        <w:rPr>
          <w:rFonts w:ascii="Arial" w:eastAsia="Times New Roman" w:hAnsi="Arial" w:cs="Arial"/>
          <w:sz w:val="20"/>
          <w:szCs w:val="20"/>
          <w:lang w:eastAsia="es-CO"/>
        </w:rPr>
      </w:pPr>
      <w:r w:rsidRPr="009C4788">
        <w:rPr>
          <w:rStyle w:val="Refdenotaalpie"/>
          <w:rFonts w:ascii="Arial" w:hAnsi="Arial" w:cs="Arial"/>
          <w:sz w:val="20"/>
          <w:szCs w:val="20"/>
        </w:rPr>
        <w:footnoteRef/>
      </w:r>
      <w:r w:rsidRPr="009C4788">
        <w:rPr>
          <w:rFonts w:ascii="Arial" w:hAnsi="Arial" w:cs="Arial"/>
          <w:sz w:val="20"/>
          <w:szCs w:val="20"/>
        </w:rPr>
        <w:t xml:space="preserve"> </w:t>
      </w:r>
      <w:r w:rsidRPr="009C4788">
        <w:rPr>
          <w:rFonts w:ascii="Arial" w:hAnsi="Arial" w:cs="Arial"/>
          <w:sz w:val="20"/>
          <w:szCs w:val="20"/>
          <w:lang w:val="es-MX"/>
        </w:rPr>
        <w:t xml:space="preserve">Documento contenido en el expediente digital de tutela con certificado </w:t>
      </w:r>
      <w:r w:rsidRPr="009C4788">
        <w:rPr>
          <w:rFonts w:ascii="Arial" w:eastAsia="Times New Roman" w:hAnsi="Arial" w:cs="Arial"/>
          <w:sz w:val="20"/>
          <w:szCs w:val="20"/>
          <w:lang w:eastAsia="es-CO"/>
        </w:rPr>
        <w:t xml:space="preserve">1FF2C1D099842C55 47E07E1EC4055F98 84EDF5F77BD27A52 5478A5706BD33642, ubicado en el índice 4. </w:t>
      </w:r>
    </w:p>
  </w:footnote>
  <w:footnote w:id="37">
    <w:p w14:paraId="73716EEB" w14:textId="77777777" w:rsidR="00103391" w:rsidRPr="009C4788" w:rsidRDefault="00103391" w:rsidP="00A3745B">
      <w:pPr>
        <w:pStyle w:val="Textonotapie"/>
        <w:rPr>
          <w:lang w:val="es-MX"/>
        </w:rPr>
      </w:pPr>
      <w:r w:rsidRPr="009C4788">
        <w:rPr>
          <w:rStyle w:val="Refdenotaalpie"/>
        </w:rPr>
        <w:footnoteRef/>
      </w:r>
      <w:r w:rsidRPr="009C4788">
        <w:t xml:space="preserve"> </w:t>
      </w:r>
      <w:r w:rsidRPr="009C4788">
        <w:rPr>
          <w:lang w:val="es-MX"/>
        </w:rPr>
        <w:t xml:space="preserve">Documento contenido en el expediente digital de tutela con certificado </w:t>
      </w:r>
      <w:r w:rsidRPr="009C4788">
        <w:rPr>
          <w:shd w:val="clear" w:color="auto" w:fill="FFFFFF"/>
        </w:rPr>
        <w:t xml:space="preserve">502CBB2281C14E3A A8F2D19DC3D75B0A 73F959B0A0028BFF 0F0861D96D03849D, ubicado en el índice 9. </w:t>
      </w:r>
    </w:p>
  </w:footnote>
  <w:footnote w:id="38">
    <w:p w14:paraId="61B92900" w14:textId="77777777" w:rsidR="00103391" w:rsidRPr="009C4788" w:rsidRDefault="00103391" w:rsidP="00A3745B">
      <w:pPr>
        <w:pStyle w:val="Textonotapie"/>
        <w:rPr>
          <w:lang w:val="es-MX"/>
        </w:rPr>
      </w:pPr>
      <w:r w:rsidRPr="009C4788">
        <w:rPr>
          <w:rStyle w:val="Refdenotaalpie"/>
        </w:rPr>
        <w:footnoteRef/>
      </w:r>
      <w:r w:rsidRPr="009C4788">
        <w:t xml:space="preserve"> </w:t>
      </w:r>
      <w:r w:rsidRPr="009C4788">
        <w:rPr>
          <w:lang w:val="es-MX"/>
        </w:rPr>
        <w:t xml:space="preserve">Documento contenido en el expediente digital de tutela con certificado </w:t>
      </w:r>
      <w:r w:rsidRPr="009C4788">
        <w:rPr>
          <w:shd w:val="clear" w:color="auto" w:fill="FFFFFF"/>
        </w:rPr>
        <w:t xml:space="preserve">471BD83240D54074 4E18502290039F9D DEA58E2E33C5868B B36E9E29DE3848B5, ubicado en el índice 9. </w:t>
      </w:r>
    </w:p>
  </w:footnote>
  <w:footnote w:id="39">
    <w:p w14:paraId="1766DA1E" w14:textId="77777777" w:rsidR="00103391" w:rsidRPr="009C4788" w:rsidRDefault="00103391" w:rsidP="00814FE6">
      <w:pPr>
        <w:spacing w:after="0" w:line="240" w:lineRule="auto"/>
        <w:contextualSpacing/>
        <w:jc w:val="both"/>
        <w:rPr>
          <w:rFonts w:ascii="Arial" w:eastAsia="Times New Roman" w:hAnsi="Arial" w:cs="Arial"/>
          <w:sz w:val="20"/>
          <w:szCs w:val="20"/>
          <w:lang w:eastAsia="es-CO"/>
        </w:rPr>
      </w:pPr>
      <w:r w:rsidRPr="009C4788">
        <w:rPr>
          <w:rStyle w:val="Refdenotaalpie"/>
          <w:rFonts w:ascii="Arial" w:hAnsi="Arial" w:cs="Arial"/>
          <w:sz w:val="20"/>
          <w:szCs w:val="20"/>
        </w:rPr>
        <w:footnoteRef/>
      </w:r>
      <w:r w:rsidRPr="009C4788">
        <w:rPr>
          <w:rFonts w:ascii="Arial" w:hAnsi="Arial" w:cs="Arial"/>
          <w:sz w:val="20"/>
          <w:szCs w:val="20"/>
        </w:rPr>
        <w:t xml:space="preserve"> </w:t>
      </w:r>
      <w:r w:rsidRPr="009C4788">
        <w:rPr>
          <w:rFonts w:ascii="Arial" w:hAnsi="Arial" w:cs="Arial"/>
          <w:sz w:val="20"/>
          <w:szCs w:val="20"/>
          <w:lang w:val="es-MX"/>
        </w:rPr>
        <w:t xml:space="preserve">Documento contenido en el expediente digital de tutela con certificado </w:t>
      </w:r>
      <w:r w:rsidRPr="009C4788">
        <w:rPr>
          <w:rFonts w:ascii="Arial" w:eastAsia="Times New Roman" w:hAnsi="Arial" w:cs="Arial"/>
          <w:sz w:val="20"/>
          <w:szCs w:val="20"/>
          <w:lang w:eastAsia="es-CO"/>
        </w:rPr>
        <w:t xml:space="preserve">C3D7E296F7AD35E9 F19B05BADD4BE37F D074135CAF6DB73B 7625943263AD04B4, ubicado en el índice 10. </w:t>
      </w:r>
    </w:p>
  </w:footnote>
  <w:footnote w:id="40">
    <w:p w14:paraId="5FCA60B3" w14:textId="77777777" w:rsidR="00103391" w:rsidRPr="009C4788" w:rsidRDefault="00103391" w:rsidP="00A3745B">
      <w:pPr>
        <w:pStyle w:val="Textonotapie"/>
        <w:rPr>
          <w:lang w:val="es-MX"/>
        </w:rPr>
      </w:pPr>
      <w:r w:rsidRPr="009C4788">
        <w:rPr>
          <w:rStyle w:val="Refdenotaalpie"/>
        </w:rPr>
        <w:footnoteRef/>
      </w:r>
      <w:r w:rsidRPr="009C4788">
        <w:t xml:space="preserve"> </w:t>
      </w:r>
      <w:r w:rsidRPr="009C4788">
        <w:rPr>
          <w:lang w:val="es-MX"/>
        </w:rPr>
        <w:t xml:space="preserve">Documento contenido en el expediente digital de tutela con certificado </w:t>
      </w:r>
      <w:r w:rsidRPr="009C4788">
        <w:rPr>
          <w:shd w:val="clear" w:color="auto" w:fill="FFFFFF"/>
        </w:rPr>
        <w:t>2ED6871CCE116ED5 00A0DF4CE16A22EB DB6A2B72CEDAF60C CD1926015FFB6A92, ubicado en el índice 12.</w:t>
      </w:r>
      <w:r w:rsidRPr="009C4788">
        <w:rPr>
          <w:rFonts w:ascii="Segoe UI" w:hAnsi="Segoe UI" w:cs="Segoe UI"/>
          <w:shd w:val="clear" w:color="auto" w:fill="FFFFFF"/>
        </w:rPr>
        <w:t xml:space="preserve"> </w:t>
      </w:r>
    </w:p>
  </w:footnote>
  <w:footnote w:id="41">
    <w:p w14:paraId="71ECAEE2" w14:textId="77777777" w:rsidR="00103391" w:rsidRPr="003349F1" w:rsidRDefault="00103391" w:rsidP="00814FE6">
      <w:pPr>
        <w:spacing w:after="0" w:line="240" w:lineRule="auto"/>
        <w:jc w:val="both"/>
        <w:rPr>
          <w:rFonts w:ascii="Arial" w:eastAsia="Times New Roman" w:hAnsi="Arial" w:cs="Arial"/>
          <w:sz w:val="20"/>
          <w:szCs w:val="20"/>
          <w:lang w:eastAsia="es-CO"/>
        </w:rPr>
      </w:pPr>
      <w:r w:rsidRPr="003349F1">
        <w:rPr>
          <w:rStyle w:val="Refdenotaalpie"/>
          <w:rFonts w:ascii="Arial" w:hAnsi="Arial" w:cs="Arial"/>
          <w:sz w:val="20"/>
          <w:szCs w:val="20"/>
        </w:rPr>
        <w:footnoteRef/>
      </w:r>
      <w:r w:rsidRPr="003349F1">
        <w:rPr>
          <w:rFonts w:ascii="Arial" w:hAnsi="Arial" w:cs="Arial"/>
          <w:sz w:val="20"/>
          <w:szCs w:val="20"/>
        </w:rPr>
        <w:t xml:space="preserve"> </w:t>
      </w:r>
      <w:r w:rsidRPr="003349F1">
        <w:rPr>
          <w:rFonts w:ascii="Arial" w:hAnsi="Arial" w:cs="Arial"/>
          <w:sz w:val="20"/>
          <w:szCs w:val="20"/>
          <w:lang w:val="es-MX"/>
        </w:rPr>
        <w:t xml:space="preserve">Documento contenido en el expediente digital de tutela con certificado </w:t>
      </w:r>
      <w:r w:rsidRPr="003349F1">
        <w:rPr>
          <w:rFonts w:ascii="Arial" w:eastAsia="Times New Roman" w:hAnsi="Arial" w:cs="Arial"/>
          <w:sz w:val="20"/>
          <w:szCs w:val="20"/>
          <w:lang w:eastAsia="es-CO"/>
        </w:rPr>
        <w:t xml:space="preserve">E43F845B517B5828 94A18868C5268B9D 72D61B3626E32D22 870D51F078BF631D, ubicado en el índice 14. </w:t>
      </w:r>
    </w:p>
  </w:footnote>
  <w:footnote w:id="42">
    <w:p w14:paraId="1FFDF79C" w14:textId="77777777" w:rsidR="00103391" w:rsidRPr="003349F1" w:rsidRDefault="00103391" w:rsidP="00814FE6">
      <w:pPr>
        <w:spacing w:after="0" w:line="240" w:lineRule="auto"/>
        <w:jc w:val="both"/>
        <w:rPr>
          <w:rFonts w:ascii="Arial" w:eastAsia="Times New Roman" w:hAnsi="Arial" w:cs="Arial"/>
          <w:sz w:val="20"/>
          <w:szCs w:val="20"/>
          <w:lang w:eastAsia="es-CO"/>
        </w:rPr>
      </w:pPr>
      <w:r w:rsidRPr="003349F1">
        <w:rPr>
          <w:rStyle w:val="Refdenotaalpie"/>
          <w:rFonts w:ascii="Arial" w:hAnsi="Arial" w:cs="Arial"/>
          <w:sz w:val="20"/>
          <w:szCs w:val="20"/>
        </w:rPr>
        <w:footnoteRef/>
      </w:r>
      <w:r w:rsidRPr="003349F1">
        <w:rPr>
          <w:rFonts w:ascii="Arial" w:hAnsi="Arial" w:cs="Arial"/>
          <w:sz w:val="20"/>
          <w:szCs w:val="20"/>
        </w:rPr>
        <w:t xml:space="preserve"> </w:t>
      </w:r>
      <w:r w:rsidRPr="003349F1">
        <w:rPr>
          <w:rFonts w:ascii="Arial" w:hAnsi="Arial" w:cs="Arial"/>
          <w:sz w:val="20"/>
          <w:szCs w:val="20"/>
          <w:lang w:val="es-MX"/>
        </w:rPr>
        <w:t xml:space="preserve">Documento contenido en el expediente digital de tutela con certificado </w:t>
      </w:r>
      <w:r w:rsidRPr="003349F1">
        <w:rPr>
          <w:rFonts w:ascii="Arial" w:eastAsia="Times New Roman" w:hAnsi="Arial" w:cs="Arial"/>
          <w:sz w:val="20"/>
          <w:szCs w:val="20"/>
          <w:lang w:eastAsia="es-CO"/>
        </w:rPr>
        <w:t xml:space="preserve">5C3958AA22F23459 F2C4AF0C4C82855C 78E4C2C9DEE1DC74 CDA68B9A2E92E72A, ubicado en el índice 15. </w:t>
      </w:r>
    </w:p>
  </w:footnote>
  <w:footnote w:id="43">
    <w:p w14:paraId="75900150" w14:textId="346043DE" w:rsidR="009401DF" w:rsidRPr="009401DF" w:rsidRDefault="009401DF">
      <w:pPr>
        <w:pStyle w:val="Textonotapie"/>
        <w:rPr>
          <w:lang w:val="es-MX"/>
        </w:rPr>
      </w:pPr>
      <w:r>
        <w:rPr>
          <w:rStyle w:val="Refdenotaalpie"/>
        </w:rPr>
        <w:footnoteRef/>
      </w:r>
      <w:r>
        <w:t xml:space="preserve"> </w:t>
      </w:r>
      <w:r>
        <w:rPr>
          <w:lang w:val="es-MX"/>
        </w:rPr>
        <w:t xml:space="preserve">Ibidem. </w:t>
      </w:r>
    </w:p>
  </w:footnote>
  <w:footnote w:id="44">
    <w:p w14:paraId="6D10D78A" w14:textId="77777777" w:rsidR="00103391" w:rsidRPr="003349F1" w:rsidRDefault="00103391" w:rsidP="00A3745B">
      <w:pPr>
        <w:pStyle w:val="Textonotapie"/>
        <w:rPr>
          <w:lang w:val="es-MX"/>
        </w:rPr>
      </w:pPr>
      <w:r w:rsidRPr="003349F1">
        <w:rPr>
          <w:rStyle w:val="Refdenotaalpie"/>
        </w:rPr>
        <w:footnoteRef/>
      </w:r>
      <w:r w:rsidRPr="003349F1">
        <w:t xml:space="preserve"> </w:t>
      </w:r>
      <w:r w:rsidRPr="003349F1">
        <w:rPr>
          <w:lang w:val="es-MX"/>
        </w:rPr>
        <w:t xml:space="preserve">La constancia de paso al Despacho obra en el documento contenido en el expediente digital de tutela con certificado </w:t>
      </w:r>
      <w:r w:rsidRPr="003349F1">
        <w:rPr>
          <w:shd w:val="clear" w:color="auto" w:fill="FFFFFF"/>
        </w:rPr>
        <w:t>B67C1FF6D0C5B139 1EF11ACB9CA993DB C5F98B607E37D009 39581A97AFEBE24C, ubicado en el índice 16.</w:t>
      </w:r>
      <w:r w:rsidRPr="003349F1">
        <w:rPr>
          <w:rFonts w:ascii="Segoe UI" w:hAnsi="Segoe UI" w:cs="Segoe UI"/>
          <w:shd w:val="clear" w:color="auto" w:fill="FFFFFF"/>
        </w:rPr>
        <w:t xml:space="preserve"> </w:t>
      </w:r>
    </w:p>
  </w:footnote>
  <w:footnote w:id="45">
    <w:p w14:paraId="3A29A7FE" w14:textId="77777777" w:rsidR="00103391" w:rsidRPr="00F168F9" w:rsidRDefault="00103391" w:rsidP="00A3745B">
      <w:pPr>
        <w:pStyle w:val="Textonotapie"/>
        <w:rPr>
          <w:lang w:val="es-MX"/>
        </w:rPr>
      </w:pPr>
      <w:r w:rsidRPr="00F168F9">
        <w:rPr>
          <w:rStyle w:val="Refdenotaalpie"/>
        </w:rPr>
        <w:footnoteRef/>
      </w:r>
      <w:r w:rsidRPr="00F168F9">
        <w:t xml:space="preserve"> </w:t>
      </w:r>
      <w:r w:rsidRPr="00F168F9">
        <w:rPr>
          <w:lang w:val="es-MX"/>
        </w:rPr>
        <w:t xml:space="preserve">Documento contenido en el expediente digital de tutela con certificado </w:t>
      </w:r>
      <w:r w:rsidRPr="00F168F9">
        <w:rPr>
          <w:shd w:val="clear" w:color="auto" w:fill="FFFFFF"/>
        </w:rPr>
        <w:t xml:space="preserve">16BF4E2055929D78 D42349F560F1162C 6C10C9AFB739BE34 B64DD8550C225521, ubicado en el índice 17. </w:t>
      </w:r>
    </w:p>
  </w:footnote>
  <w:footnote w:id="46">
    <w:p w14:paraId="6B1E939D" w14:textId="77777777" w:rsidR="00103391" w:rsidRPr="00F168F9" w:rsidRDefault="00103391" w:rsidP="00A3745B">
      <w:pPr>
        <w:pStyle w:val="Textonotapie"/>
        <w:rPr>
          <w:lang w:val="es-MX"/>
        </w:rPr>
      </w:pPr>
      <w:r w:rsidRPr="00F168F9">
        <w:rPr>
          <w:rStyle w:val="Refdenotaalpie"/>
        </w:rPr>
        <w:footnoteRef/>
      </w:r>
      <w:r w:rsidRPr="00F168F9">
        <w:t xml:space="preserve"> </w:t>
      </w:r>
      <w:r w:rsidRPr="00F168F9">
        <w:rPr>
          <w:lang w:val="es-MX"/>
        </w:rPr>
        <w:t xml:space="preserve">El soporte de las notificaciones obra en el documento contenido en el expediente digital de tutela con certificado </w:t>
      </w:r>
      <w:r w:rsidRPr="00F168F9">
        <w:rPr>
          <w:shd w:val="clear" w:color="auto" w:fill="FFFFFF"/>
        </w:rPr>
        <w:t xml:space="preserve">879ADED15CA80BA7 0A0978D43C841439 346D2D3BEC64F05E 60E25DB544AEF303, ubicado en el índice 20. </w:t>
      </w:r>
    </w:p>
  </w:footnote>
  <w:footnote w:id="47">
    <w:p w14:paraId="0F11CDCC" w14:textId="77777777" w:rsidR="00103391" w:rsidRPr="00F168F9" w:rsidRDefault="00103391" w:rsidP="00814FE6">
      <w:pPr>
        <w:spacing w:after="0" w:line="240" w:lineRule="auto"/>
        <w:contextualSpacing/>
        <w:jc w:val="both"/>
        <w:rPr>
          <w:rFonts w:ascii="Arial" w:eastAsia="Times New Roman" w:hAnsi="Arial" w:cs="Arial"/>
          <w:sz w:val="24"/>
          <w:szCs w:val="24"/>
          <w:lang w:eastAsia="es-CO"/>
        </w:rPr>
      </w:pPr>
      <w:r w:rsidRPr="00F168F9">
        <w:rPr>
          <w:rStyle w:val="Refdenotaalpie"/>
          <w:rFonts w:ascii="Arial" w:hAnsi="Arial" w:cs="Arial"/>
          <w:sz w:val="20"/>
          <w:szCs w:val="20"/>
        </w:rPr>
        <w:footnoteRef/>
      </w:r>
      <w:r w:rsidRPr="00F168F9">
        <w:rPr>
          <w:rFonts w:ascii="Arial" w:hAnsi="Arial" w:cs="Arial"/>
          <w:sz w:val="20"/>
          <w:szCs w:val="20"/>
        </w:rPr>
        <w:t xml:space="preserve"> </w:t>
      </w:r>
      <w:r w:rsidRPr="00F168F9">
        <w:rPr>
          <w:rFonts w:ascii="Arial" w:hAnsi="Arial" w:cs="Arial"/>
          <w:sz w:val="20"/>
          <w:szCs w:val="20"/>
          <w:lang w:val="es-MX"/>
        </w:rPr>
        <w:t xml:space="preserve">Documento contenido en el expediente digital de tutela con certificado </w:t>
      </w:r>
      <w:r w:rsidRPr="00F168F9">
        <w:rPr>
          <w:rFonts w:ascii="Arial" w:eastAsia="Times New Roman" w:hAnsi="Arial" w:cs="Arial"/>
          <w:sz w:val="20"/>
          <w:szCs w:val="20"/>
          <w:lang w:eastAsia="es-CO"/>
        </w:rPr>
        <w:t>53042DBE937E88E3 A3C4C12EEB605602 3F39CB26E3FD92B3 36E1D483911AD71F, ubicado en el índice 23.</w:t>
      </w:r>
      <w:r w:rsidRPr="00F168F9">
        <w:rPr>
          <w:rFonts w:ascii="Arial" w:eastAsia="Times New Roman" w:hAnsi="Arial" w:cs="Arial"/>
          <w:sz w:val="24"/>
          <w:szCs w:val="24"/>
          <w:lang w:eastAsia="es-CO"/>
        </w:rPr>
        <w:t xml:space="preserve"> </w:t>
      </w:r>
    </w:p>
  </w:footnote>
  <w:footnote w:id="48">
    <w:p w14:paraId="3910C3FB" w14:textId="77777777" w:rsidR="00103391" w:rsidRPr="00F168F9" w:rsidRDefault="00103391" w:rsidP="00A3745B">
      <w:pPr>
        <w:pStyle w:val="Textonotapie"/>
        <w:rPr>
          <w:lang w:val="es-MX"/>
        </w:rPr>
      </w:pPr>
      <w:r w:rsidRPr="00F168F9">
        <w:rPr>
          <w:rStyle w:val="Refdenotaalpie"/>
        </w:rPr>
        <w:footnoteRef/>
      </w:r>
      <w:r w:rsidRPr="00F168F9">
        <w:t xml:space="preserve"> </w:t>
      </w:r>
      <w:r w:rsidRPr="00F168F9">
        <w:rPr>
          <w:lang w:val="es-MX"/>
        </w:rPr>
        <w:t xml:space="preserve">Documento contenido en el expediente digital de tutela con certificado </w:t>
      </w:r>
      <w:r w:rsidRPr="00F168F9">
        <w:rPr>
          <w:shd w:val="clear" w:color="auto" w:fill="FFFFFF"/>
        </w:rPr>
        <w:t xml:space="preserve">97EB3DB223EE070D F10E7C08F8F2FA93 BD60DD15EE1F7C43 1F6119BF397E4870, ubicado en el índice 24. </w:t>
      </w:r>
    </w:p>
  </w:footnote>
  <w:footnote w:id="49">
    <w:p w14:paraId="533B48DA" w14:textId="77777777" w:rsidR="00103391" w:rsidRPr="00F168F9" w:rsidRDefault="00103391" w:rsidP="00A3745B">
      <w:pPr>
        <w:pStyle w:val="Textonotapie"/>
        <w:rPr>
          <w:lang w:val="es-MX"/>
        </w:rPr>
      </w:pPr>
      <w:r w:rsidRPr="00F168F9">
        <w:rPr>
          <w:rStyle w:val="Refdenotaalpie"/>
        </w:rPr>
        <w:footnoteRef/>
      </w:r>
      <w:r w:rsidRPr="00F168F9">
        <w:t xml:space="preserve"> </w:t>
      </w:r>
      <w:r w:rsidRPr="00F168F9">
        <w:rPr>
          <w:lang w:val="es-MX"/>
        </w:rPr>
        <w:t xml:space="preserve">Documento contenido en el expediente digital de tutela con certificado </w:t>
      </w:r>
      <w:r w:rsidRPr="00F168F9">
        <w:rPr>
          <w:shd w:val="clear" w:color="auto" w:fill="FFFFFF"/>
        </w:rPr>
        <w:t xml:space="preserve">5DEB9C12309E063F 6B700015626DAA92 10E70C5996D41F36 2A96C476BCE1F2E1, ubicado en el índice 26. </w:t>
      </w:r>
    </w:p>
  </w:footnote>
  <w:footnote w:id="50">
    <w:p w14:paraId="2466B6C7" w14:textId="77777777" w:rsidR="00103391" w:rsidRPr="00F168F9" w:rsidRDefault="00103391" w:rsidP="00A3745B">
      <w:pPr>
        <w:pStyle w:val="Textonotapie"/>
        <w:rPr>
          <w:lang w:val="es-MX"/>
        </w:rPr>
      </w:pPr>
      <w:r w:rsidRPr="00F168F9">
        <w:rPr>
          <w:rStyle w:val="Refdenotaalpie"/>
        </w:rPr>
        <w:footnoteRef/>
      </w:r>
      <w:r w:rsidRPr="00F168F9">
        <w:t xml:space="preserve"> </w:t>
      </w:r>
      <w:r w:rsidRPr="00F168F9">
        <w:rPr>
          <w:lang w:val="es-MX"/>
        </w:rPr>
        <w:t xml:space="preserve">Documento contenido en el expediente digital de tutela con certificado </w:t>
      </w:r>
      <w:r w:rsidRPr="00F168F9">
        <w:rPr>
          <w:shd w:val="clear" w:color="auto" w:fill="FFFFFF"/>
        </w:rPr>
        <w:t>3E8FAB94DDBFDC8A 73A846E3291C5ECF 0B88011099928D6F 3E0A43578BC2CAF1, ubicado en el índice 27.</w:t>
      </w:r>
      <w:r w:rsidRPr="00F168F9">
        <w:rPr>
          <w:rFonts w:ascii="Segoe UI" w:hAnsi="Segoe UI" w:cs="Segoe UI"/>
          <w:shd w:val="clear" w:color="auto" w:fill="FFFFFF"/>
        </w:rPr>
        <w:t xml:space="preserve"> </w:t>
      </w:r>
    </w:p>
  </w:footnote>
  <w:footnote w:id="51">
    <w:p w14:paraId="137EB322" w14:textId="77777777" w:rsidR="00103391" w:rsidRPr="00F1016B" w:rsidRDefault="00103391" w:rsidP="00A3745B">
      <w:pPr>
        <w:pStyle w:val="Textonotapie"/>
        <w:rPr>
          <w:lang w:val="es-MX"/>
        </w:rPr>
      </w:pPr>
      <w:r w:rsidRPr="00F1016B">
        <w:rPr>
          <w:rStyle w:val="Refdenotaalpie"/>
        </w:rPr>
        <w:footnoteRef/>
      </w:r>
      <w:r w:rsidRPr="00F1016B">
        <w:t xml:space="preserve"> </w:t>
      </w:r>
      <w:r w:rsidRPr="00F1016B">
        <w:rPr>
          <w:lang w:val="es-MX"/>
        </w:rPr>
        <w:t xml:space="preserve">El soporte de paso al Despacho obra en el documento contenido en el expediente digital de tutela con certificado </w:t>
      </w:r>
      <w:r w:rsidRPr="00F1016B">
        <w:rPr>
          <w:shd w:val="clear" w:color="auto" w:fill="FFFFFF"/>
        </w:rPr>
        <w:t xml:space="preserve">4E60FBF85DA3E4F4 BB3F356C0287BE8D 2176EB5DE6A48ADF 1A03A0C5C624DE0E, ubicado en el índice 30. </w:t>
      </w:r>
    </w:p>
  </w:footnote>
  <w:footnote w:id="52">
    <w:p w14:paraId="01019ADA" w14:textId="77777777" w:rsidR="00103391" w:rsidRPr="00433E49" w:rsidRDefault="00103391" w:rsidP="00A3745B">
      <w:pPr>
        <w:pStyle w:val="Textonotapie"/>
        <w:rPr>
          <w:lang w:val="es-ES"/>
        </w:rPr>
      </w:pPr>
      <w:r>
        <w:rPr>
          <w:rStyle w:val="Refdenotaalpie"/>
        </w:rPr>
        <w:footnoteRef/>
      </w:r>
      <w:r>
        <w:t xml:space="preserve"> </w:t>
      </w:r>
      <w:r>
        <w:rPr>
          <w:lang w:val="es-ES"/>
        </w:rPr>
        <w:t xml:space="preserve">Corte Constitucional. Sentencia SU128 de 2021. </w:t>
      </w:r>
    </w:p>
  </w:footnote>
  <w:footnote w:id="53">
    <w:p w14:paraId="0DBC315A" w14:textId="77777777" w:rsidR="00103391" w:rsidRPr="00344F99" w:rsidRDefault="00103391" w:rsidP="00A3745B">
      <w:pPr>
        <w:pStyle w:val="Textonotapie"/>
        <w:rPr>
          <w:lang w:val="es-MX"/>
        </w:rPr>
      </w:pPr>
      <w:r>
        <w:rPr>
          <w:rStyle w:val="Refdenotaalpie"/>
        </w:rPr>
        <w:footnoteRef/>
      </w:r>
      <w:r>
        <w:t xml:space="preserve"> </w:t>
      </w:r>
      <w:r>
        <w:rPr>
          <w:lang w:val="es-MX"/>
        </w:rPr>
        <w:t xml:space="preserve">Corte Constitucional. Sentencia SU-116 de 2018. </w:t>
      </w:r>
    </w:p>
  </w:footnote>
  <w:footnote w:id="54">
    <w:p w14:paraId="07BE11DB" w14:textId="77777777" w:rsidR="00103391" w:rsidRPr="005D47B5" w:rsidRDefault="00103391" w:rsidP="00A3745B">
      <w:pPr>
        <w:pStyle w:val="Textonotapie"/>
        <w:rPr>
          <w:lang w:val="es-MX"/>
        </w:rPr>
      </w:pPr>
      <w:r>
        <w:rPr>
          <w:rStyle w:val="Refdenotaalpie"/>
        </w:rPr>
        <w:footnoteRef/>
      </w:r>
      <w:r>
        <w:t xml:space="preserve"> </w:t>
      </w:r>
      <w:r>
        <w:rPr>
          <w:lang w:val="es-MX"/>
        </w:rPr>
        <w:t xml:space="preserve">Corte Constitucional. Sentencia T-005 de 2022. </w:t>
      </w:r>
    </w:p>
  </w:footnote>
  <w:footnote w:id="55">
    <w:p w14:paraId="7F12AEA8" w14:textId="77777777" w:rsidR="00103391" w:rsidRDefault="00103391" w:rsidP="00A3745B">
      <w:pPr>
        <w:pStyle w:val="Textonotapie"/>
      </w:pPr>
      <w:r>
        <w:rPr>
          <w:rStyle w:val="Refdenotaalpie"/>
        </w:rPr>
        <w:footnoteRef/>
      </w:r>
      <w:r>
        <w:t xml:space="preserve"> Corte Constitucional. Sentencia SU-332 de 2019, que reiteró el contenido de la Sentencia C-590 de 2005. </w:t>
      </w:r>
    </w:p>
  </w:footnote>
  <w:footnote w:id="56">
    <w:p w14:paraId="0AC36B8E" w14:textId="77777777" w:rsidR="00103391" w:rsidRDefault="00103391" w:rsidP="00A3745B">
      <w:pPr>
        <w:pStyle w:val="Textonotapie"/>
        <w:rPr>
          <w:lang w:val="es-MX"/>
        </w:rPr>
      </w:pPr>
      <w:r>
        <w:rPr>
          <w:rStyle w:val="Refdenotaalpie"/>
        </w:rPr>
        <w:footnoteRef/>
      </w:r>
      <w: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 </w:t>
      </w:r>
    </w:p>
  </w:footnote>
  <w:footnote w:id="57">
    <w:p w14:paraId="55B92ECB" w14:textId="77777777" w:rsidR="00103391" w:rsidRPr="00D12CE6" w:rsidRDefault="00103391" w:rsidP="00A3745B">
      <w:pPr>
        <w:pStyle w:val="Textonotapie"/>
        <w:rPr>
          <w:lang w:val="es-MX"/>
        </w:rPr>
      </w:pPr>
      <w:r>
        <w:rPr>
          <w:rStyle w:val="Refdenotaalpie"/>
        </w:rPr>
        <w:footnoteRef/>
      </w:r>
      <w:r>
        <w:t xml:space="preserve"> </w:t>
      </w:r>
      <w:r>
        <w:rPr>
          <w:lang w:val="es-MX"/>
        </w:rPr>
        <w:t>Constitución Política de 1991, artículo 86.</w:t>
      </w:r>
    </w:p>
  </w:footnote>
  <w:footnote w:id="58">
    <w:p w14:paraId="3C4500AF" w14:textId="77777777" w:rsidR="00103391" w:rsidRDefault="00103391" w:rsidP="00A3745B">
      <w:pPr>
        <w:pStyle w:val="Textonotapie"/>
      </w:pPr>
      <w:r>
        <w:rPr>
          <w:rStyle w:val="Refdenotaalpie"/>
        </w:rPr>
        <w:footnoteRef/>
      </w:r>
      <w:r>
        <w:t xml:space="preserve"> Corte Constitucional. Sentencia C-132 de 2018. </w:t>
      </w:r>
    </w:p>
  </w:footnote>
  <w:footnote w:id="59">
    <w:p w14:paraId="0D42D098" w14:textId="77777777" w:rsidR="00103391" w:rsidRDefault="00103391" w:rsidP="00A3745B">
      <w:pPr>
        <w:pStyle w:val="Textonotapie"/>
      </w:pPr>
      <w:r>
        <w:rPr>
          <w:rStyle w:val="Refdenotaalpie"/>
        </w:rPr>
        <w:footnoteRef/>
      </w:r>
      <w:r>
        <w:t xml:space="preserve"> Corte Constitucional. Sentencia T-340 de 2020. </w:t>
      </w:r>
    </w:p>
  </w:footnote>
  <w:footnote w:id="60">
    <w:p w14:paraId="57490F44" w14:textId="77777777" w:rsidR="00103391" w:rsidRDefault="00103391" w:rsidP="00A3745B">
      <w:pPr>
        <w:pStyle w:val="Textonotapie"/>
      </w:pPr>
      <w:r>
        <w:rPr>
          <w:rStyle w:val="Refdenotaalpie"/>
        </w:rPr>
        <w:footnoteRef/>
      </w:r>
      <w:r>
        <w:t xml:space="preserve"> Corte Constitucional. Sentencia T-315 de 2022. </w:t>
      </w:r>
    </w:p>
  </w:footnote>
  <w:footnote w:id="61">
    <w:p w14:paraId="28DB7873" w14:textId="77777777" w:rsidR="00103391" w:rsidRDefault="00103391" w:rsidP="00A3745B">
      <w:pPr>
        <w:pStyle w:val="Textonotapie"/>
      </w:pPr>
      <w:r>
        <w:rPr>
          <w:rStyle w:val="Refdenotaalpie"/>
        </w:rPr>
        <w:footnoteRef/>
      </w:r>
      <w:r>
        <w:t xml:space="preserve"> Corte Constitucional. Sentencia T-146 de 2019. </w:t>
      </w:r>
    </w:p>
  </w:footnote>
  <w:footnote w:id="62">
    <w:p w14:paraId="2C29DC5F" w14:textId="77777777" w:rsidR="00103391" w:rsidRDefault="00103391" w:rsidP="00A3745B">
      <w:pPr>
        <w:pStyle w:val="Textonotapie"/>
      </w:pPr>
      <w:r>
        <w:rPr>
          <w:rStyle w:val="Refdenotaalpie"/>
        </w:rPr>
        <w:footnoteRef/>
      </w:r>
      <w:r>
        <w:t xml:space="preserve"> Corte Constitucional. Sentencia T-315 de 2022 que incorporó el contenido de la sentencias SU-074 de 2022, T-003 de 2022, T-896 de 2007, entre otras. </w:t>
      </w:r>
    </w:p>
  </w:footnote>
  <w:footnote w:id="63">
    <w:p w14:paraId="5CF7F8C2" w14:textId="77777777" w:rsidR="00103391" w:rsidRDefault="00103391" w:rsidP="00A3745B">
      <w:pPr>
        <w:pStyle w:val="Textonotapie"/>
      </w:pPr>
      <w:r>
        <w:rPr>
          <w:rStyle w:val="Refdenotaalpie"/>
        </w:rPr>
        <w:footnoteRef/>
      </w:r>
      <w:r>
        <w:t xml:space="preserve"> Ibídem. </w:t>
      </w:r>
    </w:p>
  </w:footnote>
  <w:footnote w:id="64">
    <w:p w14:paraId="300F18EC" w14:textId="77777777" w:rsidR="00103391" w:rsidRDefault="00103391" w:rsidP="00A3745B">
      <w:pPr>
        <w:pStyle w:val="Textonotapie"/>
      </w:pPr>
      <w:r>
        <w:rPr>
          <w:rStyle w:val="Refdenotaalpie"/>
        </w:rPr>
        <w:footnoteRef/>
      </w:r>
      <w:r>
        <w:t xml:space="preserve"> Corte Constitucional. Sentencia T-315 de 2022 que incorporó el contenido de la sentencias SU-074 de 2022, T-003 de 2022, T-896 de 2007, entre otras. </w:t>
      </w:r>
    </w:p>
  </w:footnote>
  <w:footnote w:id="65">
    <w:p w14:paraId="4E3BE588" w14:textId="77777777" w:rsidR="00103391" w:rsidRDefault="00103391" w:rsidP="00A3745B">
      <w:pPr>
        <w:pStyle w:val="Textonotapie"/>
      </w:pPr>
      <w:r>
        <w:rPr>
          <w:rStyle w:val="Refdenotaalpie"/>
        </w:rPr>
        <w:footnoteRef/>
      </w:r>
      <w:r>
        <w:t xml:space="preserve"> Ibídem.</w:t>
      </w:r>
    </w:p>
  </w:footnote>
  <w:footnote w:id="66">
    <w:p w14:paraId="6AE17D67" w14:textId="77777777" w:rsidR="00103391" w:rsidRDefault="00103391" w:rsidP="00A3745B">
      <w:pPr>
        <w:pStyle w:val="Textonotapie"/>
      </w:pPr>
      <w:r>
        <w:rPr>
          <w:rStyle w:val="Refdenotaalpie"/>
        </w:rPr>
        <w:footnoteRef/>
      </w:r>
      <w:r>
        <w:t xml:space="preserve"> Ibíd. </w:t>
      </w:r>
    </w:p>
  </w:footnote>
  <w:footnote w:id="67">
    <w:p w14:paraId="6794C0F1" w14:textId="77777777" w:rsidR="00103391" w:rsidRDefault="00103391" w:rsidP="00A3745B">
      <w:pPr>
        <w:pStyle w:val="Textonotapie"/>
      </w:pPr>
      <w:r>
        <w:rPr>
          <w:rStyle w:val="Refdenotaalpie"/>
        </w:rPr>
        <w:footnoteRef/>
      </w:r>
      <w:r>
        <w:t xml:space="preserve"> Ibíd. </w:t>
      </w:r>
    </w:p>
  </w:footnote>
  <w:footnote w:id="68">
    <w:p w14:paraId="50BAC660" w14:textId="77777777" w:rsidR="00103391" w:rsidRDefault="00103391" w:rsidP="00A3745B">
      <w:pPr>
        <w:pStyle w:val="Textonotapie"/>
      </w:pPr>
      <w:r>
        <w:rPr>
          <w:rStyle w:val="Refdenotaalpie"/>
        </w:rPr>
        <w:footnoteRef/>
      </w:r>
      <w:r>
        <w:t xml:space="preserve"> Corte Constitucional. Sentencia T-332 de 2018. </w:t>
      </w:r>
    </w:p>
  </w:footnote>
  <w:footnote w:id="69">
    <w:p w14:paraId="3A84A2EB" w14:textId="5FB857C3" w:rsidR="00103391" w:rsidRPr="009B0AFF" w:rsidRDefault="00103391" w:rsidP="00A3745B">
      <w:pPr>
        <w:pStyle w:val="Textonotapie"/>
        <w:rPr>
          <w:lang w:val="es-ES"/>
        </w:rPr>
      </w:pPr>
      <w:r w:rsidRPr="009B0AFF">
        <w:rPr>
          <w:rStyle w:val="Refdenotaalpie"/>
        </w:rPr>
        <w:footnoteRef/>
      </w:r>
      <w:r w:rsidRPr="009B0AFF">
        <w:t xml:space="preserve"> </w:t>
      </w:r>
      <w:r w:rsidRPr="009B0AFF">
        <w:rPr>
          <w:lang w:val="es-ES"/>
        </w:rPr>
        <w:t xml:space="preserve">Corte Constitucional. Sentencia C-543 de 1992. </w:t>
      </w:r>
    </w:p>
  </w:footnote>
  <w:footnote w:id="70">
    <w:p w14:paraId="0CAA4F2D" w14:textId="5A1D1F9E" w:rsidR="00103391" w:rsidRPr="0052058E" w:rsidRDefault="00103391" w:rsidP="00A3745B">
      <w:pPr>
        <w:pStyle w:val="Textonotapie"/>
        <w:rPr>
          <w:lang w:val="es-MX"/>
        </w:rPr>
      </w:pPr>
      <w:r>
        <w:rPr>
          <w:rStyle w:val="Refdenotaalpie"/>
        </w:rPr>
        <w:footnoteRef/>
      </w:r>
      <w:r>
        <w:t xml:space="preserve"> </w:t>
      </w:r>
      <w:r>
        <w:rPr>
          <w:lang w:val="es-MX"/>
        </w:rPr>
        <w:t xml:space="preserve">Corte Constitucional. Sentencia T-006 de 2015. </w:t>
      </w:r>
    </w:p>
  </w:footnote>
  <w:footnote w:id="71">
    <w:p w14:paraId="360AF9B9" w14:textId="3E8093B5" w:rsidR="00103391" w:rsidRPr="00660399" w:rsidRDefault="00103391" w:rsidP="00A3745B">
      <w:pPr>
        <w:pStyle w:val="Textonotapie"/>
      </w:pPr>
      <w:r w:rsidRPr="00660399">
        <w:rPr>
          <w:rStyle w:val="Refdenotaalpie"/>
        </w:rPr>
        <w:footnoteRef/>
      </w:r>
      <w:r w:rsidRPr="00660399">
        <w:t xml:space="preserve"> “La presentación de peticiones impertinentes, así como la interposición de recursos y nulidades improcedentes serán considerados como formas de dilatar el proceso y se sancionarán con multa de cinco (5) a diez (10) salarios mínimos mensuales legales vigentes”. </w:t>
      </w:r>
    </w:p>
  </w:footnote>
  <w:footnote w:id="72">
    <w:p w14:paraId="12650C06" w14:textId="16638C58" w:rsidR="00660399" w:rsidRPr="00727CD6" w:rsidRDefault="00660399" w:rsidP="00A3745B">
      <w:pPr>
        <w:pStyle w:val="Textonotapie"/>
        <w:rPr>
          <w:lang w:val="es-MX"/>
        </w:rPr>
      </w:pPr>
      <w:r w:rsidRPr="00660399">
        <w:rPr>
          <w:rStyle w:val="Refdenotaalpie"/>
        </w:rPr>
        <w:footnoteRef/>
      </w:r>
      <w:r w:rsidRPr="00660399">
        <w:t xml:space="preserve"> Además </w:t>
      </w:r>
      <w:r w:rsidRPr="00727CD6">
        <w:t xml:space="preserve">de los casos previstos en los artículos anteriores, el Juez podrá sancionar con multa de dos a cinco salarios mínimos mensuales, a las partes del proceso, o a sus representantes o abogados, en los siguientes eventos: </w:t>
      </w:r>
      <w:r w:rsidRPr="00727CD6">
        <w:rPr>
          <w:bCs/>
          <w:color w:val="000000"/>
        </w:rPr>
        <w:t>5. Cuando adopten una conducta procesal tendiente a dilatar el proceso o por cualquier medio se entorpezca el desarrollo normal del proceso</w:t>
      </w:r>
      <w:r w:rsidR="00727CD6">
        <w:rPr>
          <w:bCs/>
          <w:color w:val="000000"/>
        </w:rPr>
        <w:t xml:space="preserve">”. </w:t>
      </w:r>
    </w:p>
  </w:footnote>
  <w:footnote w:id="73">
    <w:p w14:paraId="20260883" w14:textId="556DF0A4" w:rsidR="00103391" w:rsidRPr="00660399" w:rsidRDefault="00103391" w:rsidP="00A3745B">
      <w:pPr>
        <w:pStyle w:val="Textonotapie"/>
        <w:rPr>
          <w:lang w:val="es-ES"/>
        </w:rPr>
      </w:pPr>
      <w:r w:rsidRPr="00660399">
        <w:rPr>
          <w:rStyle w:val="Refdenotaalpie"/>
        </w:rPr>
        <w:footnoteRef/>
      </w:r>
      <w:r w:rsidRPr="00660399">
        <w:t xml:space="preserve"> </w:t>
      </w:r>
      <w:r w:rsidRPr="00660399">
        <w:rPr>
          <w:lang w:val="es-ES"/>
        </w:rPr>
        <w:t xml:space="preserve">Entre estas el numeral 8 del artículo 33 de la citada Ley. </w:t>
      </w:r>
    </w:p>
  </w:footnote>
  <w:footnote w:id="74">
    <w:p w14:paraId="23B935E8" w14:textId="4E7A77D1" w:rsidR="00103391" w:rsidRPr="00BF2CAB" w:rsidRDefault="00103391" w:rsidP="00A3745B">
      <w:pPr>
        <w:pStyle w:val="Textonotapie"/>
        <w:rPr>
          <w:lang w:val="es-MX"/>
        </w:rPr>
      </w:pPr>
      <w:r w:rsidRPr="00660399">
        <w:rPr>
          <w:rStyle w:val="Refdenotaalpie"/>
        </w:rPr>
        <w:footnoteRef/>
      </w:r>
      <w:r w:rsidRPr="00660399">
        <w:t xml:space="preserve"> </w:t>
      </w:r>
      <w:r w:rsidRPr="00660399">
        <w:rPr>
          <w:lang w:val="es-MX"/>
        </w:rPr>
        <w:t>La Corte Constitucional en la sentencia T-146 de 2019 reconoció la “validez y viabilidad de los medios y recursos ordinarios de protección judicial, como dispositivos legítimos y prevalentes para</w:t>
      </w:r>
      <w:r>
        <w:rPr>
          <w:lang w:val="es-MX"/>
        </w:rPr>
        <w:t xml:space="preserve"> la salvaguarda de derechos”. Ello implica, a juicio de la alta Corte citada, que no acudirse a la acción de tutela como “mecanismo de protección paralelo”, pues con ello se vaciarían las competencias que les asisten “a los operados judiciales ordinarios y especializados de las distintas jurisdicciones”. </w:t>
      </w:r>
    </w:p>
  </w:footnote>
  <w:footnote w:id="75">
    <w:p w14:paraId="7223D5EE" w14:textId="7EB69564" w:rsidR="00103391" w:rsidRPr="00747DC3" w:rsidRDefault="00103391" w:rsidP="00A3745B">
      <w:pPr>
        <w:pStyle w:val="Textonotapie"/>
        <w:rPr>
          <w:lang w:val="es-ES"/>
        </w:rPr>
      </w:pPr>
      <w:r w:rsidRPr="00747DC3">
        <w:rPr>
          <w:rStyle w:val="Refdenotaalpie"/>
        </w:rPr>
        <w:footnoteRef/>
      </w:r>
      <w:r w:rsidRPr="00747DC3">
        <w:t xml:space="preserve"> Esto, toda vez que el derecho fundamental al debido proceso implica “hacer valer ante los jueces derechos e intereses de las personas, mediante la defensa contradictoria, y de obtener, en fin, una respuesta fundada en derecho”. Corte Constitucional. Sentencia T-416 de 1998. </w:t>
      </w:r>
    </w:p>
  </w:footnote>
  <w:footnote w:id="76">
    <w:p w14:paraId="5615BFA7" w14:textId="456F7EBF" w:rsidR="00103391" w:rsidRPr="00D276E4" w:rsidRDefault="00103391" w:rsidP="00A3745B">
      <w:pPr>
        <w:pStyle w:val="Textonotapie"/>
        <w:rPr>
          <w:lang w:val="es-MX"/>
        </w:rPr>
      </w:pPr>
      <w:r>
        <w:rPr>
          <w:rStyle w:val="Refdenotaalpie"/>
        </w:rPr>
        <w:footnoteRef/>
      </w:r>
      <w:r>
        <w:t xml:space="preserve"> </w:t>
      </w:r>
      <w:r>
        <w:rPr>
          <w:lang w:val="es-MX"/>
        </w:rPr>
        <w:t xml:space="preserve">En este punto, es preciso considerar que la prueba del perjuicio irremediable se torna de suma relevancia en el caso estudiado, en la medida en que la acción de tutela está dirigida contra un auto y no contra una sentencia propiamente dicha, esto es, aquella que le puso fin al proceso electoral. Sobre la diferenciación existe entre las providencias judiciales -autos y sentencias- y la clasificación de los primeros en de trámite o de sustanciación, se consultó la providencia judicial que dictó la Subsección B de la Sección Segunda del Consejo de Estado el 16 de mayo de 2016. Radicación número: </w:t>
      </w:r>
      <w:r>
        <w:t xml:space="preserve">11001-03-15-000-2016-00994-00(AC). </w:t>
      </w:r>
    </w:p>
  </w:footnote>
  <w:footnote w:id="77">
    <w:p w14:paraId="09E47096" w14:textId="2C06EDDA" w:rsidR="00103391" w:rsidRPr="00B051C0" w:rsidRDefault="00103391" w:rsidP="00A3745B">
      <w:pPr>
        <w:pStyle w:val="Textonotapie"/>
        <w:rPr>
          <w:lang w:val="es-MX"/>
        </w:rPr>
      </w:pPr>
      <w:r>
        <w:rPr>
          <w:rStyle w:val="Refdenotaalpie"/>
        </w:rPr>
        <w:footnoteRef/>
      </w:r>
      <w:r>
        <w:t xml:space="preserve"> </w:t>
      </w:r>
      <w:r>
        <w:rPr>
          <w:lang w:val="es-ES"/>
        </w:rPr>
        <w:t xml:space="preserve">Consejo de Estado. Sección Quinta, providencia del 30 de enero de 2014. CP: Alberto Yepes Barreiro. Rad. 110010328000201300061-00. </w:t>
      </w:r>
    </w:p>
  </w:footnote>
  <w:footnote w:id="78">
    <w:p w14:paraId="52D58834" w14:textId="100F575A" w:rsidR="00103391" w:rsidRPr="00D62A72" w:rsidRDefault="00103391" w:rsidP="00A3745B">
      <w:pPr>
        <w:pStyle w:val="Textonotapie"/>
        <w:rPr>
          <w:lang w:val="es-ES"/>
        </w:rPr>
      </w:pPr>
      <w:r>
        <w:rPr>
          <w:rStyle w:val="Refdenotaalpie"/>
        </w:rPr>
        <w:footnoteRef/>
      </w:r>
      <w:r>
        <w:t xml:space="preserve"> </w:t>
      </w:r>
      <w:r>
        <w:rPr>
          <w:lang w:val="es-ES"/>
        </w:rPr>
        <w:t xml:space="preserve">Corte Constitucional. Sentencia SU-074 de 2022. </w:t>
      </w:r>
    </w:p>
  </w:footnote>
  <w:footnote w:id="79">
    <w:p w14:paraId="64D7212F" w14:textId="4A07C973" w:rsidR="00103391" w:rsidRPr="001D0587" w:rsidRDefault="00103391" w:rsidP="00A3745B">
      <w:pPr>
        <w:pStyle w:val="Textonotapie"/>
        <w:rPr>
          <w:lang w:val="es-ES"/>
        </w:rPr>
      </w:pPr>
      <w:r>
        <w:rPr>
          <w:rStyle w:val="Refdenotaalpie"/>
        </w:rPr>
        <w:footnoteRef/>
      </w:r>
      <w:r>
        <w:t xml:space="preserve"> </w:t>
      </w:r>
      <w:r>
        <w:rPr>
          <w:lang w:val="es-ES"/>
        </w:rPr>
        <w:t xml:space="preserve">Corte Constitucional. Sentencia SU-215 de 2022. </w:t>
      </w:r>
    </w:p>
  </w:footnote>
  <w:footnote w:id="80">
    <w:p w14:paraId="158CED7D" w14:textId="77777777" w:rsidR="00103391" w:rsidRPr="009B0AFF" w:rsidRDefault="00103391" w:rsidP="00A3745B">
      <w:pPr>
        <w:pStyle w:val="Textonotapie"/>
        <w:rPr>
          <w:lang w:val="es-ES"/>
        </w:rPr>
      </w:pPr>
      <w:r w:rsidRPr="009B0AFF">
        <w:rPr>
          <w:rStyle w:val="Refdenotaalpie"/>
        </w:rPr>
        <w:footnoteRef/>
      </w:r>
      <w:r w:rsidRPr="009B0AFF">
        <w:t xml:space="preserve"> </w:t>
      </w:r>
      <w:r w:rsidRPr="009B0AFF">
        <w:rPr>
          <w:lang w:val="es-ES"/>
        </w:rPr>
        <w:t xml:space="preserve">“Que se presenta cuando el juez o tribunal fue víctima de un engaño por parte de terceros y ese engaño lo condujo a la toma de una decisión que afecta derechos fundamentales”. Corte Constitucional. Sentencia T-376 de 2018. </w:t>
      </w:r>
    </w:p>
  </w:footnote>
  <w:footnote w:id="81">
    <w:p w14:paraId="5A7F8DE1" w14:textId="77777777" w:rsidR="00103391" w:rsidRPr="009B0AFF" w:rsidRDefault="00103391" w:rsidP="00A3745B">
      <w:pPr>
        <w:pStyle w:val="Textonotapie"/>
        <w:rPr>
          <w:lang w:val="es-ES"/>
        </w:rPr>
      </w:pPr>
      <w:r w:rsidRPr="009B0AFF">
        <w:rPr>
          <w:rStyle w:val="Refdenotaalpie"/>
        </w:rPr>
        <w:footnoteRef/>
      </w:r>
      <w:r w:rsidRPr="009B0AFF">
        <w:t xml:space="preserve"> </w:t>
      </w:r>
      <w:r w:rsidRPr="009B0AFF">
        <w:rPr>
          <w:lang w:val="es-ES"/>
        </w:rPr>
        <w:t xml:space="preserve">Corte Constitucional. Sentencia SU-453 de 2019. </w:t>
      </w:r>
      <w:r>
        <w:rPr>
          <w:lang w:val="es-ES"/>
        </w:rPr>
        <w:t xml:space="preserve"> </w:t>
      </w:r>
    </w:p>
  </w:footnote>
  <w:footnote w:id="82">
    <w:p w14:paraId="0FE9CFF4" w14:textId="2AE1CB7D" w:rsidR="00103391" w:rsidRPr="000C1D04" w:rsidRDefault="00103391" w:rsidP="00A3745B">
      <w:pPr>
        <w:pStyle w:val="Textonotapie"/>
        <w:rPr>
          <w:lang w:val="es-ES"/>
        </w:rPr>
      </w:pPr>
      <w:r>
        <w:rPr>
          <w:rStyle w:val="Refdenotaalpie"/>
        </w:rPr>
        <w:footnoteRef/>
      </w:r>
      <w:r>
        <w:t xml:space="preserve"> </w:t>
      </w:r>
      <w:r>
        <w:rPr>
          <w:lang w:val="es-ES"/>
        </w:rPr>
        <w:t xml:space="preserve">Ibídem. </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A3C0" w14:textId="300EC52C" w:rsidR="00103391" w:rsidRPr="00B80DCB" w:rsidRDefault="00103391" w:rsidP="00EF40FD">
    <w:pPr>
      <w:pStyle w:val="Encabezado"/>
      <w:ind w:firstLine="4248"/>
      <w:jc w:val="center"/>
      <w:rPr>
        <w:i/>
        <w:iCs/>
        <w:color w:val="767171"/>
        <w:sz w:val="20"/>
        <w:szCs w:val="20"/>
      </w:rPr>
    </w:pPr>
    <w:r>
      <w:rPr>
        <w:noProof/>
      </w:rPr>
      <w:drawing>
        <wp:anchor distT="0" distB="0" distL="114300" distR="114300" simplePos="0" relativeHeight="251660288" behindDoc="0" locked="0" layoutInCell="1" allowOverlap="1" wp14:anchorId="4F9DE222" wp14:editId="7BE8252F">
          <wp:simplePos x="0" y="0"/>
          <wp:positionH relativeFrom="page">
            <wp:posOffset>57150</wp:posOffset>
          </wp:positionH>
          <wp:positionV relativeFrom="paragraph">
            <wp:posOffset>-335280</wp:posOffset>
          </wp:positionV>
          <wp:extent cx="914400" cy="850900"/>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4C9D36BB" wp14:editId="70BA4004">
              <wp:simplePos x="0" y="0"/>
              <wp:positionH relativeFrom="column">
                <wp:posOffset>1511739</wp:posOffset>
              </wp:positionH>
              <wp:positionV relativeFrom="paragraph">
                <wp:posOffset>-40737</wp:posOffset>
              </wp:positionV>
              <wp:extent cx="5400040" cy="0"/>
              <wp:effectExtent l="0" t="19050" r="2921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E59504" id="_x0000_t32" coordsize="21600,21600" o:spt="32" o:oned="t" path="m,l21600,21600e" filled="f">
              <v:path arrowok="t" fillok="f" o:connecttype="none"/>
              <o:lock v:ext="edit" shapetype="t"/>
            </v:shapetype>
            <v:shape id="Conector recto de flecha 2" o:spid="_x0000_s1026" type="#_x0000_t32" style="position:absolute;margin-left:119.05pt;margin-top:-3.2pt;width:425.2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" strokeweight="2.25pt">
              <v:shadow color="#1f3763" opacity=".5" offse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B651" w14:textId="77777777" w:rsidR="00103391" w:rsidRPr="00F8765E" w:rsidRDefault="00103391" w:rsidP="00F8765E">
    <w:pPr>
      <w:pStyle w:val="Encabezado"/>
    </w:pPr>
    <w:r w:rsidRPr="00F8765E">
      <w:rPr>
        <w:noProof/>
        <w:lang w:val="es-ES" w:eastAsia="es-ES"/>
      </w:rPr>
      <w:drawing>
        <wp:anchor distT="0" distB="0" distL="114300" distR="114300" simplePos="0" relativeHeight="251663360" behindDoc="0" locked="0" layoutInCell="1" allowOverlap="1" wp14:anchorId="0AEF77AD" wp14:editId="24D43A95">
          <wp:simplePos x="0" y="0"/>
          <wp:positionH relativeFrom="column">
            <wp:posOffset>-988695</wp:posOffset>
          </wp:positionH>
          <wp:positionV relativeFrom="paragraph">
            <wp:posOffset>-226695</wp:posOffset>
          </wp:positionV>
          <wp:extent cx="1233170" cy="1148080"/>
          <wp:effectExtent l="0" t="0" r="0" b="0"/>
          <wp:wrapSquare wrapText="bothSides"/>
          <wp:docPr id="7" name="Imagen 7"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1148080"/>
                  </a:xfrm>
                  <a:prstGeom prst="rect">
                    <a:avLst/>
                  </a:prstGeom>
                  <a:noFill/>
                </pic:spPr>
              </pic:pic>
            </a:graphicData>
          </a:graphic>
          <wp14:sizeRelH relativeFrom="page">
            <wp14:pctWidth>0</wp14:pctWidth>
          </wp14:sizeRelH>
          <wp14:sizeRelV relativeFrom="page">
            <wp14:pctHeight>0</wp14:pctHeight>
          </wp14:sizeRelV>
        </wp:anchor>
      </w:drawing>
    </w:r>
    <w:r w:rsidRPr="00F8765E">
      <w:rPr>
        <w:noProof/>
        <w:lang w:val="es-ES" w:eastAsia="es-ES"/>
      </w:rPr>
      <mc:AlternateContent>
        <mc:Choice Requires="wps">
          <w:drawing>
            <wp:anchor distT="0" distB="0" distL="114300" distR="114300" simplePos="0" relativeHeight="251664384" behindDoc="0" locked="0" layoutInCell="1" allowOverlap="1" wp14:anchorId="5EB805B3" wp14:editId="54BF9AA3">
              <wp:simplePos x="0" y="0"/>
              <wp:positionH relativeFrom="column">
                <wp:posOffset>1398905</wp:posOffset>
              </wp:positionH>
              <wp:positionV relativeFrom="paragraph">
                <wp:posOffset>31750</wp:posOffset>
              </wp:positionV>
              <wp:extent cx="5400040" cy="0"/>
              <wp:effectExtent l="17780" t="22225" r="20955" b="15875"/>
              <wp:wrapNone/>
              <wp:docPr id="6" name="Conector recto de flecha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C8250F" id="_x0000_t32" coordsize="21600,21600" o:spt="32" o:oned="t" path="m,l21600,21600e" filled="f">
              <v:path arrowok="t" fillok="f" o:connecttype="none"/>
              <o:lock v:ext="edit" shapetype="t"/>
            </v:shapetype>
            <v:shape id="Conector recto de flecha 6" o:spid="_x0000_s1026" type="#_x0000_t32" style="position:absolute;margin-left:110.15pt;margin-top:2.5pt;width:42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" strokeweight="2.25pt">
              <v:path arrowok="f"/>
              <o:lock v:ext="edit" aspectratio="t" verticies="t"/>
            </v:shape>
          </w:pict>
        </mc:Fallback>
      </mc:AlternateContent>
    </w:r>
    <w:r>
      <w:tab/>
    </w:r>
  </w:p>
  <w:p w14:paraId="05B40DC8" w14:textId="77777777" w:rsidR="00103391" w:rsidRPr="00F8765E" w:rsidRDefault="00103391" w:rsidP="00F8765E">
    <w:pPr>
      <w:tabs>
        <w:tab w:val="left" w:pos="1985"/>
      </w:tabs>
      <w:spacing w:after="0" w:line="240" w:lineRule="auto"/>
      <w:ind w:left="2832"/>
      <w:contextualSpacing/>
      <w:jc w:val="both"/>
      <w:rPr>
        <w:rFonts w:ascii="Arial" w:hAnsi="Arial" w:cs="Arial"/>
        <w:i/>
        <w:iCs/>
        <w:color w:val="767171"/>
        <w:sz w:val="20"/>
        <w:szCs w:val="20"/>
        <w:lang w:eastAsia="es-ES_tradnl"/>
      </w:rPr>
    </w:pPr>
    <w:r w:rsidRPr="00F8765E">
      <w:rPr>
        <w:rFonts w:ascii="Arial" w:hAnsi="Arial" w:cs="Arial"/>
        <w:i/>
        <w:iCs/>
        <w:color w:val="767171"/>
        <w:sz w:val="20"/>
        <w:szCs w:val="20"/>
        <w:lang w:eastAsia="es-ES_tradnl"/>
      </w:rPr>
      <w:tab/>
    </w:r>
    <w:r w:rsidRPr="00F8765E">
      <w:rPr>
        <w:rFonts w:ascii="Arial" w:hAnsi="Arial" w:cs="Arial"/>
        <w:i/>
        <w:iCs/>
        <w:color w:val="767171"/>
        <w:sz w:val="20"/>
        <w:szCs w:val="20"/>
        <w:lang w:eastAsia="es-ES_tradnl"/>
      </w:rPr>
      <w:tab/>
      <w:t>Radicado: 11001-03-15-000-2023-01263-00</w:t>
    </w:r>
  </w:p>
  <w:p w14:paraId="678168A7" w14:textId="77777777" w:rsidR="00103391" w:rsidRPr="00F8765E" w:rsidRDefault="00103391" w:rsidP="00F8765E">
    <w:pPr>
      <w:tabs>
        <w:tab w:val="left" w:pos="1985"/>
      </w:tabs>
      <w:spacing w:after="0" w:line="240" w:lineRule="auto"/>
      <w:ind w:left="4248"/>
      <w:contextualSpacing/>
      <w:jc w:val="both"/>
      <w:rPr>
        <w:rFonts w:ascii="Arial" w:hAnsi="Arial" w:cs="Arial"/>
        <w:i/>
        <w:iCs/>
        <w:color w:val="767171"/>
        <w:sz w:val="20"/>
        <w:szCs w:val="20"/>
        <w:lang w:eastAsia="es-ES_tradnl"/>
      </w:rPr>
    </w:pPr>
    <w:r w:rsidRPr="00F8765E">
      <w:rPr>
        <w:rFonts w:ascii="Arial" w:hAnsi="Arial" w:cs="Arial"/>
        <w:i/>
        <w:iCs/>
        <w:color w:val="767171"/>
        <w:sz w:val="20"/>
        <w:szCs w:val="20"/>
        <w:lang w:eastAsia="es-ES_tradnl"/>
      </w:rPr>
      <w:t>Accionante: Elkin Enrique Díaz Camacho</w:t>
    </w:r>
  </w:p>
  <w:p w14:paraId="6A98B4F1" w14:textId="77777777" w:rsidR="00103391" w:rsidRPr="00A15ACE" w:rsidRDefault="00103391" w:rsidP="00F8765E">
    <w:pPr>
      <w:pStyle w:val="Encabezado"/>
      <w:tabs>
        <w:tab w:val="clear" w:pos="4252"/>
        <w:tab w:val="clear" w:pos="8504"/>
        <w:tab w:val="left" w:pos="3120"/>
      </w:tabs>
    </w:pPr>
  </w:p>
  <w:p w14:paraId="7F627F6D" w14:textId="77777777" w:rsidR="00103391" w:rsidRPr="00A15ACE" w:rsidRDefault="00103391" w:rsidP="00103391">
    <w:pPr>
      <w:pStyle w:val="Encabezado"/>
      <w:rPr>
        <w:color w:val="767171"/>
      </w:rPr>
    </w:pPr>
  </w:p>
  <w:p w14:paraId="00BF7ECC" w14:textId="77777777" w:rsidR="00103391" w:rsidRPr="007F276C" w:rsidRDefault="00103391" w:rsidP="00F8765E">
    <w:pPr>
      <w:pStyle w:val="Sinespaciado"/>
    </w:pPr>
    <w:r w:rsidRPr="007F276C">
      <w:t>CONSEJO DE ESTADO</w:t>
    </w:r>
  </w:p>
  <w:p w14:paraId="4D7017DF" w14:textId="77777777" w:rsidR="00103391" w:rsidRPr="007F276C" w:rsidRDefault="00103391" w:rsidP="00F8765E">
    <w:pPr>
      <w:pStyle w:val="Sinespaciado"/>
    </w:pPr>
    <w:r w:rsidRPr="007F276C">
      <w:t>SALA DE LO CONTENCIOSO ADMINISTRATIVO</w:t>
    </w:r>
  </w:p>
  <w:p w14:paraId="6050B5F4" w14:textId="77777777" w:rsidR="00103391" w:rsidRDefault="00103391" w:rsidP="00F8765E">
    <w:pPr>
      <w:pStyle w:val="Sinespaciado"/>
    </w:pPr>
    <w:r w:rsidRPr="007F276C">
      <w:t>SECCIÓN TERCERA</w:t>
    </w:r>
  </w:p>
  <w:p w14:paraId="1361452F" w14:textId="77777777" w:rsidR="00103391" w:rsidRPr="007F276C" w:rsidRDefault="00103391" w:rsidP="00F8765E">
    <w:pPr>
      <w:pStyle w:val="Sinespaciado"/>
    </w:pPr>
    <w:r w:rsidRPr="007F276C">
      <w:t>SUBSECCIÓN C</w:t>
    </w:r>
  </w:p>
  <w:p w14:paraId="15A7D300" w14:textId="77777777" w:rsidR="00103391" w:rsidRDefault="001033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894"/>
    <w:multiLevelType w:val="hybridMultilevel"/>
    <w:tmpl w:val="E20A5792"/>
    <w:lvl w:ilvl="0" w:tplc="69EABAF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374F73"/>
    <w:multiLevelType w:val="multilevel"/>
    <w:tmpl w:val="C7D24930"/>
    <w:lvl w:ilvl="0">
      <w:start w:val="1"/>
      <w:numFmt w:val="upperRoman"/>
      <w:pStyle w:val="Ttulo1"/>
      <w:lvlText w:val="%1."/>
      <w:lvlJc w:val="right"/>
      <w:pPr>
        <w:ind w:left="720" w:hanging="360"/>
      </w:pPr>
    </w:lvl>
    <w:lvl w:ilvl="1">
      <w:start w:val="2"/>
      <w:numFmt w:val="decimal"/>
      <w:isLgl/>
      <w:lvlText w:val="%1.%2."/>
      <w:lvlJc w:val="left"/>
      <w:pPr>
        <w:ind w:left="1248" w:hanging="888"/>
      </w:pPr>
      <w:rPr>
        <w:rFonts w:hint="default"/>
        <w:b/>
      </w:rPr>
    </w:lvl>
    <w:lvl w:ilvl="2">
      <w:start w:val="2"/>
      <w:numFmt w:val="decimal"/>
      <w:isLgl/>
      <w:lvlText w:val="%1.%2.%3."/>
      <w:lvlJc w:val="left"/>
      <w:pPr>
        <w:ind w:left="1248" w:hanging="888"/>
      </w:pPr>
      <w:rPr>
        <w:rFonts w:hint="default"/>
        <w:b/>
      </w:rPr>
    </w:lvl>
    <w:lvl w:ilvl="3">
      <w:start w:val="2"/>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7FDD26BD"/>
    <w:multiLevelType w:val="multilevel"/>
    <w:tmpl w:val="67163388"/>
    <w:lvl w:ilvl="0">
      <w:start w:val="1"/>
      <w:numFmt w:val="upperRoman"/>
      <w:lvlText w:val="%1."/>
      <w:lvlJc w:val="left"/>
      <w:pPr>
        <w:ind w:left="1080" w:hanging="720"/>
      </w:pPr>
      <w:rPr>
        <w:rFonts w:eastAsia="Calibri" w:hint="default"/>
        <w:b w:val="0"/>
      </w:rPr>
    </w:lvl>
    <w:lvl w:ilvl="1">
      <w:start w:val="2"/>
      <w:numFmt w:val="decimal"/>
      <w:isLgl/>
      <w:lvlText w:val="%1.%2."/>
      <w:lvlJc w:val="left"/>
      <w:pPr>
        <w:ind w:left="1080" w:hanging="720"/>
      </w:pPr>
      <w:rPr>
        <w:rFonts w:hint="default"/>
        <w:b/>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4C"/>
    <w:rsid w:val="00001B89"/>
    <w:rsid w:val="00005CC1"/>
    <w:rsid w:val="00011C54"/>
    <w:rsid w:val="000124B5"/>
    <w:rsid w:val="00013194"/>
    <w:rsid w:val="00014264"/>
    <w:rsid w:val="000163FC"/>
    <w:rsid w:val="0002023C"/>
    <w:rsid w:val="00022F0E"/>
    <w:rsid w:val="00025C3F"/>
    <w:rsid w:val="000275D1"/>
    <w:rsid w:val="00032620"/>
    <w:rsid w:val="00033A6C"/>
    <w:rsid w:val="00033FEE"/>
    <w:rsid w:val="00035944"/>
    <w:rsid w:val="000368A0"/>
    <w:rsid w:val="00037BAC"/>
    <w:rsid w:val="00040E90"/>
    <w:rsid w:val="00041D84"/>
    <w:rsid w:val="000437F0"/>
    <w:rsid w:val="0004684C"/>
    <w:rsid w:val="000468D1"/>
    <w:rsid w:val="00050FAB"/>
    <w:rsid w:val="000538C8"/>
    <w:rsid w:val="000539C1"/>
    <w:rsid w:val="00053F33"/>
    <w:rsid w:val="000574F2"/>
    <w:rsid w:val="00057643"/>
    <w:rsid w:val="000642C9"/>
    <w:rsid w:val="00066227"/>
    <w:rsid w:val="00067CD9"/>
    <w:rsid w:val="000702AB"/>
    <w:rsid w:val="00073A57"/>
    <w:rsid w:val="0007776F"/>
    <w:rsid w:val="00080AA6"/>
    <w:rsid w:val="00083975"/>
    <w:rsid w:val="00083C18"/>
    <w:rsid w:val="00084A60"/>
    <w:rsid w:val="0008762B"/>
    <w:rsid w:val="00087EA5"/>
    <w:rsid w:val="0009004E"/>
    <w:rsid w:val="00090574"/>
    <w:rsid w:val="000905C9"/>
    <w:rsid w:val="00090EF9"/>
    <w:rsid w:val="00091A7A"/>
    <w:rsid w:val="00093EE6"/>
    <w:rsid w:val="0009589B"/>
    <w:rsid w:val="00095EFF"/>
    <w:rsid w:val="00096EC9"/>
    <w:rsid w:val="000A0629"/>
    <w:rsid w:val="000A2DBD"/>
    <w:rsid w:val="000A30B6"/>
    <w:rsid w:val="000A3C90"/>
    <w:rsid w:val="000A42EE"/>
    <w:rsid w:val="000A44B4"/>
    <w:rsid w:val="000A4D7D"/>
    <w:rsid w:val="000A6F3F"/>
    <w:rsid w:val="000A709B"/>
    <w:rsid w:val="000B0DDD"/>
    <w:rsid w:val="000B38A6"/>
    <w:rsid w:val="000B3977"/>
    <w:rsid w:val="000B6B08"/>
    <w:rsid w:val="000B6C84"/>
    <w:rsid w:val="000B70B6"/>
    <w:rsid w:val="000C17F0"/>
    <w:rsid w:val="000C19D2"/>
    <w:rsid w:val="000C1D04"/>
    <w:rsid w:val="000C4E60"/>
    <w:rsid w:val="000C4ED4"/>
    <w:rsid w:val="000C541D"/>
    <w:rsid w:val="000C7263"/>
    <w:rsid w:val="000C7613"/>
    <w:rsid w:val="000D1FE5"/>
    <w:rsid w:val="000D334B"/>
    <w:rsid w:val="000D390C"/>
    <w:rsid w:val="000D39B8"/>
    <w:rsid w:val="000D4AA8"/>
    <w:rsid w:val="000D52A8"/>
    <w:rsid w:val="000D52BF"/>
    <w:rsid w:val="000E16C6"/>
    <w:rsid w:val="000E1846"/>
    <w:rsid w:val="000E19B7"/>
    <w:rsid w:val="000E2041"/>
    <w:rsid w:val="000E21CE"/>
    <w:rsid w:val="000E6203"/>
    <w:rsid w:val="000E6347"/>
    <w:rsid w:val="000E6E3A"/>
    <w:rsid w:val="000E71D2"/>
    <w:rsid w:val="000F077F"/>
    <w:rsid w:val="000F14CC"/>
    <w:rsid w:val="000F152E"/>
    <w:rsid w:val="000F1895"/>
    <w:rsid w:val="000F1D50"/>
    <w:rsid w:val="000F269F"/>
    <w:rsid w:val="000F3067"/>
    <w:rsid w:val="000F5E3A"/>
    <w:rsid w:val="000F70D0"/>
    <w:rsid w:val="000F7575"/>
    <w:rsid w:val="00100B60"/>
    <w:rsid w:val="00101333"/>
    <w:rsid w:val="001013C5"/>
    <w:rsid w:val="00101E72"/>
    <w:rsid w:val="00102292"/>
    <w:rsid w:val="00102479"/>
    <w:rsid w:val="00103391"/>
    <w:rsid w:val="00103563"/>
    <w:rsid w:val="001057FC"/>
    <w:rsid w:val="00105D22"/>
    <w:rsid w:val="001068A5"/>
    <w:rsid w:val="001102F5"/>
    <w:rsid w:val="00117F0A"/>
    <w:rsid w:val="001207E7"/>
    <w:rsid w:val="00120EF3"/>
    <w:rsid w:val="0012213D"/>
    <w:rsid w:val="00124DA9"/>
    <w:rsid w:val="00125CFA"/>
    <w:rsid w:val="00125EDA"/>
    <w:rsid w:val="00130BD2"/>
    <w:rsid w:val="0013411D"/>
    <w:rsid w:val="00135168"/>
    <w:rsid w:val="00137431"/>
    <w:rsid w:val="001406F1"/>
    <w:rsid w:val="00143DD4"/>
    <w:rsid w:val="00146AA5"/>
    <w:rsid w:val="00150C77"/>
    <w:rsid w:val="00151AC5"/>
    <w:rsid w:val="0015232A"/>
    <w:rsid w:val="00157EE0"/>
    <w:rsid w:val="001634D0"/>
    <w:rsid w:val="00164564"/>
    <w:rsid w:val="00165056"/>
    <w:rsid w:val="00165173"/>
    <w:rsid w:val="00166172"/>
    <w:rsid w:val="00166BC4"/>
    <w:rsid w:val="00166BF8"/>
    <w:rsid w:val="001717F9"/>
    <w:rsid w:val="0017339B"/>
    <w:rsid w:val="00173695"/>
    <w:rsid w:val="00173C33"/>
    <w:rsid w:val="001741AF"/>
    <w:rsid w:val="00175E40"/>
    <w:rsid w:val="00177D47"/>
    <w:rsid w:val="00184748"/>
    <w:rsid w:val="00185B6A"/>
    <w:rsid w:val="00185D6C"/>
    <w:rsid w:val="00187329"/>
    <w:rsid w:val="0019050D"/>
    <w:rsid w:val="00193253"/>
    <w:rsid w:val="00193EA4"/>
    <w:rsid w:val="00196D78"/>
    <w:rsid w:val="001A67A1"/>
    <w:rsid w:val="001A6EBD"/>
    <w:rsid w:val="001B0E20"/>
    <w:rsid w:val="001B1119"/>
    <w:rsid w:val="001B1BEC"/>
    <w:rsid w:val="001B1EB5"/>
    <w:rsid w:val="001B22C5"/>
    <w:rsid w:val="001B2483"/>
    <w:rsid w:val="001B37A6"/>
    <w:rsid w:val="001B6120"/>
    <w:rsid w:val="001B6CDD"/>
    <w:rsid w:val="001B7648"/>
    <w:rsid w:val="001B784B"/>
    <w:rsid w:val="001C0510"/>
    <w:rsid w:val="001C3699"/>
    <w:rsid w:val="001C3E04"/>
    <w:rsid w:val="001C5B15"/>
    <w:rsid w:val="001C5CFE"/>
    <w:rsid w:val="001C6D07"/>
    <w:rsid w:val="001C6D6F"/>
    <w:rsid w:val="001C7D04"/>
    <w:rsid w:val="001D1A28"/>
    <w:rsid w:val="001D1E84"/>
    <w:rsid w:val="001D2FD8"/>
    <w:rsid w:val="001D5E1B"/>
    <w:rsid w:val="001D724F"/>
    <w:rsid w:val="001D75A1"/>
    <w:rsid w:val="001D792C"/>
    <w:rsid w:val="001E178F"/>
    <w:rsid w:val="001E1FC6"/>
    <w:rsid w:val="001E3D1C"/>
    <w:rsid w:val="001E4419"/>
    <w:rsid w:val="001E4867"/>
    <w:rsid w:val="001E4A7A"/>
    <w:rsid w:val="001E57BD"/>
    <w:rsid w:val="001E5D72"/>
    <w:rsid w:val="001E782D"/>
    <w:rsid w:val="001F066F"/>
    <w:rsid w:val="001F1534"/>
    <w:rsid w:val="001F19ED"/>
    <w:rsid w:val="001F290C"/>
    <w:rsid w:val="001F2D45"/>
    <w:rsid w:val="001F3143"/>
    <w:rsid w:val="001F3C46"/>
    <w:rsid w:val="001F4ECB"/>
    <w:rsid w:val="001F64D1"/>
    <w:rsid w:val="001F7D1C"/>
    <w:rsid w:val="0020193C"/>
    <w:rsid w:val="00205879"/>
    <w:rsid w:val="00205BAB"/>
    <w:rsid w:val="00210365"/>
    <w:rsid w:val="00211590"/>
    <w:rsid w:val="002115A5"/>
    <w:rsid w:val="00211733"/>
    <w:rsid w:val="00213181"/>
    <w:rsid w:val="00214A48"/>
    <w:rsid w:val="0022056C"/>
    <w:rsid w:val="002212CC"/>
    <w:rsid w:val="00223055"/>
    <w:rsid w:val="00226723"/>
    <w:rsid w:val="0023067D"/>
    <w:rsid w:val="002314BE"/>
    <w:rsid w:val="00231690"/>
    <w:rsid w:val="00233E5C"/>
    <w:rsid w:val="002341CE"/>
    <w:rsid w:val="0023500A"/>
    <w:rsid w:val="00235858"/>
    <w:rsid w:val="00235AAB"/>
    <w:rsid w:val="00236866"/>
    <w:rsid w:val="00240BA7"/>
    <w:rsid w:val="00241196"/>
    <w:rsid w:val="00242319"/>
    <w:rsid w:val="00242D1E"/>
    <w:rsid w:val="00246323"/>
    <w:rsid w:val="00246821"/>
    <w:rsid w:val="0025166B"/>
    <w:rsid w:val="00252F91"/>
    <w:rsid w:val="002553DE"/>
    <w:rsid w:val="00257B7E"/>
    <w:rsid w:val="00261A6C"/>
    <w:rsid w:val="00263B01"/>
    <w:rsid w:val="00263CE4"/>
    <w:rsid w:val="00263D65"/>
    <w:rsid w:val="0026689A"/>
    <w:rsid w:val="002673E4"/>
    <w:rsid w:val="00267EBA"/>
    <w:rsid w:val="002701CC"/>
    <w:rsid w:val="00270599"/>
    <w:rsid w:val="0027136B"/>
    <w:rsid w:val="002717FB"/>
    <w:rsid w:val="00272B61"/>
    <w:rsid w:val="0027310B"/>
    <w:rsid w:val="00276D00"/>
    <w:rsid w:val="00277510"/>
    <w:rsid w:val="00280CD3"/>
    <w:rsid w:val="002853EE"/>
    <w:rsid w:val="00286851"/>
    <w:rsid w:val="00287983"/>
    <w:rsid w:val="00287DB9"/>
    <w:rsid w:val="002904B8"/>
    <w:rsid w:val="00291328"/>
    <w:rsid w:val="0029268F"/>
    <w:rsid w:val="00293B33"/>
    <w:rsid w:val="00294E0F"/>
    <w:rsid w:val="002950E4"/>
    <w:rsid w:val="00295217"/>
    <w:rsid w:val="002A1BBE"/>
    <w:rsid w:val="002A323A"/>
    <w:rsid w:val="002A4A7C"/>
    <w:rsid w:val="002A555D"/>
    <w:rsid w:val="002B1F32"/>
    <w:rsid w:val="002C07E3"/>
    <w:rsid w:val="002C0C6E"/>
    <w:rsid w:val="002C31C0"/>
    <w:rsid w:val="002C3727"/>
    <w:rsid w:val="002C4DAA"/>
    <w:rsid w:val="002C4F96"/>
    <w:rsid w:val="002C65CC"/>
    <w:rsid w:val="002D1053"/>
    <w:rsid w:val="002D1D20"/>
    <w:rsid w:val="002D258B"/>
    <w:rsid w:val="002D40AF"/>
    <w:rsid w:val="002D4D5E"/>
    <w:rsid w:val="002D584B"/>
    <w:rsid w:val="002D6085"/>
    <w:rsid w:val="002D6CFB"/>
    <w:rsid w:val="002E0DC5"/>
    <w:rsid w:val="002E4C68"/>
    <w:rsid w:val="002E550E"/>
    <w:rsid w:val="002E59A1"/>
    <w:rsid w:val="002E725B"/>
    <w:rsid w:val="002E7615"/>
    <w:rsid w:val="002F2021"/>
    <w:rsid w:val="002F24AB"/>
    <w:rsid w:val="002F442D"/>
    <w:rsid w:val="002F4B9E"/>
    <w:rsid w:val="002F4BDC"/>
    <w:rsid w:val="002F568C"/>
    <w:rsid w:val="00302881"/>
    <w:rsid w:val="00303F0E"/>
    <w:rsid w:val="0030563E"/>
    <w:rsid w:val="00306C07"/>
    <w:rsid w:val="00310EB3"/>
    <w:rsid w:val="00312C2A"/>
    <w:rsid w:val="0031365B"/>
    <w:rsid w:val="00314350"/>
    <w:rsid w:val="00315B3C"/>
    <w:rsid w:val="00315D24"/>
    <w:rsid w:val="00320036"/>
    <w:rsid w:val="003216FA"/>
    <w:rsid w:val="00331DA7"/>
    <w:rsid w:val="00331F1A"/>
    <w:rsid w:val="00332D25"/>
    <w:rsid w:val="00332D68"/>
    <w:rsid w:val="003349F1"/>
    <w:rsid w:val="00335B5D"/>
    <w:rsid w:val="00336635"/>
    <w:rsid w:val="003407CC"/>
    <w:rsid w:val="00341C8D"/>
    <w:rsid w:val="00343C73"/>
    <w:rsid w:val="0034428F"/>
    <w:rsid w:val="0034444B"/>
    <w:rsid w:val="00344782"/>
    <w:rsid w:val="00344988"/>
    <w:rsid w:val="003461A4"/>
    <w:rsid w:val="003506BF"/>
    <w:rsid w:val="003530D2"/>
    <w:rsid w:val="0035318D"/>
    <w:rsid w:val="003556A4"/>
    <w:rsid w:val="003563DA"/>
    <w:rsid w:val="003567FF"/>
    <w:rsid w:val="00357C91"/>
    <w:rsid w:val="00360116"/>
    <w:rsid w:val="0036108E"/>
    <w:rsid w:val="0036405F"/>
    <w:rsid w:val="00364753"/>
    <w:rsid w:val="00365646"/>
    <w:rsid w:val="003664F6"/>
    <w:rsid w:val="00367068"/>
    <w:rsid w:val="00370C4B"/>
    <w:rsid w:val="00372F70"/>
    <w:rsid w:val="0037300A"/>
    <w:rsid w:val="0037440B"/>
    <w:rsid w:val="00375436"/>
    <w:rsid w:val="00377AAD"/>
    <w:rsid w:val="003809B1"/>
    <w:rsid w:val="00381706"/>
    <w:rsid w:val="00381AB9"/>
    <w:rsid w:val="00381E95"/>
    <w:rsid w:val="00383136"/>
    <w:rsid w:val="0038369D"/>
    <w:rsid w:val="00384ED0"/>
    <w:rsid w:val="00387BE0"/>
    <w:rsid w:val="00390757"/>
    <w:rsid w:val="00391D21"/>
    <w:rsid w:val="00392068"/>
    <w:rsid w:val="00393D5D"/>
    <w:rsid w:val="003941FF"/>
    <w:rsid w:val="0039483E"/>
    <w:rsid w:val="003A09C4"/>
    <w:rsid w:val="003A1168"/>
    <w:rsid w:val="003A1F6A"/>
    <w:rsid w:val="003A3532"/>
    <w:rsid w:val="003A5CE6"/>
    <w:rsid w:val="003A6E92"/>
    <w:rsid w:val="003B0A53"/>
    <w:rsid w:val="003B2D73"/>
    <w:rsid w:val="003B45DD"/>
    <w:rsid w:val="003B4BD3"/>
    <w:rsid w:val="003B4CEF"/>
    <w:rsid w:val="003B4D27"/>
    <w:rsid w:val="003B722A"/>
    <w:rsid w:val="003B734F"/>
    <w:rsid w:val="003C0619"/>
    <w:rsid w:val="003C09A4"/>
    <w:rsid w:val="003C0CC0"/>
    <w:rsid w:val="003C22BB"/>
    <w:rsid w:val="003C247A"/>
    <w:rsid w:val="003C4A7F"/>
    <w:rsid w:val="003C503B"/>
    <w:rsid w:val="003C5ABD"/>
    <w:rsid w:val="003C69D2"/>
    <w:rsid w:val="003C7E9B"/>
    <w:rsid w:val="003D0F0F"/>
    <w:rsid w:val="003D1208"/>
    <w:rsid w:val="003D13D6"/>
    <w:rsid w:val="003D376D"/>
    <w:rsid w:val="003D3A9F"/>
    <w:rsid w:val="003D3C1E"/>
    <w:rsid w:val="003D431F"/>
    <w:rsid w:val="003D607E"/>
    <w:rsid w:val="003D6EAD"/>
    <w:rsid w:val="003E0584"/>
    <w:rsid w:val="003E1520"/>
    <w:rsid w:val="003E31C0"/>
    <w:rsid w:val="003E40BB"/>
    <w:rsid w:val="003E6149"/>
    <w:rsid w:val="003E6403"/>
    <w:rsid w:val="003E6697"/>
    <w:rsid w:val="003E76BF"/>
    <w:rsid w:val="003F1D75"/>
    <w:rsid w:val="003F3906"/>
    <w:rsid w:val="003F581F"/>
    <w:rsid w:val="003F5BBB"/>
    <w:rsid w:val="003F6F31"/>
    <w:rsid w:val="00401C5E"/>
    <w:rsid w:val="00405866"/>
    <w:rsid w:val="004134F7"/>
    <w:rsid w:val="004150FC"/>
    <w:rsid w:val="00416019"/>
    <w:rsid w:val="0041610C"/>
    <w:rsid w:val="00421B12"/>
    <w:rsid w:val="00424F36"/>
    <w:rsid w:val="00425616"/>
    <w:rsid w:val="0043058F"/>
    <w:rsid w:val="0043156C"/>
    <w:rsid w:val="004329A0"/>
    <w:rsid w:val="00435062"/>
    <w:rsid w:val="004356EF"/>
    <w:rsid w:val="00435D78"/>
    <w:rsid w:val="00436659"/>
    <w:rsid w:val="004368FD"/>
    <w:rsid w:val="00436A74"/>
    <w:rsid w:val="00440018"/>
    <w:rsid w:val="00440C12"/>
    <w:rsid w:val="00441C82"/>
    <w:rsid w:val="0044235E"/>
    <w:rsid w:val="00442B19"/>
    <w:rsid w:val="004430C2"/>
    <w:rsid w:val="0044755F"/>
    <w:rsid w:val="004505C3"/>
    <w:rsid w:val="00450E32"/>
    <w:rsid w:val="0045122F"/>
    <w:rsid w:val="0045340F"/>
    <w:rsid w:val="00455326"/>
    <w:rsid w:val="0046047B"/>
    <w:rsid w:val="0046703E"/>
    <w:rsid w:val="004711E4"/>
    <w:rsid w:val="00471279"/>
    <w:rsid w:val="00471349"/>
    <w:rsid w:val="00472AE9"/>
    <w:rsid w:val="00472B39"/>
    <w:rsid w:val="00473C05"/>
    <w:rsid w:val="00474F7F"/>
    <w:rsid w:val="004759EC"/>
    <w:rsid w:val="00475A2D"/>
    <w:rsid w:val="00476711"/>
    <w:rsid w:val="004819FA"/>
    <w:rsid w:val="00481C9E"/>
    <w:rsid w:val="00482549"/>
    <w:rsid w:val="00483B5A"/>
    <w:rsid w:val="00485566"/>
    <w:rsid w:val="0048660E"/>
    <w:rsid w:val="00490BCD"/>
    <w:rsid w:val="00490CCE"/>
    <w:rsid w:val="00490D63"/>
    <w:rsid w:val="0049103D"/>
    <w:rsid w:val="00494715"/>
    <w:rsid w:val="00496110"/>
    <w:rsid w:val="00497B0F"/>
    <w:rsid w:val="004A05B6"/>
    <w:rsid w:val="004A0877"/>
    <w:rsid w:val="004A1BC5"/>
    <w:rsid w:val="004A1DB4"/>
    <w:rsid w:val="004A296F"/>
    <w:rsid w:val="004A4083"/>
    <w:rsid w:val="004A49F9"/>
    <w:rsid w:val="004B2F66"/>
    <w:rsid w:val="004B6EF2"/>
    <w:rsid w:val="004C2916"/>
    <w:rsid w:val="004C2BA0"/>
    <w:rsid w:val="004C577F"/>
    <w:rsid w:val="004C7F8A"/>
    <w:rsid w:val="004D0167"/>
    <w:rsid w:val="004D1EB6"/>
    <w:rsid w:val="004D2C71"/>
    <w:rsid w:val="004D2EFC"/>
    <w:rsid w:val="004D7897"/>
    <w:rsid w:val="004E25F5"/>
    <w:rsid w:val="004E333E"/>
    <w:rsid w:val="004E3C56"/>
    <w:rsid w:val="004E5E86"/>
    <w:rsid w:val="004E6F1C"/>
    <w:rsid w:val="004E7379"/>
    <w:rsid w:val="004F11CA"/>
    <w:rsid w:val="004F33D9"/>
    <w:rsid w:val="004F3A1D"/>
    <w:rsid w:val="004F41B6"/>
    <w:rsid w:val="004F6DD8"/>
    <w:rsid w:val="004F706D"/>
    <w:rsid w:val="004F7A1B"/>
    <w:rsid w:val="004F7D66"/>
    <w:rsid w:val="00506435"/>
    <w:rsid w:val="00511131"/>
    <w:rsid w:val="005123C6"/>
    <w:rsid w:val="00512980"/>
    <w:rsid w:val="00512C4A"/>
    <w:rsid w:val="00513D93"/>
    <w:rsid w:val="00513EE5"/>
    <w:rsid w:val="005143AD"/>
    <w:rsid w:val="00517350"/>
    <w:rsid w:val="00520293"/>
    <w:rsid w:val="0052058E"/>
    <w:rsid w:val="00521332"/>
    <w:rsid w:val="005235AD"/>
    <w:rsid w:val="00524570"/>
    <w:rsid w:val="0052506F"/>
    <w:rsid w:val="0052568E"/>
    <w:rsid w:val="00525741"/>
    <w:rsid w:val="00527929"/>
    <w:rsid w:val="005314C5"/>
    <w:rsid w:val="005327BB"/>
    <w:rsid w:val="00532A44"/>
    <w:rsid w:val="00532DBF"/>
    <w:rsid w:val="00532DC6"/>
    <w:rsid w:val="00535B92"/>
    <w:rsid w:val="00536409"/>
    <w:rsid w:val="005368F2"/>
    <w:rsid w:val="00536A41"/>
    <w:rsid w:val="005376F9"/>
    <w:rsid w:val="0053784F"/>
    <w:rsid w:val="00540677"/>
    <w:rsid w:val="00540B42"/>
    <w:rsid w:val="005416FC"/>
    <w:rsid w:val="00547B13"/>
    <w:rsid w:val="00550C52"/>
    <w:rsid w:val="005512F8"/>
    <w:rsid w:val="0055256F"/>
    <w:rsid w:val="005535A5"/>
    <w:rsid w:val="005565F5"/>
    <w:rsid w:val="0055743A"/>
    <w:rsid w:val="00562103"/>
    <w:rsid w:val="005632F4"/>
    <w:rsid w:val="00564816"/>
    <w:rsid w:val="00572F55"/>
    <w:rsid w:val="0057486B"/>
    <w:rsid w:val="00575A59"/>
    <w:rsid w:val="00575DDC"/>
    <w:rsid w:val="00581774"/>
    <w:rsid w:val="00582402"/>
    <w:rsid w:val="00583230"/>
    <w:rsid w:val="005875BC"/>
    <w:rsid w:val="00587B8A"/>
    <w:rsid w:val="00590297"/>
    <w:rsid w:val="00592989"/>
    <w:rsid w:val="005930D0"/>
    <w:rsid w:val="00593E20"/>
    <w:rsid w:val="00597ED4"/>
    <w:rsid w:val="005A2094"/>
    <w:rsid w:val="005A27B6"/>
    <w:rsid w:val="005A2B4B"/>
    <w:rsid w:val="005A2F5D"/>
    <w:rsid w:val="005A37DA"/>
    <w:rsid w:val="005A45E1"/>
    <w:rsid w:val="005A621C"/>
    <w:rsid w:val="005B022F"/>
    <w:rsid w:val="005B2A1A"/>
    <w:rsid w:val="005B3DF0"/>
    <w:rsid w:val="005B430B"/>
    <w:rsid w:val="005B45CE"/>
    <w:rsid w:val="005B5DAF"/>
    <w:rsid w:val="005B5EE5"/>
    <w:rsid w:val="005B7567"/>
    <w:rsid w:val="005C03F6"/>
    <w:rsid w:val="005C0C13"/>
    <w:rsid w:val="005C1A69"/>
    <w:rsid w:val="005C2481"/>
    <w:rsid w:val="005C3EAA"/>
    <w:rsid w:val="005C3F17"/>
    <w:rsid w:val="005D2E01"/>
    <w:rsid w:val="005D6427"/>
    <w:rsid w:val="005D6431"/>
    <w:rsid w:val="005D6F76"/>
    <w:rsid w:val="005D7BE3"/>
    <w:rsid w:val="005E28CE"/>
    <w:rsid w:val="005E2FAE"/>
    <w:rsid w:val="005F068B"/>
    <w:rsid w:val="005F18EB"/>
    <w:rsid w:val="005F22BD"/>
    <w:rsid w:val="005F2F5F"/>
    <w:rsid w:val="005F4B09"/>
    <w:rsid w:val="005F515D"/>
    <w:rsid w:val="005F5AE8"/>
    <w:rsid w:val="006005E2"/>
    <w:rsid w:val="00600F8C"/>
    <w:rsid w:val="00604A29"/>
    <w:rsid w:val="00605541"/>
    <w:rsid w:val="00605F50"/>
    <w:rsid w:val="00607B93"/>
    <w:rsid w:val="006100C7"/>
    <w:rsid w:val="0061019F"/>
    <w:rsid w:val="0061333F"/>
    <w:rsid w:val="006153B3"/>
    <w:rsid w:val="00616B56"/>
    <w:rsid w:val="006172E9"/>
    <w:rsid w:val="0062045A"/>
    <w:rsid w:val="00620712"/>
    <w:rsid w:val="00620B8B"/>
    <w:rsid w:val="00620C2C"/>
    <w:rsid w:val="006222E2"/>
    <w:rsid w:val="00623D05"/>
    <w:rsid w:val="006259F2"/>
    <w:rsid w:val="00632824"/>
    <w:rsid w:val="00632981"/>
    <w:rsid w:val="006347AF"/>
    <w:rsid w:val="00636BF3"/>
    <w:rsid w:val="00642226"/>
    <w:rsid w:val="00643E7B"/>
    <w:rsid w:val="00643F63"/>
    <w:rsid w:val="00644BB2"/>
    <w:rsid w:val="006470D1"/>
    <w:rsid w:val="006477B8"/>
    <w:rsid w:val="00650A28"/>
    <w:rsid w:val="00651201"/>
    <w:rsid w:val="00652A43"/>
    <w:rsid w:val="006533C9"/>
    <w:rsid w:val="00654476"/>
    <w:rsid w:val="006549C1"/>
    <w:rsid w:val="00655A63"/>
    <w:rsid w:val="00660399"/>
    <w:rsid w:val="00661E6A"/>
    <w:rsid w:val="00662004"/>
    <w:rsid w:val="00665BDA"/>
    <w:rsid w:val="0066609E"/>
    <w:rsid w:val="00667385"/>
    <w:rsid w:val="00671C6D"/>
    <w:rsid w:val="00672EFA"/>
    <w:rsid w:val="00673D14"/>
    <w:rsid w:val="00675B64"/>
    <w:rsid w:val="00677B7D"/>
    <w:rsid w:val="00677FEE"/>
    <w:rsid w:val="00680A78"/>
    <w:rsid w:val="00681EF5"/>
    <w:rsid w:val="00684658"/>
    <w:rsid w:val="00686871"/>
    <w:rsid w:val="00687502"/>
    <w:rsid w:val="00690A84"/>
    <w:rsid w:val="00691085"/>
    <w:rsid w:val="00692387"/>
    <w:rsid w:val="006926FB"/>
    <w:rsid w:val="006937DA"/>
    <w:rsid w:val="0069657C"/>
    <w:rsid w:val="006973E4"/>
    <w:rsid w:val="00697CE6"/>
    <w:rsid w:val="006A1AE9"/>
    <w:rsid w:val="006A24A5"/>
    <w:rsid w:val="006A4464"/>
    <w:rsid w:val="006A4AB7"/>
    <w:rsid w:val="006A567F"/>
    <w:rsid w:val="006A718E"/>
    <w:rsid w:val="006A7DF7"/>
    <w:rsid w:val="006B1656"/>
    <w:rsid w:val="006B4D18"/>
    <w:rsid w:val="006B53E5"/>
    <w:rsid w:val="006C1DCF"/>
    <w:rsid w:val="006C29ED"/>
    <w:rsid w:val="006C2C9D"/>
    <w:rsid w:val="006C453F"/>
    <w:rsid w:val="006C4B76"/>
    <w:rsid w:val="006C59A6"/>
    <w:rsid w:val="006D02BB"/>
    <w:rsid w:val="006D5E9D"/>
    <w:rsid w:val="006D6F79"/>
    <w:rsid w:val="006E0891"/>
    <w:rsid w:val="006E2E4B"/>
    <w:rsid w:val="006E438A"/>
    <w:rsid w:val="006E5618"/>
    <w:rsid w:val="006E5E7C"/>
    <w:rsid w:val="006F18AE"/>
    <w:rsid w:val="006F2ABA"/>
    <w:rsid w:val="006F3304"/>
    <w:rsid w:val="006F4DA7"/>
    <w:rsid w:val="007016C2"/>
    <w:rsid w:val="00702AB4"/>
    <w:rsid w:val="00703206"/>
    <w:rsid w:val="0070359D"/>
    <w:rsid w:val="00703670"/>
    <w:rsid w:val="00703B49"/>
    <w:rsid w:val="007051C9"/>
    <w:rsid w:val="00705C2B"/>
    <w:rsid w:val="00707215"/>
    <w:rsid w:val="0070735E"/>
    <w:rsid w:val="00710037"/>
    <w:rsid w:val="0071258C"/>
    <w:rsid w:val="007163EB"/>
    <w:rsid w:val="0071652C"/>
    <w:rsid w:val="0072010E"/>
    <w:rsid w:val="00724567"/>
    <w:rsid w:val="00724A9E"/>
    <w:rsid w:val="00727CD6"/>
    <w:rsid w:val="00730765"/>
    <w:rsid w:val="007310F1"/>
    <w:rsid w:val="0073159A"/>
    <w:rsid w:val="00732698"/>
    <w:rsid w:val="00733D0B"/>
    <w:rsid w:val="007358AB"/>
    <w:rsid w:val="00736235"/>
    <w:rsid w:val="00742AC6"/>
    <w:rsid w:val="00744CA9"/>
    <w:rsid w:val="0074652C"/>
    <w:rsid w:val="00747A98"/>
    <w:rsid w:val="00747DC3"/>
    <w:rsid w:val="00752755"/>
    <w:rsid w:val="0075298B"/>
    <w:rsid w:val="007529F5"/>
    <w:rsid w:val="00755F28"/>
    <w:rsid w:val="007561F0"/>
    <w:rsid w:val="00756C66"/>
    <w:rsid w:val="00757A5A"/>
    <w:rsid w:val="00757C62"/>
    <w:rsid w:val="0076046A"/>
    <w:rsid w:val="00761465"/>
    <w:rsid w:val="00765925"/>
    <w:rsid w:val="00771668"/>
    <w:rsid w:val="007718E7"/>
    <w:rsid w:val="0077200C"/>
    <w:rsid w:val="007725A6"/>
    <w:rsid w:val="00773B0C"/>
    <w:rsid w:val="00775289"/>
    <w:rsid w:val="007801C0"/>
    <w:rsid w:val="007802DF"/>
    <w:rsid w:val="00780DC3"/>
    <w:rsid w:val="00783C63"/>
    <w:rsid w:val="00784D83"/>
    <w:rsid w:val="0079081A"/>
    <w:rsid w:val="00791C0A"/>
    <w:rsid w:val="00793251"/>
    <w:rsid w:val="007937BC"/>
    <w:rsid w:val="00793A0E"/>
    <w:rsid w:val="007941A6"/>
    <w:rsid w:val="00794A67"/>
    <w:rsid w:val="00795F24"/>
    <w:rsid w:val="007964BE"/>
    <w:rsid w:val="007A012D"/>
    <w:rsid w:val="007A30D9"/>
    <w:rsid w:val="007A5E21"/>
    <w:rsid w:val="007A7337"/>
    <w:rsid w:val="007B1BDE"/>
    <w:rsid w:val="007B25DB"/>
    <w:rsid w:val="007B3A1B"/>
    <w:rsid w:val="007B4FF6"/>
    <w:rsid w:val="007B652A"/>
    <w:rsid w:val="007B7775"/>
    <w:rsid w:val="007C0284"/>
    <w:rsid w:val="007C07D2"/>
    <w:rsid w:val="007C0850"/>
    <w:rsid w:val="007C19C8"/>
    <w:rsid w:val="007C3610"/>
    <w:rsid w:val="007C588C"/>
    <w:rsid w:val="007C6BCE"/>
    <w:rsid w:val="007C7064"/>
    <w:rsid w:val="007D099D"/>
    <w:rsid w:val="007D12ED"/>
    <w:rsid w:val="007D3170"/>
    <w:rsid w:val="007D32A7"/>
    <w:rsid w:val="007D431D"/>
    <w:rsid w:val="007D7A2D"/>
    <w:rsid w:val="007E026F"/>
    <w:rsid w:val="007E17BC"/>
    <w:rsid w:val="007E2247"/>
    <w:rsid w:val="007E3F73"/>
    <w:rsid w:val="007E612F"/>
    <w:rsid w:val="007F041A"/>
    <w:rsid w:val="007F6AEE"/>
    <w:rsid w:val="00800794"/>
    <w:rsid w:val="00801D99"/>
    <w:rsid w:val="008035D9"/>
    <w:rsid w:val="00803B90"/>
    <w:rsid w:val="00805DF9"/>
    <w:rsid w:val="00810EE2"/>
    <w:rsid w:val="00812B35"/>
    <w:rsid w:val="008145D7"/>
    <w:rsid w:val="00814927"/>
    <w:rsid w:val="00814FE6"/>
    <w:rsid w:val="00816515"/>
    <w:rsid w:val="008166C8"/>
    <w:rsid w:val="00820CAD"/>
    <w:rsid w:val="00821D76"/>
    <w:rsid w:val="00822092"/>
    <w:rsid w:val="00822E9A"/>
    <w:rsid w:val="00823132"/>
    <w:rsid w:val="0082387F"/>
    <w:rsid w:val="00824263"/>
    <w:rsid w:val="00824671"/>
    <w:rsid w:val="008303CF"/>
    <w:rsid w:val="00831443"/>
    <w:rsid w:val="00835769"/>
    <w:rsid w:val="00836E65"/>
    <w:rsid w:val="008370B6"/>
    <w:rsid w:val="00841744"/>
    <w:rsid w:val="00841A5E"/>
    <w:rsid w:val="00843CAA"/>
    <w:rsid w:val="00844967"/>
    <w:rsid w:val="0084550F"/>
    <w:rsid w:val="008519FC"/>
    <w:rsid w:val="00852BC7"/>
    <w:rsid w:val="008539CE"/>
    <w:rsid w:val="00857127"/>
    <w:rsid w:val="00860B94"/>
    <w:rsid w:val="00864824"/>
    <w:rsid w:val="00864BE4"/>
    <w:rsid w:val="00866429"/>
    <w:rsid w:val="00870E7D"/>
    <w:rsid w:val="00871403"/>
    <w:rsid w:val="0087458B"/>
    <w:rsid w:val="00881CFA"/>
    <w:rsid w:val="008825FE"/>
    <w:rsid w:val="00883248"/>
    <w:rsid w:val="00885599"/>
    <w:rsid w:val="00885A87"/>
    <w:rsid w:val="00885B7F"/>
    <w:rsid w:val="00885F90"/>
    <w:rsid w:val="008862E0"/>
    <w:rsid w:val="00891AEF"/>
    <w:rsid w:val="00892A1A"/>
    <w:rsid w:val="0089561D"/>
    <w:rsid w:val="00895897"/>
    <w:rsid w:val="00896CAB"/>
    <w:rsid w:val="008A008E"/>
    <w:rsid w:val="008A0937"/>
    <w:rsid w:val="008A1F2C"/>
    <w:rsid w:val="008A2CAB"/>
    <w:rsid w:val="008A3427"/>
    <w:rsid w:val="008A342F"/>
    <w:rsid w:val="008A40CA"/>
    <w:rsid w:val="008A4CA7"/>
    <w:rsid w:val="008B2752"/>
    <w:rsid w:val="008B313A"/>
    <w:rsid w:val="008B3E2F"/>
    <w:rsid w:val="008B5163"/>
    <w:rsid w:val="008C19CC"/>
    <w:rsid w:val="008C55CE"/>
    <w:rsid w:val="008C5C32"/>
    <w:rsid w:val="008C5C67"/>
    <w:rsid w:val="008D0383"/>
    <w:rsid w:val="008D04BA"/>
    <w:rsid w:val="008D1C41"/>
    <w:rsid w:val="008D2745"/>
    <w:rsid w:val="008D4A85"/>
    <w:rsid w:val="008D5C22"/>
    <w:rsid w:val="008D721B"/>
    <w:rsid w:val="008D7CA6"/>
    <w:rsid w:val="008F0370"/>
    <w:rsid w:val="008F19E8"/>
    <w:rsid w:val="008F24EF"/>
    <w:rsid w:val="008F41C8"/>
    <w:rsid w:val="00900673"/>
    <w:rsid w:val="00901611"/>
    <w:rsid w:val="0090170B"/>
    <w:rsid w:val="0090609C"/>
    <w:rsid w:val="00910734"/>
    <w:rsid w:val="00911461"/>
    <w:rsid w:val="00913514"/>
    <w:rsid w:val="009141CB"/>
    <w:rsid w:val="00914628"/>
    <w:rsid w:val="00916263"/>
    <w:rsid w:val="00917B01"/>
    <w:rsid w:val="00920710"/>
    <w:rsid w:val="00920E81"/>
    <w:rsid w:val="009218F1"/>
    <w:rsid w:val="009248B1"/>
    <w:rsid w:val="009252E0"/>
    <w:rsid w:val="00926917"/>
    <w:rsid w:val="00927C0F"/>
    <w:rsid w:val="00930169"/>
    <w:rsid w:val="00930EC3"/>
    <w:rsid w:val="00931BC7"/>
    <w:rsid w:val="00931D0F"/>
    <w:rsid w:val="009322D9"/>
    <w:rsid w:val="0093307A"/>
    <w:rsid w:val="009335EA"/>
    <w:rsid w:val="0093405E"/>
    <w:rsid w:val="00934886"/>
    <w:rsid w:val="009401DF"/>
    <w:rsid w:val="00943A7C"/>
    <w:rsid w:val="00944C1A"/>
    <w:rsid w:val="00945E95"/>
    <w:rsid w:val="00946EF8"/>
    <w:rsid w:val="0094787F"/>
    <w:rsid w:val="00950818"/>
    <w:rsid w:val="009514F8"/>
    <w:rsid w:val="00952943"/>
    <w:rsid w:val="00952A70"/>
    <w:rsid w:val="00954FBF"/>
    <w:rsid w:val="00956581"/>
    <w:rsid w:val="00956D41"/>
    <w:rsid w:val="00957004"/>
    <w:rsid w:val="00957654"/>
    <w:rsid w:val="00957B0F"/>
    <w:rsid w:val="00965ACB"/>
    <w:rsid w:val="0096662A"/>
    <w:rsid w:val="00966F9D"/>
    <w:rsid w:val="00967F69"/>
    <w:rsid w:val="009706CD"/>
    <w:rsid w:val="00972FBE"/>
    <w:rsid w:val="00976C94"/>
    <w:rsid w:val="00977047"/>
    <w:rsid w:val="00980D3F"/>
    <w:rsid w:val="00980DCA"/>
    <w:rsid w:val="00981758"/>
    <w:rsid w:val="0098243E"/>
    <w:rsid w:val="00982F4E"/>
    <w:rsid w:val="00984190"/>
    <w:rsid w:val="00984FCA"/>
    <w:rsid w:val="00993A25"/>
    <w:rsid w:val="00994279"/>
    <w:rsid w:val="00994D3D"/>
    <w:rsid w:val="00995849"/>
    <w:rsid w:val="00996CE0"/>
    <w:rsid w:val="00996E06"/>
    <w:rsid w:val="00997945"/>
    <w:rsid w:val="009A1DFA"/>
    <w:rsid w:val="009A632A"/>
    <w:rsid w:val="009B0071"/>
    <w:rsid w:val="009B0682"/>
    <w:rsid w:val="009B0AFF"/>
    <w:rsid w:val="009B1D9C"/>
    <w:rsid w:val="009B4903"/>
    <w:rsid w:val="009B6811"/>
    <w:rsid w:val="009B7D24"/>
    <w:rsid w:val="009C0F02"/>
    <w:rsid w:val="009C1425"/>
    <w:rsid w:val="009C1931"/>
    <w:rsid w:val="009C2219"/>
    <w:rsid w:val="009C27EC"/>
    <w:rsid w:val="009C29A4"/>
    <w:rsid w:val="009C4788"/>
    <w:rsid w:val="009C6F56"/>
    <w:rsid w:val="009D1915"/>
    <w:rsid w:val="009D1D23"/>
    <w:rsid w:val="009D1DE7"/>
    <w:rsid w:val="009D2FF8"/>
    <w:rsid w:val="009D3763"/>
    <w:rsid w:val="009D5739"/>
    <w:rsid w:val="009D5AC7"/>
    <w:rsid w:val="009D61E1"/>
    <w:rsid w:val="009D78ED"/>
    <w:rsid w:val="009D7E75"/>
    <w:rsid w:val="009E2D3B"/>
    <w:rsid w:val="009E4D2C"/>
    <w:rsid w:val="009E4D60"/>
    <w:rsid w:val="009E581C"/>
    <w:rsid w:val="009F2ECA"/>
    <w:rsid w:val="009F3C22"/>
    <w:rsid w:val="009F4F04"/>
    <w:rsid w:val="009F4FF3"/>
    <w:rsid w:val="00A01A9C"/>
    <w:rsid w:val="00A01F24"/>
    <w:rsid w:val="00A032CD"/>
    <w:rsid w:val="00A03E1F"/>
    <w:rsid w:val="00A06039"/>
    <w:rsid w:val="00A06232"/>
    <w:rsid w:val="00A068AC"/>
    <w:rsid w:val="00A06CC9"/>
    <w:rsid w:val="00A1027B"/>
    <w:rsid w:val="00A12D2A"/>
    <w:rsid w:val="00A12D6D"/>
    <w:rsid w:val="00A161D3"/>
    <w:rsid w:val="00A16A93"/>
    <w:rsid w:val="00A178E6"/>
    <w:rsid w:val="00A21415"/>
    <w:rsid w:val="00A2188E"/>
    <w:rsid w:val="00A22EB7"/>
    <w:rsid w:val="00A2321B"/>
    <w:rsid w:val="00A2477F"/>
    <w:rsid w:val="00A24CD0"/>
    <w:rsid w:val="00A25605"/>
    <w:rsid w:val="00A262B5"/>
    <w:rsid w:val="00A30A98"/>
    <w:rsid w:val="00A30DBC"/>
    <w:rsid w:val="00A33583"/>
    <w:rsid w:val="00A338BD"/>
    <w:rsid w:val="00A3745B"/>
    <w:rsid w:val="00A405F7"/>
    <w:rsid w:val="00A4073A"/>
    <w:rsid w:val="00A40EA0"/>
    <w:rsid w:val="00A41747"/>
    <w:rsid w:val="00A42DB4"/>
    <w:rsid w:val="00A42E16"/>
    <w:rsid w:val="00A4357F"/>
    <w:rsid w:val="00A44252"/>
    <w:rsid w:val="00A47B05"/>
    <w:rsid w:val="00A47CF7"/>
    <w:rsid w:val="00A51511"/>
    <w:rsid w:val="00A52E60"/>
    <w:rsid w:val="00A53CFC"/>
    <w:rsid w:val="00A62328"/>
    <w:rsid w:val="00A64438"/>
    <w:rsid w:val="00A647AC"/>
    <w:rsid w:val="00A65DAE"/>
    <w:rsid w:val="00A704B1"/>
    <w:rsid w:val="00A7178B"/>
    <w:rsid w:val="00A73129"/>
    <w:rsid w:val="00A75242"/>
    <w:rsid w:val="00A75681"/>
    <w:rsid w:val="00A82DB5"/>
    <w:rsid w:val="00A8392C"/>
    <w:rsid w:val="00A858F9"/>
    <w:rsid w:val="00A877EE"/>
    <w:rsid w:val="00A92007"/>
    <w:rsid w:val="00A92FCF"/>
    <w:rsid w:val="00A93145"/>
    <w:rsid w:val="00A931B2"/>
    <w:rsid w:val="00A94D3F"/>
    <w:rsid w:val="00A952A5"/>
    <w:rsid w:val="00A95B1E"/>
    <w:rsid w:val="00AA1F3F"/>
    <w:rsid w:val="00AA27DD"/>
    <w:rsid w:val="00AA31EE"/>
    <w:rsid w:val="00AA5742"/>
    <w:rsid w:val="00AA75EE"/>
    <w:rsid w:val="00AB06AC"/>
    <w:rsid w:val="00AB08F9"/>
    <w:rsid w:val="00AB114B"/>
    <w:rsid w:val="00AB1C2C"/>
    <w:rsid w:val="00AB27FA"/>
    <w:rsid w:val="00AB750F"/>
    <w:rsid w:val="00AC0BE6"/>
    <w:rsid w:val="00AC24BB"/>
    <w:rsid w:val="00AC24FD"/>
    <w:rsid w:val="00AC29DD"/>
    <w:rsid w:val="00AC3BE8"/>
    <w:rsid w:val="00AC43B4"/>
    <w:rsid w:val="00AC710A"/>
    <w:rsid w:val="00AD7400"/>
    <w:rsid w:val="00AD7DE0"/>
    <w:rsid w:val="00AE1C52"/>
    <w:rsid w:val="00AE29C8"/>
    <w:rsid w:val="00AE3642"/>
    <w:rsid w:val="00AE5A9D"/>
    <w:rsid w:val="00AE6F32"/>
    <w:rsid w:val="00AE7345"/>
    <w:rsid w:val="00AE7D37"/>
    <w:rsid w:val="00AF02CF"/>
    <w:rsid w:val="00AF03E2"/>
    <w:rsid w:val="00AF1927"/>
    <w:rsid w:val="00AF6D5B"/>
    <w:rsid w:val="00B00891"/>
    <w:rsid w:val="00B00AE7"/>
    <w:rsid w:val="00B02539"/>
    <w:rsid w:val="00B051C0"/>
    <w:rsid w:val="00B05739"/>
    <w:rsid w:val="00B073E2"/>
    <w:rsid w:val="00B07DEE"/>
    <w:rsid w:val="00B1132B"/>
    <w:rsid w:val="00B1344D"/>
    <w:rsid w:val="00B13923"/>
    <w:rsid w:val="00B13A66"/>
    <w:rsid w:val="00B1663C"/>
    <w:rsid w:val="00B167BA"/>
    <w:rsid w:val="00B169F1"/>
    <w:rsid w:val="00B16FAB"/>
    <w:rsid w:val="00B203AB"/>
    <w:rsid w:val="00B208DD"/>
    <w:rsid w:val="00B245A3"/>
    <w:rsid w:val="00B2463A"/>
    <w:rsid w:val="00B24D92"/>
    <w:rsid w:val="00B24F1D"/>
    <w:rsid w:val="00B25F9A"/>
    <w:rsid w:val="00B2605F"/>
    <w:rsid w:val="00B33110"/>
    <w:rsid w:val="00B35562"/>
    <w:rsid w:val="00B356DD"/>
    <w:rsid w:val="00B36A0B"/>
    <w:rsid w:val="00B37B5D"/>
    <w:rsid w:val="00B37C6A"/>
    <w:rsid w:val="00B416F0"/>
    <w:rsid w:val="00B4201D"/>
    <w:rsid w:val="00B427A9"/>
    <w:rsid w:val="00B42F30"/>
    <w:rsid w:val="00B44CE6"/>
    <w:rsid w:val="00B451B2"/>
    <w:rsid w:val="00B45D56"/>
    <w:rsid w:val="00B4731B"/>
    <w:rsid w:val="00B47570"/>
    <w:rsid w:val="00B47EE7"/>
    <w:rsid w:val="00B503D5"/>
    <w:rsid w:val="00B51020"/>
    <w:rsid w:val="00B51C66"/>
    <w:rsid w:val="00B53794"/>
    <w:rsid w:val="00B5497B"/>
    <w:rsid w:val="00B64F18"/>
    <w:rsid w:val="00B71440"/>
    <w:rsid w:val="00B714F0"/>
    <w:rsid w:val="00B757C6"/>
    <w:rsid w:val="00B773B3"/>
    <w:rsid w:val="00B779D9"/>
    <w:rsid w:val="00B80662"/>
    <w:rsid w:val="00B80DCB"/>
    <w:rsid w:val="00B81CB1"/>
    <w:rsid w:val="00B82213"/>
    <w:rsid w:val="00B84027"/>
    <w:rsid w:val="00B8441C"/>
    <w:rsid w:val="00B84E8F"/>
    <w:rsid w:val="00B84F99"/>
    <w:rsid w:val="00B91565"/>
    <w:rsid w:val="00B91912"/>
    <w:rsid w:val="00B92913"/>
    <w:rsid w:val="00B93A28"/>
    <w:rsid w:val="00BA1213"/>
    <w:rsid w:val="00BA4B8C"/>
    <w:rsid w:val="00BB1489"/>
    <w:rsid w:val="00BB3A21"/>
    <w:rsid w:val="00BB3E60"/>
    <w:rsid w:val="00BB67DD"/>
    <w:rsid w:val="00BB7470"/>
    <w:rsid w:val="00BC07AF"/>
    <w:rsid w:val="00BC1FC0"/>
    <w:rsid w:val="00BC3160"/>
    <w:rsid w:val="00BC5653"/>
    <w:rsid w:val="00BC7247"/>
    <w:rsid w:val="00BD1FBD"/>
    <w:rsid w:val="00BD44DF"/>
    <w:rsid w:val="00BD4541"/>
    <w:rsid w:val="00BD48CC"/>
    <w:rsid w:val="00BD584C"/>
    <w:rsid w:val="00BE223E"/>
    <w:rsid w:val="00BE78A8"/>
    <w:rsid w:val="00BF2BBD"/>
    <w:rsid w:val="00BF2CAB"/>
    <w:rsid w:val="00BF4ABA"/>
    <w:rsid w:val="00BF62DE"/>
    <w:rsid w:val="00BF7C36"/>
    <w:rsid w:val="00BF7DB3"/>
    <w:rsid w:val="00C00462"/>
    <w:rsid w:val="00C0135A"/>
    <w:rsid w:val="00C015D9"/>
    <w:rsid w:val="00C02735"/>
    <w:rsid w:val="00C02BB8"/>
    <w:rsid w:val="00C04081"/>
    <w:rsid w:val="00C072E6"/>
    <w:rsid w:val="00C15427"/>
    <w:rsid w:val="00C15CAB"/>
    <w:rsid w:val="00C17C3E"/>
    <w:rsid w:val="00C20647"/>
    <w:rsid w:val="00C20E13"/>
    <w:rsid w:val="00C2232D"/>
    <w:rsid w:val="00C300E8"/>
    <w:rsid w:val="00C33752"/>
    <w:rsid w:val="00C354E8"/>
    <w:rsid w:val="00C35834"/>
    <w:rsid w:val="00C368A2"/>
    <w:rsid w:val="00C377D2"/>
    <w:rsid w:val="00C40898"/>
    <w:rsid w:val="00C42D9C"/>
    <w:rsid w:val="00C437FA"/>
    <w:rsid w:val="00C43EFF"/>
    <w:rsid w:val="00C5292E"/>
    <w:rsid w:val="00C54882"/>
    <w:rsid w:val="00C55E82"/>
    <w:rsid w:val="00C613C4"/>
    <w:rsid w:val="00C64569"/>
    <w:rsid w:val="00C66AE7"/>
    <w:rsid w:val="00C66D1E"/>
    <w:rsid w:val="00C7465B"/>
    <w:rsid w:val="00C80306"/>
    <w:rsid w:val="00C80B8E"/>
    <w:rsid w:val="00C80D96"/>
    <w:rsid w:val="00C83272"/>
    <w:rsid w:val="00C85D74"/>
    <w:rsid w:val="00C8631E"/>
    <w:rsid w:val="00C924B2"/>
    <w:rsid w:val="00C93F08"/>
    <w:rsid w:val="00C94266"/>
    <w:rsid w:val="00C97A7F"/>
    <w:rsid w:val="00CA274A"/>
    <w:rsid w:val="00CA3018"/>
    <w:rsid w:val="00CA3D91"/>
    <w:rsid w:val="00CA40C0"/>
    <w:rsid w:val="00CA65EA"/>
    <w:rsid w:val="00CB1F77"/>
    <w:rsid w:val="00CB3462"/>
    <w:rsid w:val="00CB4394"/>
    <w:rsid w:val="00CB5D25"/>
    <w:rsid w:val="00CB674E"/>
    <w:rsid w:val="00CB6C58"/>
    <w:rsid w:val="00CB70AF"/>
    <w:rsid w:val="00CC1D2A"/>
    <w:rsid w:val="00CC4ECE"/>
    <w:rsid w:val="00CC6263"/>
    <w:rsid w:val="00CD078D"/>
    <w:rsid w:val="00CD275E"/>
    <w:rsid w:val="00CD3BCB"/>
    <w:rsid w:val="00CD61B8"/>
    <w:rsid w:val="00CD67F5"/>
    <w:rsid w:val="00CE08C7"/>
    <w:rsid w:val="00CE0AC8"/>
    <w:rsid w:val="00CE31E4"/>
    <w:rsid w:val="00CE330F"/>
    <w:rsid w:val="00CF04C4"/>
    <w:rsid w:val="00CF06AF"/>
    <w:rsid w:val="00CF0E5F"/>
    <w:rsid w:val="00CF1A30"/>
    <w:rsid w:val="00CF1EA1"/>
    <w:rsid w:val="00CF24F4"/>
    <w:rsid w:val="00CF2ADD"/>
    <w:rsid w:val="00CF340D"/>
    <w:rsid w:val="00CF5454"/>
    <w:rsid w:val="00D01B5B"/>
    <w:rsid w:val="00D021E7"/>
    <w:rsid w:val="00D023A6"/>
    <w:rsid w:val="00D034E1"/>
    <w:rsid w:val="00D042B3"/>
    <w:rsid w:val="00D132E5"/>
    <w:rsid w:val="00D152F4"/>
    <w:rsid w:val="00D1671D"/>
    <w:rsid w:val="00D24424"/>
    <w:rsid w:val="00D252F2"/>
    <w:rsid w:val="00D26586"/>
    <w:rsid w:val="00D276E4"/>
    <w:rsid w:val="00D315D9"/>
    <w:rsid w:val="00D32A79"/>
    <w:rsid w:val="00D339C1"/>
    <w:rsid w:val="00D35135"/>
    <w:rsid w:val="00D35FC0"/>
    <w:rsid w:val="00D36D90"/>
    <w:rsid w:val="00D37451"/>
    <w:rsid w:val="00D374DE"/>
    <w:rsid w:val="00D42086"/>
    <w:rsid w:val="00D42E93"/>
    <w:rsid w:val="00D506C3"/>
    <w:rsid w:val="00D50C5F"/>
    <w:rsid w:val="00D51B52"/>
    <w:rsid w:val="00D52B9B"/>
    <w:rsid w:val="00D54CAC"/>
    <w:rsid w:val="00D57878"/>
    <w:rsid w:val="00D604A3"/>
    <w:rsid w:val="00D60B0B"/>
    <w:rsid w:val="00D629BF"/>
    <w:rsid w:val="00D67135"/>
    <w:rsid w:val="00D67999"/>
    <w:rsid w:val="00D7062C"/>
    <w:rsid w:val="00D71687"/>
    <w:rsid w:val="00D725A3"/>
    <w:rsid w:val="00D7292C"/>
    <w:rsid w:val="00D72B3D"/>
    <w:rsid w:val="00D80964"/>
    <w:rsid w:val="00D8420B"/>
    <w:rsid w:val="00D845A8"/>
    <w:rsid w:val="00D85112"/>
    <w:rsid w:val="00D8536D"/>
    <w:rsid w:val="00D85AEE"/>
    <w:rsid w:val="00D8714A"/>
    <w:rsid w:val="00D8714D"/>
    <w:rsid w:val="00D90E9C"/>
    <w:rsid w:val="00DA0390"/>
    <w:rsid w:val="00DA4AB7"/>
    <w:rsid w:val="00DA4ACF"/>
    <w:rsid w:val="00DA7B20"/>
    <w:rsid w:val="00DB2D20"/>
    <w:rsid w:val="00DB2DD5"/>
    <w:rsid w:val="00DB2F22"/>
    <w:rsid w:val="00DB3774"/>
    <w:rsid w:val="00DB3BF5"/>
    <w:rsid w:val="00DB3D69"/>
    <w:rsid w:val="00DB4373"/>
    <w:rsid w:val="00DB43C4"/>
    <w:rsid w:val="00DB4D9E"/>
    <w:rsid w:val="00DB7845"/>
    <w:rsid w:val="00DC067B"/>
    <w:rsid w:val="00DC0B86"/>
    <w:rsid w:val="00DC3B27"/>
    <w:rsid w:val="00DC7EF0"/>
    <w:rsid w:val="00DD0DA2"/>
    <w:rsid w:val="00DD104A"/>
    <w:rsid w:val="00DD480A"/>
    <w:rsid w:val="00DD7356"/>
    <w:rsid w:val="00DE222D"/>
    <w:rsid w:val="00DE326C"/>
    <w:rsid w:val="00DE3EEF"/>
    <w:rsid w:val="00DE417E"/>
    <w:rsid w:val="00DE4D2D"/>
    <w:rsid w:val="00DE5C2E"/>
    <w:rsid w:val="00DE79B4"/>
    <w:rsid w:val="00DF112B"/>
    <w:rsid w:val="00DF447E"/>
    <w:rsid w:val="00DF5806"/>
    <w:rsid w:val="00DF68E9"/>
    <w:rsid w:val="00E00293"/>
    <w:rsid w:val="00E016C2"/>
    <w:rsid w:val="00E01E4B"/>
    <w:rsid w:val="00E02F61"/>
    <w:rsid w:val="00E0377C"/>
    <w:rsid w:val="00E04B3B"/>
    <w:rsid w:val="00E073C9"/>
    <w:rsid w:val="00E106EE"/>
    <w:rsid w:val="00E1084D"/>
    <w:rsid w:val="00E10C75"/>
    <w:rsid w:val="00E10D62"/>
    <w:rsid w:val="00E12FAF"/>
    <w:rsid w:val="00E13C0D"/>
    <w:rsid w:val="00E141FE"/>
    <w:rsid w:val="00E158D4"/>
    <w:rsid w:val="00E16764"/>
    <w:rsid w:val="00E20F31"/>
    <w:rsid w:val="00E21BF1"/>
    <w:rsid w:val="00E21F78"/>
    <w:rsid w:val="00E236BF"/>
    <w:rsid w:val="00E2602F"/>
    <w:rsid w:val="00E260BB"/>
    <w:rsid w:val="00E2746E"/>
    <w:rsid w:val="00E3194A"/>
    <w:rsid w:val="00E36A21"/>
    <w:rsid w:val="00E41870"/>
    <w:rsid w:val="00E425ED"/>
    <w:rsid w:val="00E43501"/>
    <w:rsid w:val="00E450DB"/>
    <w:rsid w:val="00E50B47"/>
    <w:rsid w:val="00E52836"/>
    <w:rsid w:val="00E52851"/>
    <w:rsid w:val="00E5471C"/>
    <w:rsid w:val="00E54EA7"/>
    <w:rsid w:val="00E561E7"/>
    <w:rsid w:val="00E56488"/>
    <w:rsid w:val="00E57039"/>
    <w:rsid w:val="00E57486"/>
    <w:rsid w:val="00E621D3"/>
    <w:rsid w:val="00E63DEB"/>
    <w:rsid w:val="00E64FFD"/>
    <w:rsid w:val="00E66176"/>
    <w:rsid w:val="00E7197F"/>
    <w:rsid w:val="00E75272"/>
    <w:rsid w:val="00E75551"/>
    <w:rsid w:val="00E76763"/>
    <w:rsid w:val="00E77947"/>
    <w:rsid w:val="00E86BD5"/>
    <w:rsid w:val="00E8751F"/>
    <w:rsid w:val="00E920EB"/>
    <w:rsid w:val="00E92CB6"/>
    <w:rsid w:val="00E92D70"/>
    <w:rsid w:val="00E93837"/>
    <w:rsid w:val="00E94CBA"/>
    <w:rsid w:val="00E94F4F"/>
    <w:rsid w:val="00E951A5"/>
    <w:rsid w:val="00E965A0"/>
    <w:rsid w:val="00EA11B6"/>
    <w:rsid w:val="00EA156C"/>
    <w:rsid w:val="00EA3D93"/>
    <w:rsid w:val="00EA4978"/>
    <w:rsid w:val="00EA7BE3"/>
    <w:rsid w:val="00EB2865"/>
    <w:rsid w:val="00EB3C55"/>
    <w:rsid w:val="00EB578F"/>
    <w:rsid w:val="00EB6379"/>
    <w:rsid w:val="00EB741F"/>
    <w:rsid w:val="00EB7970"/>
    <w:rsid w:val="00EC1844"/>
    <w:rsid w:val="00EC2242"/>
    <w:rsid w:val="00EC3975"/>
    <w:rsid w:val="00EC5522"/>
    <w:rsid w:val="00ED3223"/>
    <w:rsid w:val="00ED3DCC"/>
    <w:rsid w:val="00ED4CE2"/>
    <w:rsid w:val="00ED6798"/>
    <w:rsid w:val="00EE008B"/>
    <w:rsid w:val="00EE0EBC"/>
    <w:rsid w:val="00EE1D05"/>
    <w:rsid w:val="00EE2A49"/>
    <w:rsid w:val="00EE2BCD"/>
    <w:rsid w:val="00EE43DB"/>
    <w:rsid w:val="00EE56E1"/>
    <w:rsid w:val="00EE5DD1"/>
    <w:rsid w:val="00EE6C0C"/>
    <w:rsid w:val="00EE77A8"/>
    <w:rsid w:val="00EF017F"/>
    <w:rsid w:val="00EF0647"/>
    <w:rsid w:val="00EF20F7"/>
    <w:rsid w:val="00EF37D4"/>
    <w:rsid w:val="00EF3C58"/>
    <w:rsid w:val="00EF40FD"/>
    <w:rsid w:val="00EF5113"/>
    <w:rsid w:val="00EF513E"/>
    <w:rsid w:val="00EF5937"/>
    <w:rsid w:val="00EF73C4"/>
    <w:rsid w:val="00EF78E3"/>
    <w:rsid w:val="00F00C46"/>
    <w:rsid w:val="00F01E1E"/>
    <w:rsid w:val="00F02830"/>
    <w:rsid w:val="00F02EC6"/>
    <w:rsid w:val="00F03BF8"/>
    <w:rsid w:val="00F04DF2"/>
    <w:rsid w:val="00F05770"/>
    <w:rsid w:val="00F06155"/>
    <w:rsid w:val="00F1016B"/>
    <w:rsid w:val="00F114AB"/>
    <w:rsid w:val="00F12C30"/>
    <w:rsid w:val="00F143CF"/>
    <w:rsid w:val="00F168F9"/>
    <w:rsid w:val="00F1784F"/>
    <w:rsid w:val="00F208A4"/>
    <w:rsid w:val="00F212B9"/>
    <w:rsid w:val="00F259F8"/>
    <w:rsid w:val="00F26239"/>
    <w:rsid w:val="00F268EF"/>
    <w:rsid w:val="00F30403"/>
    <w:rsid w:val="00F31709"/>
    <w:rsid w:val="00F3265C"/>
    <w:rsid w:val="00F326D2"/>
    <w:rsid w:val="00F330F0"/>
    <w:rsid w:val="00F337F7"/>
    <w:rsid w:val="00F3438A"/>
    <w:rsid w:val="00F35271"/>
    <w:rsid w:val="00F370A9"/>
    <w:rsid w:val="00F4289C"/>
    <w:rsid w:val="00F43D39"/>
    <w:rsid w:val="00F44FF8"/>
    <w:rsid w:val="00F45596"/>
    <w:rsid w:val="00F46D44"/>
    <w:rsid w:val="00F50871"/>
    <w:rsid w:val="00F51EF5"/>
    <w:rsid w:val="00F53B3F"/>
    <w:rsid w:val="00F53EBA"/>
    <w:rsid w:val="00F55657"/>
    <w:rsid w:val="00F562F9"/>
    <w:rsid w:val="00F567E0"/>
    <w:rsid w:val="00F56E38"/>
    <w:rsid w:val="00F56EF0"/>
    <w:rsid w:val="00F6163B"/>
    <w:rsid w:val="00F62997"/>
    <w:rsid w:val="00F642C0"/>
    <w:rsid w:val="00F64970"/>
    <w:rsid w:val="00F64AA8"/>
    <w:rsid w:val="00F7179F"/>
    <w:rsid w:val="00F73268"/>
    <w:rsid w:val="00F73A4B"/>
    <w:rsid w:val="00F73D93"/>
    <w:rsid w:val="00F765A7"/>
    <w:rsid w:val="00F77268"/>
    <w:rsid w:val="00F77387"/>
    <w:rsid w:val="00F80A3A"/>
    <w:rsid w:val="00F81834"/>
    <w:rsid w:val="00F82379"/>
    <w:rsid w:val="00F828D5"/>
    <w:rsid w:val="00F82DBA"/>
    <w:rsid w:val="00F82EF5"/>
    <w:rsid w:val="00F850A4"/>
    <w:rsid w:val="00F8765E"/>
    <w:rsid w:val="00F91FCF"/>
    <w:rsid w:val="00F936D9"/>
    <w:rsid w:val="00FA033B"/>
    <w:rsid w:val="00FA2EEF"/>
    <w:rsid w:val="00FA4092"/>
    <w:rsid w:val="00FA5F2D"/>
    <w:rsid w:val="00FA798C"/>
    <w:rsid w:val="00FB1945"/>
    <w:rsid w:val="00FB4DFE"/>
    <w:rsid w:val="00FB533F"/>
    <w:rsid w:val="00FB62D6"/>
    <w:rsid w:val="00FB6753"/>
    <w:rsid w:val="00FB735A"/>
    <w:rsid w:val="00FC1290"/>
    <w:rsid w:val="00FC189D"/>
    <w:rsid w:val="00FC1A7A"/>
    <w:rsid w:val="00FC3A72"/>
    <w:rsid w:val="00FC4368"/>
    <w:rsid w:val="00FC480E"/>
    <w:rsid w:val="00FD06DD"/>
    <w:rsid w:val="00FD1055"/>
    <w:rsid w:val="00FD1C3F"/>
    <w:rsid w:val="00FD3FED"/>
    <w:rsid w:val="00FD5B3D"/>
    <w:rsid w:val="00FE0BA7"/>
    <w:rsid w:val="00FE2B6B"/>
    <w:rsid w:val="00FE3001"/>
    <w:rsid w:val="00FE66C2"/>
    <w:rsid w:val="00FE6E5F"/>
    <w:rsid w:val="00FE6F25"/>
    <w:rsid w:val="00FE72F9"/>
    <w:rsid w:val="00FF0311"/>
    <w:rsid w:val="00FF0521"/>
    <w:rsid w:val="00FF6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902B"/>
  <w15:chartTrackingRefBased/>
  <w15:docId w15:val="{F5C73952-9461-4A45-AC21-47B287F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84C"/>
    <w:rPr>
      <w:rFonts w:ascii="Calibri" w:eastAsia="Calibri" w:hAnsi="Calibri" w:cs="Times New Roman"/>
      <w:lang w:val="es-CO"/>
    </w:rPr>
  </w:style>
  <w:style w:type="paragraph" w:styleId="Ttulo1">
    <w:name w:val="heading 1"/>
    <w:basedOn w:val="Normal"/>
    <w:next w:val="Normal"/>
    <w:link w:val="Ttulo1Car"/>
    <w:uiPriority w:val="9"/>
    <w:qFormat/>
    <w:rsid w:val="00BD584C"/>
    <w:pPr>
      <w:keepNext/>
      <w:numPr>
        <w:numId w:val="1"/>
      </w:numPr>
      <w:spacing w:before="480" w:after="480" w:line="276" w:lineRule="auto"/>
      <w:ind w:left="714" w:hanging="357"/>
      <w:jc w:val="center"/>
      <w:outlineLvl w:val="0"/>
    </w:pPr>
    <w:rPr>
      <w:rFonts w:ascii="Arial" w:eastAsia="Times New Roman" w:hAnsi="Arial"/>
      <w:b/>
      <w:bCs/>
      <w:caps/>
      <w:kern w:val="32"/>
      <w:sz w:val="24"/>
      <w:szCs w:val="3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84C"/>
    <w:rPr>
      <w:rFonts w:ascii="Arial" w:eastAsia="Times New Roman" w:hAnsi="Arial" w:cs="Times New Roman"/>
      <w:b/>
      <w:bCs/>
      <w:caps/>
      <w:kern w:val="32"/>
      <w:sz w:val="24"/>
      <w:szCs w:val="32"/>
      <w:lang w:val="es-CO" w:eastAsia="es-ES_tradnl"/>
    </w:rPr>
  </w:style>
  <w:style w:type="paragraph" w:styleId="Encabezado">
    <w:name w:val="header"/>
    <w:basedOn w:val="Normal"/>
    <w:link w:val="EncabezadoCar"/>
    <w:uiPriority w:val="99"/>
    <w:unhideWhenUsed/>
    <w:rsid w:val="00BD584C"/>
    <w:pPr>
      <w:tabs>
        <w:tab w:val="center" w:pos="4252"/>
        <w:tab w:val="right" w:pos="8504"/>
      </w:tabs>
      <w:spacing w:after="0" w:line="240" w:lineRule="auto"/>
      <w:jc w:val="both"/>
    </w:pPr>
    <w:rPr>
      <w:rFonts w:ascii="Arial" w:hAnsi="Arial" w:cs="Arial"/>
      <w:sz w:val="16"/>
      <w:szCs w:val="16"/>
      <w:lang w:eastAsia="es-ES_tradnl"/>
    </w:rPr>
  </w:style>
  <w:style w:type="character" w:customStyle="1" w:styleId="EncabezadoCar">
    <w:name w:val="Encabezado Car"/>
    <w:basedOn w:val="Fuentedeprrafopredeter"/>
    <w:link w:val="Encabezado"/>
    <w:uiPriority w:val="99"/>
    <w:rsid w:val="00BD584C"/>
    <w:rPr>
      <w:rFonts w:ascii="Arial" w:eastAsia="Calibri" w:hAnsi="Arial" w:cs="Arial"/>
      <w:sz w:val="16"/>
      <w:szCs w:val="16"/>
      <w:lang w:val="es-CO" w:eastAsia="es-ES_tradnl"/>
    </w:rPr>
  </w:style>
  <w:style w:type="paragraph" w:styleId="Piedepgina">
    <w:name w:val="footer"/>
    <w:basedOn w:val="Normal"/>
    <w:link w:val="PiedepginaCar"/>
    <w:uiPriority w:val="99"/>
    <w:unhideWhenUsed/>
    <w:rsid w:val="00BD584C"/>
    <w:pPr>
      <w:tabs>
        <w:tab w:val="center" w:pos="4252"/>
        <w:tab w:val="right" w:pos="8504"/>
      </w:tabs>
      <w:spacing w:after="0" w:line="240" w:lineRule="auto"/>
      <w:jc w:val="both"/>
    </w:pPr>
    <w:rPr>
      <w:rFonts w:ascii="Arial" w:hAnsi="Arial" w:cs="Arial"/>
      <w:sz w:val="16"/>
      <w:szCs w:val="16"/>
      <w:lang w:eastAsia="es-ES_tradnl"/>
    </w:rPr>
  </w:style>
  <w:style w:type="character" w:customStyle="1" w:styleId="PiedepginaCar">
    <w:name w:val="Pie de página Car"/>
    <w:basedOn w:val="Fuentedeprrafopredeter"/>
    <w:link w:val="Piedepgina"/>
    <w:uiPriority w:val="99"/>
    <w:rsid w:val="00BD584C"/>
    <w:rPr>
      <w:rFonts w:ascii="Arial" w:eastAsia="Calibri" w:hAnsi="Arial" w:cs="Arial"/>
      <w:sz w:val="16"/>
      <w:szCs w:val="16"/>
      <w:lang w:val="es-CO"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3745B"/>
    <w:pPr>
      <w:spacing w:after="0" w:line="240" w:lineRule="auto"/>
      <w:jc w:val="both"/>
    </w:pPr>
    <w:rPr>
      <w:rFonts w:ascii="Arial" w:hAnsi="Arial" w:cs="Arial"/>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A3745B"/>
    <w:rPr>
      <w:rFonts w:ascii="Arial" w:eastAsia="Calibri" w:hAnsi="Arial" w:cs="Arial"/>
      <w:sz w:val="20"/>
      <w:szCs w:val="20"/>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BD584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D584C"/>
    <w:pPr>
      <w:spacing w:after="0" w:line="240" w:lineRule="auto"/>
      <w:jc w:val="both"/>
    </w:pPr>
    <w:rPr>
      <w:rFonts w:asciiTheme="minorHAnsi" w:eastAsiaTheme="minorHAnsi" w:hAnsiTheme="minorHAnsi" w:cstheme="minorBidi"/>
      <w:vertAlign w:val="superscript"/>
      <w:lang w:val="es-MX"/>
    </w:rPr>
  </w:style>
  <w:style w:type="paragraph" w:styleId="Sinespaciado">
    <w:name w:val="No Spacing"/>
    <w:aliases w:val="Encabezado1"/>
    <w:link w:val="SinespaciadoCar"/>
    <w:autoRedefine/>
    <w:uiPriority w:val="1"/>
    <w:qFormat/>
    <w:rsid w:val="00BD584C"/>
    <w:pPr>
      <w:spacing w:after="0" w:line="240" w:lineRule="auto"/>
      <w:jc w:val="center"/>
    </w:pPr>
    <w:rPr>
      <w:rFonts w:ascii="Arial" w:eastAsia="Calibri" w:hAnsi="Arial" w:cs="Arial"/>
      <w:b/>
      <w:caps/>
      <w:color w:val="000000"/>
      <w:sz w:val="24"/>
      <w:szCs w:val="16"/>
      <w:lang w:val="es-CO" w:eastAsia="es-ES_tradnl"/>
    </w:rPr>
  </w:style>
  <w:style w:type="character" w:customStyle="1" w:styleId="SinespaciadoCar">
    <w:name w:val="Sin espaciado Car"/>
    <w:aliases w:val="Encabezado1 Car"/>
    <w:link w:val="Sinespaciado"/>
    <w:uiPriority w:val="1"/>
    <w:rsid w:val="00BD584C"/>
    <w:rPr>
      <w:rFonts w:ascii="Arial" w:eastAsia="Calibri" w:hAnsi="Arial" w:cs="Arial"/>
      <w:b/>
      <w:caps/>
      <w:color w:val="000000"/>
      <w:sz w:val="24"/>
      <w:szCs w:val="16"/>
      <w:lang w:val="es-CO" w:eastAsia="es-ES_tradnl"/>
    </w:rPr>
  </w:style>
  <w:style w:type="paragraph" w:styleId="Prrafodelista">
    <w:name w:val="List Paragraph"/>
    <w:basedOn w:val="Normal"/>
    <w:link w:val="PrrafodelistaCar"/>
    <w:uiPriority w:val="34"/>
    <w:qFormat/>
    <w:rsid w:val="00BD584C"/>
    <w:pPr>
      <w:spacing w:after="0" w:line="240" w:lineRule="auto"/>
      <w:ind w:left="720"/>
      <w:contextualSpacing/>
    </w:pPr>
    <w:rPr>
      <w:rFonts w:ascii="Times New Roman" w:hAnsi="Times New Roman"/>
      <w:sz w:val="24"/>
      <w:szCs w:val="24"/>
      <w:lang w:val="es-ES_tradnl" w:eastAsia="es-ES_tradnl"/>
    </w:rPr>
  </w:style>
  <w:style w:type="character" w:customStyle="1" w:styleId="PrrafodelistaCar">
    <w:name w:val="Párrafo de lista Car"/>
    <w:link w:val="Prrafodelista"/>
    <w:uiPriority w:val="34"/>
    <w:qFormat/>
    <w:locked/>
    <w:rsid w:val="00BD584C"/>
    <w:rPr>
      <w:rFonts w:ascii="Times New Roman" w:eastAsia="Calibri" w:hAnsi="Times New Roman" w:cs="Times New Roman"/>
      <w:sz w:val="24"/>
      <w:szCs w:val="24"/>
      <w:lang w:val="es-ES_tradnl" w:eastAsia="es-ES_tradnl"/>
    </w:rPr>
  </w:style>
  <w:style w:type="paragraph" w:customStyle="1" w:styleId="Default">
    <w:name w:val="Default"/>
    <w:rsid w:val="00BD584C"/>
    <w:pPr>
      <w:autoSpaceDE w:val="0"/>
      <w:autoSpaceDN w:val="0"/>
      <w:adjustRightInd w:val="0"/>
      <w:spacing w:after="0" w:line="240" w:lineRule="auto"/>
    </w:pPr>
    <w:rPr>
      <w:rFonts w:ascii="Arial" w:eastAsia="Calibri" w:hAnsi="Arial" w:cs="Arial"/>
      <w:color w:val="000000"/>
      <w:sz w:val="24"/>
      <w:szCs w:val="24"/>
      <w:lang w:val="es-CO" w:eastAsia="es-CO"/>
    </w:rPr>
  </w:style>
  <w:style w:type="table" w:styleId="Tablaconcuadrcula">
    <w:name w:val="Table Grid"/>
    <w:basedOn w:val="Tablanormal"/>
    <w:uiPriority w:val="39"/>
    <w:rsid w:val="00096EC9"/>
    <w:pPr>
      <w:spacing w:after="0" w:line="240" w:lineRule="auto"/>
    </w:pPr>
    <w:rPr>
      <w:rFonts w:ascii="Arial" w:eastAsia="Calibri" w:hAnsi="Arial" w:cs="Arial"/>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7178B"/>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3576">
      <w:bodyDiv w:val="1"/>
      <w:marLeft w:val="0"/>
      <w:marRight w:val="0"/>
      <w:marTop w:val="0"/>
      <w:marBottom w:val="0"/>
      <w:divBdr>
        <w:top w:val="none" w:sz="0" w:space="0" w:color="auto"/>
        <w:left w:val="none" w:sz="0" w:space="0" w:color="auto"/>
        <w:bottom w:val="none" w:sz="0" w:space="0" w:color="auto"/>
        <w:right w:val="none" w:sz="0" w:space="0" w:color="auto"/>
      </w:divBdr>
    </w:div>
    <w:div w:id="660624631">
      <w:bodyDiv w:val="1"/>
      <w:marLeft w:val="0"/>
      <w:marRight w:val="0"/>
      <w:marTop w:val="0"/>
      <w:marBottom w:val="0"/>
      <w:divBdr>
        <w:top w:val="none" w:sz="0" w:space="0" w:color="auto"/>
        <w:left w:val="none" w:sz="0" w:space="0" w:color="auto"/>
        <w:bottom w:val="none" w:sz="0" w:space="0" w:color="auto"/>
        <w:right w:val="none" w:sz="0" w:space="0" w:color="auto"/>
      </w:divBdr>
    </w:div>
    <w:div w:id="661549878">
      <w:bodyDiv w:val="1"/>
      <w:marLeft w:val="0"/>
      <w:marRight w:val="0"/>
      <w:marTop w:val="0"/>
      <w:marBottom w:val="0"/>
      <w:divBdr>
        <w:top w:val="none" w:sz="0" w:space="0" w:color="auto"/>
        <w:left w:val="none" w:sz="0" w:space="0" w:color="auto"/>
        <w:bottom w:val="none" w:sz="0" w:space="0" w:color="auto"/>
        <w:right w:val="none" w:sz="0" w:space="0" w:color="auto"/>
      </w:divBdr>
    </w:div>
    <w:div w:id="751852406">
      <w:bodyDiv w:val="1"/>
      <w:marLeft w:val="0"/>
      <w:marRight w:val="0"/>
      <w:marTop w:val="0"/>
      <w:marBottom w:val="0"/>
      <w:divBdr>
        <w:top w:val="none" w:sz="0" w:space="0" w:color="auto"/>
        <w:left w:val="none" w:sz="0" w:space="0" w:color="auto"/>
        <w:bottom w:val="none" w:sz="0" w:space="0" w:color="auto"/>
        <w:right w:val="none" w:sz="0" w:space="0" w:color="auto"/>
      </w:divBdr>
    </w:div>
    <w:div w:id="900019418">
      <w:bodyDiv w:val="1"/>
      <w:marLeft w:val="0"/>
      <w:marRight w:val="0"/>
      <w:marTop w:val="0"/>
      <w:marBottom w:val="0"/>
      <w:divBdr>
        <w:top w:val="none" w:sz="0" w:space="0" w:color="auto"/>
        <w:left w:val="none" w:sz="0" w:space="0" w:color="auto"/>
        <w:bottom w:val="none" w:sz="0" w:space="0" w:color="auto"/>
        <w:right w:val="none" w:sz="0" w:space="0" w:color="auto"/>
      </w:divBdr>
    </w:div>
    <w:div w:id="968976543">
      <w:bodyDiv w:val="1"/>
      <w:marLeft w:val="0"/>
      <w:marRight w:val="0"/>
      <w:marTop w:val="0"/>
      <w:marBottom w:val="0"/>
      <w:divBdr>
        <w:top w:val="none" w:sz="0" w:space="0" w:color="auto"/>
        <w:left w:val="none" w:sz="0" w:space="0" w:color="auto"/>
        <w:bottom w:val="none" w:sz="0" w:space="0" w:color="auto"/>
        <w:right w:val="none" w:sz="0" w:space="0" w:color="auto"/>
      </w:divBdr>
    </w:div>
    <w:div w:id="1171213550">
      <w:bodyDiv w:val="1"/>
      <w:marLeft w:val="0"/>
      <w:marRight w:val="0"/>
      <w:marTop w:val="0"/>
      <w:marBottom w:val="0"/>
      <w:divBdr>
        <w:top w:val="none" w:sz="0" w:space="0" w:color="auto"/>
        <w:left w:val="none" w:sz="0" w:space="0" w:color="auto"/>
        <w:bottom w:val="none" w:sz="0" w:space="0" w:color="auto"/>
        <w:right w:val="none" w:sz="0" w:space="0" w:color="auto"/>
      </w:divBdr>
    </w:div>
    <w:div w:id="1180001533">
      <w:bodyDiv w:val="1"/>
      <w:marLeft w:val="0"/>
      <w:marRight w:val="0"/>
      <w:marTop w:val="0"/>
      <w:marBottom w:val="0"/>
      <w:divBdr>
        <w:top w:val="none" w:sz="0" w:space="0" w:color="auto"/>
        <w:left w:val="none" w:sz="0" w:space="0" w:color="auto"/>
        <w:bottom w:val="none" w:sz="0" w:space="0" w:color="auto"/>
        <w:right w:val="none" w:sz="0" w:space="0" w:color="auto"/>
      </w:divBdr>
    </w:div>
    <w:div w:id="1345865517">
      <w:bodyDiv w:val="1"/>
      <w:marLeft w:val="0"/>
      <w:marRight w:val="0"/>
      <w:marTop w:val="0"/>
      <w:marBottom w:val="0"/>
      <w:divBdr>
        <w:top w:val="none" w:sz="0" w:space="0" w:color="auto"/>
        <w:left w:val="none" w:sz="0" w:space="0" w:color="auto"/>
        <w:bottom w:val="none" w:sz="0" w:space="0" w:color="auto"/>
        <w:right w:val="none" w:sz="0" w:space="0" w:color="auto"/>
      </w:divBdr>
    </w:div>
    <w:div w:id="1366058779">
      <w:bodyDiv w:val="1"/>
      <w:marLeft w:val="0"/>
      <w:marRight w:val="0"/>
      <w:marTop w:val="0"/>
      <w:marBottom w:val="0"/>
      <w:divBdr>
        <w:top w:val="none" w:sz="0" w:space="0" w:color="auto"/>
        <w:left w:val="none" w:sz="0" w:space="0" w:color="auto"/>
        <w:bottom w:val="none" w:sz="0" w:space="0" w:color="auto"/>
        <w:right w:val="none" w:sz="0" w:space="0" w:color="auto"/>
      </w:divBdr>
    </w:div>
    <w:div w:id="1467813661">
      <w:bodyDiv w:val="1"/>
      <w:marLeft w:val="0"/>
      <w:marRight w:val="0"/>
      <w:marTop w:val="0"/>
      <w:marBottom w:val="0"/>
      <w:divBdr>
        <w:top w:val="none" w:sz="0" w:space="0" w:color="auto"/>
        <w:left w:val="none" w:sz="0" w:space="0" w:color="auto"/>
        <w:bottom w:val="none" w:sz="0" w:space="0" w:color="auto"/>
        <w:right w:val="none" w:sz="0" w:space="0" w:color="auto"/>
      </w:divBdr>
    </w:div>
    <w:div w:id="1578859987">
      <w:bodyDiv w:val="1"/>
      <w:marLeft w:val="0"/>
      <w:marRight w:val="0"/>
      <w:marTop w:val="0"/>
      <w:marBottom w:val="0"/>
      <w:divBdr>
        <w:top w:val="none" w:sz="0" w:space="0" w:color="auto"/>
        <w:left w:val="none" w:sz="0" w:space="0" w:color="auto"/>
        <w:bottom w:val="none" w:sz="0" w:space="0" w:color="auto"/>
        <w:right w:val="none" w:sz="0" w:space="0" w:color="auto"/>
      </w:divBdr>
    </w:div>
    <w:div w:id="1641106105">
      <w:bodyDiv w:val="1"/>
      <w:marLeft w:val="0"/>
      <w:marRight w:val="0"/>
      <w:marTop w:val="0"/>
      <w:marBottom w:val="0"/>
      <w:divBdr>
        <w:top w:val="none" w:sz="0" w:space="0" w:color="auto"/>
        <w:left w:val="none" w:sz="0" w:space="0" w:color="auto"/>
        <w:bottom w:val="none" w:sz="0" w:space="0" w:color="auto"/>
        <w:right w:val="none" w:sz="0" w:space="0" w:color="auto"/>
      </w:divBdr>
    </w:div>
    <w:div w:id="1926499938">
      <w:bodyDiv w:val="1"/>
      <w:marLeft w:val="0"/>
      <w:marRight w:val="0"/>
      <w:marTop w:val="0"/>
      <w:marBottom w:val="0"/>
      <w:divBdr>
        <w:top w:val="none" w:sz="0" w:space="0" w:color="auto"/>
        <w:left w:val="none" w:sz="0" w:space="0" w:color="auto"/>
        <w:bottom w:val="none" w:sz="0" w:space="0" w:color="auto"/>
        <w:right w:val="none" w:sz="0" w:space="0" w:color="auto"/>
      </w:divBdr>
    </w:div>
    <w:div w:id="2100906506">
      <w:bodyDiv w:val="1"/>
      <w:marLeft w:val="0"/>
      <w:marRight w:val="0"/>
      <w:marTop w:val="0"/>
      <w:marBottom w:val="0"/>
      <w:divBdr>
        <w:top w:val="none" w:sz="0" w:space="0" w:color="auto"/>
        <w:left w:val="none" w:sz="0" w:space="0" w:color="auto"/>
        <w:bottom w:val="none" w:sz="0" w:space="0" w:color="auto"/>
        <w:right w:val="none" w:sz="0" w:space="0" w:color="auto"/>
      </w:divBdr>
    </w:div>
    <w:div w:id="21091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CCF3-B1E5-424D-AECD-C981F55AC7DB}">
  <ds:schemaRefs>
    <ds:schemaRef ds:uri="http://schemas.microsoft.com/sharepoint/v3/contenttype/forms"/>
  </ds:schemaRefs>
</ds:datastoreItem>
</file>

<file path=customXml/itemProps2.xml><?xml version="1.0" encoding="utf-8"?>
<ds:datastoreItem xmlns:ds="http://schemas.openxmlformats.org/officeDocument/2006/customXml" ds:itemID="{5A88E4ED-1DC4-4474-8BA9-A66E629F3C69}">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13DED2DC-CEF2-4589-91EA-D6844B311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2BD49-3CD3-442F-BA60-5F565219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7316</Words>
  <Characters>40240</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Esther Jaimes Valencia</dc:creator>
  <cp:keywords/>
  <dc:description/>
  <cp:lastModifiedBy>Sonia Esther Jaimes Valencia</cp:lastModifiedBy>
  <cp:revision>3</cp:revision>
  <dcterms:created xsi:type="dcterms:W3CDTF">2023-05-11T21:20:00Z</dcterms:created>
  <dcterms:modified xsi:type="dcterms:W3CDTF">2023-05-11T21:23:00Z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