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013CD" w14:textId="2DE9564D" w:rsidR="000C5DB7" w:rsidRDefault="00661782" w:rsidP="00307995">
      <w:pPr>
        <w:pStyle w:val="Sinespaciado"/>
      </w:pPr>
      <w:bookmarkStart w:id="0" w:name="_GoBack"/>
      <w:bookmarkEnd w:id="0"/>
      <w:r>
        <w:t>m</w:t>
      </w:r>
      <w:r>
        <w:rPr>
          <w:caps w:val="0"/>
        </w:rPr>
        <w:t>agistrado ponente</w:t>
      </w:r>
      <w:r w:rsidR="000C5DB7" w:rsidRPr="000C5DB7">
        <w:t>: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6FC3CBEB" w:rsidR="000C5DB7" w:rsidRPr="00661782" w:rsidRDefault="0077624B" w:rsidP="000C5DB7">
      <w:pPr>
        <w:spacing w:line="276" w:lineRule="auto"/>
        <w:contextualSpacing/>
        <w:rPr>
          <w:b/>
          <w:sz w:val="24"/>
          <w:szCs w:val="24"/>
        </w:rPr>
      </w:pPr>
      <w:r w:rsidRPr="00661782">
        <w:rPr>
          <w:b/>
          <w:sz w:val="24"/>
          <w:szCs w:val="24"/>
        </w:rPr>
        <w:t>Bogotá D.C.,</w:t>
      </w:r>
      <w:r w:rsidR="005C726E" w:rsidRPr="00661782">
        <w:rPr>
          <w:b/>
          <w:sz w:val="24"/>
          <w:szCs w:val="24"/>
        </w:rPr>
        <w:t xml:space="preserve"> </w:t>
      </w:r>
      <w:r w:rsidR="00701587">
        <w:rPr>
          <w:b/>
          <w:sz w:val="24"/>
          <w:szCs w:val="24"/>
        </w:rPr>
        <w:t>treinta y uno (31</w:t>
      </w:r>
      <w:r w:rsidR="00DF0BF4" w:rsidRPr="00661782">
        <w:rPr>
          <w:b/>
          <w:sz w:val="24"/>
          <w:szCs w:val="24"/>
        </w:rPr>
        <w:t xml:space="preserve">) de </w:t>
      </w:r>
      <w:r w:rsidR="00FF1667">
        <w:rPr>
          <w:b/>
          <w:sz w:val="24"/>
          <w:szCs w:val="24"/>
        </w:rPr>
        <w:t xml:space="preserve">mayo </w:t>
      </w:r>
      <w:r w:rsidR="000C5DB7" w:rsidRPr="00661782">
        <w:rPr>
          <w:b/>
          <w:sz w:val="24"/>
          <w:szCs w:val="24"/>
        </w:rPr>
        <w:t xml:space="preserve">de dos mil </w:t>
      </w:r>
      <w:r w:rsidR="00C32798" w:rsidRPr="00661782">
        <w:rPr>
          <w:b/>
          <w:sz w:val="24"/>
          <w:szCs w:val="24"/>
        </w:rPr>
        <w:t>veinti</w:t>
      </w:r>
      <w:r w:rsidR="00C32798">
        <w:rPr>
          <w:b/>
          <w:sz w:val="24"/>
          <w:szCs w:val="24"/>
        </w:rPr>
        <w:t>trés</w:t>
      </w:r>
      <w:r w:rsidR="00661782" w:rsidRPr="00661782">
        <w:rPr>
          <w:b/>
          <w:sz w:val="24"/>
          <w:szCs w:val="24"/>
        </w:rPr>
        <w:t xml:space="preserve"> </w:t>
      </w:r>
      <w:r w:rsidR="000C5DB7" w:rsidRPr="00661782">
        <w:rPr>
          <w:b/>
          <w:sz w:val="24"/>
          <w:szCs w:val="24"/>
        </w:rPr>
        <w:t>(</w:t>
      </w:r>
      <w:r w:rsidR="000259CF" w:rsidRPr="00661782">
        <w:rPr>
          <w:b/>
          <w:sz w:val="24"/>
          <w:szCs w:val="24"/>
        </w:rPr>
        <w:t>202</w:t>
      </w:r>
      <w:r w:rsidR="00C32798">
        <w:rPr>
          <w:b/>
          <w:sz w:val="24"/>
          <w:szCs w:val="24"/>
        </w:rPr>
        <w:t>3</w:t>
      </w:r>
      <w:r w:rsidR="000C5DB7" w:rsidRPr="00661782">
        <w:rPr>
          <w:b/>
          <w:sz w:val="24"/>
          <w:szCs w:val="24"/>
        </w:rPr>
        <w:t>).</w:t>
      </w:r>
    </w:p>
    <w:p w14:paraId="0A37501D" w14:textId="77777777" w:rsidR="00F91B32" w:rsidRPr="0036421B" w:rsidRDefault="00F91B32" w:rsidP="000C5DB7">
      <w:pPr>
        <w:spacing w:line="276" w:lineRule="auto"/>
        <w:contextualSpacing/>
        <w:rPr>
          <w:sz w:val="24"/>
          <w:szCs w:val="24"/>
        </w:rPr>
      </w:pPr>
    </w:p>
    <w:p w14:paraId="1C6BD057" w14:textId="77777777" w:rsidR="00701587" w:rsidRPr="00701587" w:rsidRDefault="00701587" w:rsidP="00701587">
      <w:pPr>
        <w:tabs>
          <w:tab w:val="left" w:pos="1985"/>
        </w:tabs>
        <w:contextualSpacing/>
        <w:rPr>
          <w:rFonts w:eastAsia="Times New Roman"/>
          <w:bCs/>
          <w:sz w:val="24"/>
          <w:szCs w:val="24"/>
        </w:rPr>
      </w:pPr>
      <w:r w:rsidRPr="00701587">
        <w:rPr>
          <w:rFonts w:eastAsia="Times New Roman"/>
          <w:b/>
          <w:sz w:val="24"/>
          <w:szCs w:val="24"/>
        </w:rPr>
        <w:t>Radicado número:</w:t>
      </w:r>
      <w:r w:rsidRPr="00701587">
        <w:rPr>
          <w:rFonts w:eastAsia="Times New Roman"/>
          <w:b/>
          <w:sz w:val="24"/>
          <w:szCs w:val="24"/>
        </w:rPr>
        <w:tab/>
      </w:r>
      <w:r w:rsidRPr="00701587">
        <w:rPr>
          <w:rFonts w:eastAsia="Times New Roman"/>
          <w:b/>
          <w:sz w:val="24"/>
          <w:szCs w:val="24"/>
        </w:rPr>
        <w:tab/>
      </w:r>
      <w:r w:rsidRPr="00701587">
        <w:rPr>
          <w:rFonts w:eastAsia="Times New Roman"/>
          <w:bCs/>
          <w:sz w:val="24"/>
          <w:szCs w:val="24"/>
        </w:rPr>
        <w:t>11001-03-15-000-2023-01505-00.</w:t>
      </w:r>
    </w:p>
    <w:p w14:paraId="6F245027" w14:textId="77777777" w:rsidR="00701587" w:rsidRPr="00701587" w:rsidRDefault="00701587" w:rsidP="00701587">
      <w:pPr>
        <w:tabs>
          <w:tab w:val="left" w:pos="1985"/>
        </w:tabs>
        <w:ind w:left="1980" w:hanging="1980"/>
        <w:contextualSpacing/>
        <w:rPr>
          <w:rFonts w:eastAsia="Times New Roman"/>
          <w:sz w:val="24"/>
          <w:szCs w:val="24"/>
        </w:rPr>
      </w:pPr>
      <w:r w:rsidRPr="00701587">
        <w:rPr>
          <w:rFonts w:eastAsia="Times New Roman"/>
          <w:b/>
          <w:sz w:val="24"/>
          <w:szCs w:val="24"/>
        </w:rPr>
        <w:t>Accionantes:</w:t>
      </w:r>
      <w:r w:rsidRPr="00701587">
        <w:rPr>
          <w:rFonts w:eastAsia="Times New Roman"/>
          <w:b/>
          <w:sz w:val="24"/>
          <w:szCs w:val="24"/>
        </w:rPr>
        <w:tab/>
      </w:r>
      <w:r w:rsidRPr="00701587">
        <w:rPr>
          <w:rFonts w:eastAsia="Times New Roman"/>
          <w:b/>
          <w:sz w:val="24"/>
          <w:szCs w:val="24"/>
        </w:rPr>
        <w:tab/>
      </w:r>
      <w:r w:rsidRPr="00701587">
        <w:rPr>
          <w:rFonts w:eastAsia="Times New Roman"/>
          <w:b/>
          <w:sz w:val="24"/>
          <w:szCs w:val="24"/>
        </w:rPr>
        <w:tab/>
      </w:r>
      <w:r w:rsidRPr="00701587">
        <w:rPr>
          <w:rFonts w:eastAsia="Times New Roman"/>
          <w:b/>
          <w:sz w:val="24"/>
          <w:szCs w:val="24"/>
        </w:rPr>
        <w:tab/>
      </w:r>
      <w:r w:rsidRPr="00701587">
        <w:rPr>
          <w:rFonts w:eastAsia="Times New Roman"/>
          <w:sz w:val="24"/>
          <w:szCs w:val="24"/>
        </w:rPr>
        <w:t>Luis Felipe Torres Oquendo y otros.</w:t>
      </w:r>
    </w:p>
    <w:p w14:paraId="5F23CAFF" w14:textId="77777777" w:rsidR="00701587" w:rsidRPr="00701587" w:rsidRDefault="00701587" w:rsidP="00701587">
      <w:pPr>
        <w:tabs>
          <w:tab w:val="left" w:pos="1985"/>
        </w:tabs>
        <w:ind w:left="2832" w:hanging="2832"/>
        <w:rPr>
          <w:rFonts w:eastAsia="Times New Roman"/>
          <w:bCs/>
          <w:sz w:val="24"/>
          <w:szCs w:val="24"/>
        </w:rPr>
      </w:pPr>
      <w:r w:rsidRPr="00701587">
        <w:rPr>
          <w:rFonts w:eastAsia="Times New Roman"/>
          <w:b/>
          <w:sz w:val="24"/>
          <w:szCs w:val="24"/>
        </w:rPr>
        <w:t>Accionados:</w:t>
      </w:r>
      <w:r w:rsidRPr="00701587">
        <w:rPr>
          <w:rFonts w:eastAsia="Times New Roman"/>
          <w:b/>
          <w:sz w:val="24"/>
          <w:szCs w:val="24"/>
        </w:rPr>
        <w:tab/>
      </w:r>
      <w:r w:rsidRPr="00701587">
        <w:rPr>
          <w:rFonts w:eastAsia="Times New Roman"/>
          <w:b/>
          <w:sz w:val="24"/>
          <w:szCs w:val="24"/>
        </w:rPr>
        <w:tab/>
      </w:r>
      <w:r w:rsidRPr="00701587">
        <w:rPr>
          <w:rFonts w:eastAsia="Times New Roman"/>
          <w:sz w:val="24"/>
          <w:szCs w:val="24"/>
          <w:lang w:val="es-ES" w:eastAsia="en-US"/>
        </w:rPr>
        <w:t>Juzgado Primero Administrativo del Circuito de Barranquilla y Tribunal Administrativo del Atlántico, Sala de Decisión A.</w:t>
      </w:r>
    </w:p>
    <w:p w14:paraId="525C4D72" w14:textId="77777777" w:rsidR="00C32798" w:rsidRPr="00987D75" w:rsidRDefault="00C32798" w:rsidP="00C32798">
      <w:pPr>
        <w:ind w:left="1985" w:hanging="1985"/>
        <w:contextualSpacing/>
        <w:rPr>
          <w:b/>
          <w:sz w:val="24"/>
          <w:szCs w:val="24"/>
        </w:rPr>
      </w:pPr>
      <w:r w:rsidRPr="00987D75">
        <w:rPr>
          <w:b/>
          <w:sz w:val="24"/>
          <w:szCs w:val="24"/>
        </w:rPr>
        <w:t xml:space="preserve">Referencia: </w:t>
      </w:r>
      <w:r w:rsidRPr="00987D75">
        <w:rPr>
          <w:b/>
          <w:sz w:val="24"/>
          <w:szCs w:val="24"/>
        </w:rPr>
        <w:tab/>
      </w:r>
      <w:r>
        <w:rPr>
          <w:b/>
          <w:sz w:val="24"/>
          <w:szCs w:val="24"/>
        </w:rPr>
        <w:tab/>
      </w:r>
      <w:r>
        <w:rPr>
          <w:b/>
          <w:sz w:val="24"/>
          <w:szCs w:val="24"/>
        </w:rPr>
        <w:tab/>
      </w:r>
      <w:r w:rsidRPr="00987D75">
        <w:rPr>
          <w:sz w:val="24"/>
          <w:szCs w:val="24"/>
        </w:rPr>
        <w:t>Acción de tutela.</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34377643" w14:textId="77777777" w:rsidR="00701587" w:rsidRDefault="00701587" w:rsidP="00610925">
      <w:pPr>
        <w:rPr>
          <w:sz w:val="24"/>
          <w:szCs w:val="24"/>
        </w:rPr>
      </w:pPr>
    </w:p>
    <w:p w14:paraId="74E74902" w14:textId="403F1895" w:rsidR="009D0CB8" w:rsidRDefault="00701587" w:rsidP="00610925">
      <w:pPr>
        <w:rPr>
          <w:sz w:val="24"/>
          <w:szCs w:val="24"/>
        </w:rPr>
      </w:pPr>
      <w:r>
        <w:rPr>
          <w:sz w:val="24"/>
          <w:szCs w:val="24"/>
        </w:rPr>
        <w:t>La parte accionante</w:t>
      </w:r>
      <w:r>
        <w:rPr>
          <w:rFonts w:eastAsia="Times New Roman"/>
          <w:bCs/>
          <w:sz w:val="24"/>
          <w:szCs w:val="24"/>
        </w:rPr>
        <w:t xml:space="preserve"> por medio de apoderado</w:t>
      </w:r>
      <w:r w:rsidR="00C66191">
        <w:rPr>
          <w:rFonts w:eastAsia="Times New Roman"/>
          <w:bCs/>
          <w:sz w:val="24"/>
          <w:szCs w:val="24"/>
        </w:rPr>
        <w:t xml:space="preserve"> </w:t>
      </w:r>
      <w:r w:rsidR="004A24E0">
        <w:rPr>
          <w:sz w:val="24"/>
          <w:szCs w:val="24"/>
        </w:rPr>
        <w:t>presentó</w:t>
      </w:r>
      <w:r w:rsidR="00A57CD6">
        <w:rPr>
          <w:sz w:val="24"/>
          <w:szCs w:val="24"/>
        </w:rPr>
        <w:t xml:space="preserve"> el </w:t>
      </w:r>
      <w:r>
        <w:rPr>
          <w:sz w:val="24"/>
          <w:szCs w:val="24"/>
        </w:rPr>
        <w:t>26</w:t>
      </w:r>
      <w:r w:rsidR="00FF1667">
        <w:rPr>
          <w:sz w:val="24"/>
          <w:szCs w:val="24"/>
        </w:rPr>
        <w:t xml:space="preserve"> de mayo</w:t>
      </w:r>
      <w:r w:rsidR="00C32798">
        <w:rPr>
          <w:sz w:val="24"/>
          <w:szCs w:val="24"/>
        </w:rPr>
        <w:t xml:space="preserve"> de 2023</w:t>
      </w:r>
      <w:r w:rsidR="00C32798">
        <w:rPr>
          <w:rStyle w:val="Refdenotaalpie"/>
          <w:sz w:val="24"/>
          <w:szCs w:val="24"/>
        </w:rPr>
        <w:footnoteReference w:id="1"/>
      </w:r>
      <w:r w:rsidR="00C32798">
        <w:rPr>
          <w:sz w:val="24"/>
          <w:szCs w:val="24"/>
        </w:rPr>
        <w:t>,</w:t>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FF1667">
        <w:rPr>
          <w:sz w:val="24"/>
          <w:szCs w:val="24"/>
        </w:rPr>
        <w:t xml:space="preserve">día </w:t>
      </w:r>
      <w:r>
        <w:rPr>
          <w:sz w:val="24"/>
          <w:szCs w:val="24"/>
        </w:rPr>
        <w:t>23</w:t>
      </w:r>
      <w:r w:rsidR="005A2827">
        <w:rPr>
          <w:sz w:val="24"/>
          <w:szCs w:val="24"/>
        </w:rPr>
        <w:t xml:space="preserve"> del mismo mes y</w:t>
      </w:r>
      <w:r w:rsidR="004A24E0">
        <w:rPr>
          <w:sz w:val="24"/>
          <w:szCs w:val="24"/>
        </w:rPr>
        <w:t xml:space="preserve"> año</w:t>
      </w:r>
      <w:r w:rsidR="00C32798">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w:t>
      </w:r>
      <w:r w:rsidR="004979E8">
        <w:rPr>
          <w:rStyle w:val="Refdenotaalpie"/>
          <w:sz w:val="24"/>
          <w:szCs w:val="24"/>
        </w:rPr>
        <w:footnoteReference w:id="5"/>
      </w:r>
      <w:r w:rsidR="004A24E0">
        <w:rPr>
          <w:sz w:val="24"/>
          <w:szCs w:val="24"/>
        </w:rPr>
        <w:t xml:space="preserve">,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610925">
      <w:pPr>
        <w:rPr>
          <w:sz w:val="24"/>
          <w:szCs w:val="24"/>
        </w:rPr>
      </w:pPr>
    </w:p>
    <w:p w14:paraId="7EAC6B89" w14:textId="77777777" w:rsidR="00382327" w:rsidRPr="00CF649F" w:rsidRDefault="00382327" w:rsidP="00610925">
      <w:pPr>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6"/>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610925">
      <w:pPr>
        <w:rPr>
          <w:sz w:val="24"/>
          <w:szCs w:val="24"/>
          <w:lang w:val="es-ES_tradnl"/>
        </w:rPr>
      </w:pPr>
    </w:p>
    <w:p w14:paraId="60128827" w14:textId="67DFE5A8" w:rsidR="00382327" w:rsidRDefault="00382327" w:rsidP="00610925">
      <w:pPr>
        <w:rPr>
          <w:sz w:val="24"/>
          <w:szCs w:val="24"/>
          <w:lang w:val="es-ES_tradnl"/>
        </w:rPr>
      </w:pPr>
      <w:r w:rsidRPr="00735B1A">
        <w:rPr>
          <w:b/>
          <w:bCs/>
          <w:sz w:val="24"/>
          <w:szCs w:val="24"/>
        </w:rPr>
        <w:t>Notifíquese y cúmplase</w:t>
      </w:r>
      <w:r w:rsidRPr="00735B1A">
        <w:rPr>
          <w:sz w:val="24"/>
          <w:szCs w:val="24"/>
          <w:lang w:val="es-ES_tradnl"/>
        </w:rPr>
        <w:t> </w:t>
      </w:r>
    </w:p>
    <w:p w14:paraId="137A49B5" w14:textId="5AE09248" w:rsidR="00610925" w:rsidRDefault="00610925" w:rsidP="00610925">
      <w:pPr>
        <w:rPr>
          <w:sz w:val="24"/>
          <w:szCs w:val="24"/>
          <w:lang w:val="es-ES_tradnl"/>
        </w:rPr>
      </w:pPr>
    </w:p>
    <w:p w14:paraId="4F6C8B23" w14:textId="77777777" w:rsidR="005A2827" w:rsidRPr="00735B1A" w:rsidRDefault="005A2827" w:rsidP="00610925">
      <w:pPr>
        <w:rPr>
          <w:sz w:val="24"/>
          <w:szCs w:val="24"/>
          <w:lang w:val="es-ES_tradnl"/>
        </w:rPr>
      </w:pPr>
    </w:p>
    <w:p w14:paraId="12499F6D" w14:textId="77777777" w:rsidR="00382327" w:rsidRPr="00735B1A" w:rsidRDefault="00382327" w:rsidP="00610925">
      <w:pPr>
        <w:jc w:val="center"/>
        <w:rPr>
          <w:sz w:val="24"/>
          <w:szCs w:val="24"/>
          <w:lang w:val="es-ES_tradnl"/>
        </w:rPr>
      </w:pPr>
      <w:r w:rsidRPr="00735B1A">
        <w:rPr>
          <w:b/>
          <w:bCs/>
          <w:sz w:val="24"/>
          <w:szCs w:val="24"/>
        </w:rPr>
        <w:t>JAIME ENRIQUE RODRÍGUEZ NAVAS</w:t>
      </w:r>
    </w:p>
    <w:p w14:paraId="2E9B3979" w14:textId="5F1B69F1" w:rsidR="00FF1667" w:rsidRDefault="00382327" w:rsidP="004E3517">
      <w:pPr>
        <w:jc w:val="center"/>
        <w:rPr>
          <w:b/>
          <w:bCs/>
          <w:sz w:val="24"/>
          <w:szCs w:val="24"/>
        </w:rPr>
      </w:pPr>
      <w:r w:rsidRPr="00735B1A">
        <w:rPr>
          <w:b/>
          <w:bCs/>
          <w:sz w:val="24"/>
          <w:szCs w:val="24"/>
        </w:rPr>
        <w:t>Magistrado</w:t>
      </w:r>
    </w:p>
    <w:sectPr w:rsidR="00FF1667" w:rsidSect="00661782">
      <w:headerReference w:type="default" r:id="rId11"/>
      <w:footerReference w:type="default" r:id="rId12"/>
      <w:headerReference w:type="first" r:id="rId13"/>
      <w:footerReference w:type="first" r:id="rId14"/>
      <w:pgSz w:w="12242" w:h="18722" w:code="14"/>
      <w:pgMar w:top="1417" w:right="1701" w:bottom="1417"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A2C68" w14:textId="77777777" w:rsidR="003F3D53" w:rsidRDefault="003F3D53" w:rsidP="00117091">
      <w:r>
        <w:separator/>
      </w:r>
    </w:p>
  </w:endnote>
  <w:endnote w:type="continuationSeparator" w:id="0">
    <w:p w14:paraId="3AFB1275" w14:textId="77777777" w:rsidR="003F3D53" w:rsidRDefault="003F3D5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8CE05" w14:textId="77777777" w:rsidR="003F3D53" w:rsidRDefault="003F3D53" w:rsidP="00117091">
      <w:r>
        <w:separator/>
      </w:r>
    </w:p>
  </w:footnote>
  <w:footnote w:type="continuationSeparator" w:id="0">
    <w:p w14:paraId="1E8E3D12" w14:textId="77777777" w:rsidR="003F3D53" w:rsidRDefault="003F3D53" w:rsidP="00117091">
      <w:r>
        <w:continuationSeparator/>
      </w:r>
    </w:p>
  </w:footnote>
  <w:footnote w:id="1">
    <w:p w14:paraId="59265821" w14:textId="72D1710E" w:rsidR="00C32798" w:rsidRPr="00AF39C6" w:rsidRDefault="00C32798" w:rsidP="00C32798">
      <w:pPr>
        <w:pStyle w:val="Textonotapie"/>
      </w:pPr>
      <w:r w:rsidRPr="00AF39C6">
        <w:rPr>
          <w:rStyle w:val="Refdenotaalpie"/>
        </w:rPr>
        <w:footnoteRef/>
      </w:r>
      <w:r w:rsidRPr="00AF39C6">
        <w:t xml:space="preserve"> Archivo</w:t>
      </w:r>
      <w:r w:rsidR="00701587">
        <w:t>s</w:t>
      </w:r>
      <w:r w:rsidRPr="00AF39C6">
        <w:t xml:space="preserve"> electrónico</w:t>
      </w:r>
      <w:r w:rsidR="00701587">
        <w:t>s</w:t>
      </w:r>
      <w:r w:rsidRPr="00AF39C6">
        <w:t xml:space="preserve"> ubicado</w:t>
      </w:r>
      <w:r w:rsidR="00701587">
        <w:t>s</w:t>
      </w:r>
      <w:r w:rsidRPr="00AF39C6">
        <w:t xml:space="preserve"> </w:t>
      </w:r>
      <w:r w:rsidR="009930C6">
        <w:t xml:space="preserve">en </w:t>
      </w:r>
      <w:r w:rsidR="00701587">
        <w:t>los</w:t>
      </w:r>
      <w:r w:rsidR="009930C6">
        <w:t xml:space="preserve"> índice</w:t>
      </w:r>
      <w:r w:rsidR="00701587">
        <w:t>s</w:t>
      </w:r>
      <w:r w:rsidR="009930C6">
        <w:t xml:space="preserve"> </w:t>
      </w:r>
      <w:r w:rsidR="00FF1667">
        <w:t>3</w:t>
      </w:r>
      <w:r w:rsidR="00701587">
        <w:t>4 y 35</w:t>
      </w:r>
      <w:r w:rsidRPr="00AF39C6">
        <w:t xml:space="preserve"> del aplicativo SAMAI, identificado</w:t>
      </w:r>
      <w:r w:rsidR="00701587">
        <w:t>s</w:t>
      </w:r>
      <w:r w:rsidRPr="00AF39C6">
        <w:t xml:space="preserve"> con certificado</w:t>
      </w:r>
      <w:r w:rsidR="00701587">
        <w:t>s</w:t>
      </w:r>
      <w:r w:rsidR="00C66191">
        <w:t>:</w:t>
      </w:r>
      <w:r w:rsidR="00701587" w:rsidRPr="00701587">
        <w:rPr>
          <w:rFonts w:ascii="Segoe UI" w:hAnsi="Segoe UI" w:cs="Segoe UI"/>
          <w:color w:val="000066"/>
          <w:szCs w:val="16"/>
          <w:shd w:val="clear" w:color="auto" w:fill="FFFFFF"/>
        </w:rPr>
        <w:t xml:space="preserve"> </w:t>
      </w:r>
      <w:r w:rsidR="00701587" w:rsidRPr="00701587">
        <w:t>B75FD1289E3E841C 4F00142C39D680DA A6DF651CFCAA48C3 6A8B27F221F3EAB6</w:t>
      </w:r>
      <w:r w:rsidR="00701587">
        <w:t xml:space="preserve">, </w:t>
      </w:r>
      <w:r w:rsidR="00701587" w:rsidRPr="00701587">
        <w:t>08BF6702AACEDAA6 98E2316FD9690723 E6DE28D59EEEA6FE 2328F913A00F91D2</w:t>
      </w:r>
      <w:r w:rsidR="00701587">
        <w:t xml:space="preserve"> y </w:t>
      </w:r>
      <w:r w:rsidR="00701587" w:rsidRPr="00701587">
        <w:tab/>
        <w:t>FB58FB8A41D835C1 B11E6E344913472F 4EABAA2324D130D1 9ECC5C23A76FCD9E</w:t>
      </w:r>
      <w:r w:rsidRPr="00AF39C6">
        <w:t xml:space="preserve">. Escrito de impugnación remitido a este Despacho el </w:t>
      </w:r>
      <w:r w:rsidR="00701587">
        <w:t>31</w:t>
      </w:r>
      <w:r w:rsidR="009930C6">
        <w:t xml:space="preserve"> de m</w:t>
      </w:r>
      <w:r w:rsidR="00FF1667">
        <w:t>ayo</w:t>
      </w:r>
      <w:r>
        <w:t xml:space="preserve"> de 2023</w:t>
      </w:r>
      <w:r w:rsidRPr="00AF39C6">
        <w:t xml:space="preserve">. Archivo electrónico que contiene el paso al Despacho, ubicado en el índice </w:t>
      </w:r>
      <w:r w:rsidR="00FF1667">
        <w:t>3</w:t>
      </w:r>
      <w:r w:rsidR="00701587">
        <w:t>6</w:t>
      </w:r>
      <w:r w:rsidRPr="00AF39C6">
        <w:t xml:space="preserve"> del aplicativo SAMAI, identificado con certificado</w:t>
      </w:r>
      <w:r w:rsidR="00701587">
        <w:t xml:space="preserve"> </w:t>
      </w:r>
      <w:r w:rsidR="00701587" w:rsidRPr="00701587">
        <w:t>E80A6FBE35A541E9 F9EA77DB37BBD047 82DC2EB472594C2E 3BC5189FA35C3DC7</w:t>
      </w:r>
      <w:r w:rsidRPr="00AF39C6">
        <w:rPr>
          <w:shd w:val="clear" w:color="auto" w:fill="FFFFFF"/>
        </w:rPr>
        <w:t>.</w:t>
      </w:r>
    </w:p>
  </w:footnote>
  <w:footnote w:id="2">
    <w:p w14:paraId="09FACA5C" w14:textId="33CEEB97" w:rsidR="00C32798" w:rsidRDefault="00C32798" w:rsidP="00C32798">
      <w:pPr>
        <w:pStyle w:val="Textonotapie"/>
      </w:pPr>
      <w:r>
        <w:rPr>
          <w:rStyle w:val="Refdenotaalpie"/>
        </w:rPr>
        <w:footnoteRef/>
      </w:r>
      <w:r>
        <w:t xml:space="preserve"> Archivo</w:t>
      </w:r>
      <w:r w:rsidR="00FF1667">
        <w:t>s</w:t>
      </w:r>
      <w:r>
        <w:t xml:space="preserve"> electrónico</w:t>
      </w:r>
      <w:r w:rsidR="00FF1667">
        <w:t>s</w:t>
      </w:r>
      <w:r>
        <w:t xml:space="preserve"> ubicado</w:t>
      </w:r>
      <w:r w:rsidR="00FF1667">
        <w:t>s</w:t>
      </w:r>
      <w:r>
        <w:t xml:space="preserve"> en </w:t>
      </w:r>
      <w:r w:rsidR="00701587">
        <w:t>los índices 29 y 31</w:t>
      </w:r>
      <w:r>
        <w:t xml:space="preserve"> del aplicativo SAMAI, identificado</w:t>
      </w:r>
      <w:r w:rsidR="00FF1667">
        <w:t>s</w:t>
      </w:r>
      <w:r>
        <w:t xml:space="preserve"> con certificado</w:t>
      </w:r>
      <w:r w:rsidR="00FF1667">
        <w:t>s</w:t>
      </w:r>
      <w:r>
        <w:t>:</w:t>
      </w:r>
      <w:r w:rsidR="00701587" w:rsidRPr="00701587">
        <w:rPr>
          <w:rFonts w:ascii="Segoe UI" w:hAnsi="Segoe UI" w:cs="Segoe UI"/>
          <w:color w:val="000066"/>
          <w:szCs w:val="16"/>
          <w:shd w:val="clear" w:color="auto" w:fill="FFFFFF"/>
        </w:rPr>
        <w:t xml:space="preserve"> </w:t>
      </w:r>
      <w:r w:rsidR="00701587" w:rsidRPr="00701587">
        <w:t>447BC5D25B2831DE 63CA79EE6FDAF782 A940031E5974C53F 58D9222CD5FE47D2</w:t>
      </w:r>
      <w:r w:rsidR="00701587">
        <w:t xml:space="preserve">, </w:t>
      </w:r>
      <w:r w:rsidR="00701587" w:rsidRPr="00701587">
        <w:t>6A90AA6487811843 ECCC0AEB7306E091 3444CA253BEB1C49 6EAB5A67A9752640</w:t>
      </w:r>
      <w:r w:rsidR="00701587">
        <w:t xml:space="preserve">, </w:t>
      </w:r>
      <w:r w:rsidR="00701587" w:rsidRPr="00701587">
        <w:t>071153D5B0869DAC 36126520784E2224 C422C564425B5871 FCF5E5DD226D1C19</w:t>
      </w:r>
      <w:r w:rsidR="00701587">
        <w:t xml:space="preserve"> y </w:t>
      </w:r>
      <w:r w:rsidR="00701587" w:rsidRPr="00701587">
        <w:t>17303789CA4F3DF1 2F251418FE1BD55C CAE9C7630AFFDE42 47A3CF15EB260B88</w:t>
      </w:r>
      <w:r w:rsidR="00C66191">
        <w:t>.</w:t>
      </w:r>
    </w:p>
  </w:footnote>
  <w:footnote w:id="3">
    <w:p w14:paraId="149D0EE6" w14:textId="1C13810E" w:rsidR="00650284" w:rsidRPr="003D6375" w:rsidRDefault="00650284" w:rsidP="004A24E0">
      <w:pPr>
        <w:rPr>
          <w:rFonts w:ascii="Times New Roman" w:eastAsia="Times New Roman" w:hAnsi="Times New Roman" w:cs="Times New Roman"/>
          <w:color w:val="000000"/>
          <w:lang w:eastAsia="en-US"/>
        </w:rPr>
      </w:pPr>
      <w:r w:rsidRPr="00A929E3">
        <w:rPr>
          <w:rStyle w:val="Refdenotaalpie"/>
        </w:rPr>
        <w:footnoteRef/>
      </w:r>
      <w:r w:rsidRPr="00A929E3">
        <w:t xml:space="preserve"> </w:t>
      </w:r>
      <w:r w:rsidRPr="003D6375">
        <w:rPr>
          <w:rFonts w:eastAsia="Times New Roman"/>
          <w:color w:val="000000"/>
          <w:lang w:eastAsia="en-US"/>
        </w:rPr>
        <w:t>ARTÍCULO 31. “</w:t>
      </w:r>
      <w:r w:rsidRPr="00A929E3">
        <w:rPr>
          <w:rFonts w:eastAsia="Times New Roman"/>
          <w:color w:val="000000"/>
          <w:lang w:val="es-MX" w:eastAsia="en-US"/>
        </w:rPr>
        <w:t>I</w:t>
      </w:r>
      <w:proofErr w:type="spellStart"/>
      <w:r w:rsidRPr="003D6375">
        <w:rPr>
          <w:rFonts w:eastAsia="Times New Roman"/>
          <w:color w:val="000000"/>
          <w:lang w:eastAsia="en-US"/>
        </w:rPr>
        <w:t>mpugnaci</w:t>
      </w:r>
      <w:r w:rsidR="00D55E64" w:rsidRPr="003D6375">
        <w:rPr>
          <w:rFonts w:eastAsia="Times New Roman"/>
          <w:color w:val="000000"/>
          <w:lang w:eastAsia="en-US"/>
        </w:rPr>
        <w:t>ó</w:t>
      </w:r>
      <w:r w:rsidRPr="003D6375">
        <w:rPr>
          <w:rFonts w:eastAsia="Times New Roman"/>
          <w:color w:val="000000"/>
          <w:lang w:eastAsia="en-US"/>
        </w:rPr>
        <w:t>n</w:t>
      </w:r>
      <w:proofErr w:type="spellEnd"/>
      <w:r w:rsidRPr="003D6375">
        <w:rPr>
          <w:rFonts w:eastAsia="Times New Roman"/>
          <w:color w:val="000000"/>
          <w:lang w:eastAsia="en-US"/>
        </w:rPr>
        <w:t xml:space="preserve"> del fallo. Dentro de los 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3D6375" w:rsidRDefault="00650284" w:rsidP="004979E8">
      <w:pPr>
        <w:jc w:val="left"/>
        <w:rPr>
          <w:rFonts w:ascii="Times New Roman" w:eastAsia="Times New Roman" w:hAnsi="Times New Roman" w:cs="Times New Roman"/>
          <w:color w:val="000000"/>
          <w:lang w:eastAsia="en-US"/>
        </w:rPr>
      </w:pPr>
      <w:r w:rsidRPr="00A929E3">
        <w:rPr>
          <w:rStyle w:val="Refdenotaalpie"/>
        </w:rPr>
        <w:footnoteRef/>
      </w:r>
      <w:r w:rsidRPr="00A929E3">
        <w:t xml:space="preserve"> </w:t>
      </w:r>
      <w:r w:rsidRPr="003D6375">
        <w:rPr>
          <w:rFonts w:eastAsia="Times New Roman"/>
          <w:color w:val="000000"/>
          <w:lang w:eastAsia="en-US"/>
        </w:rPr>
        <w:t>ARTÍCULO 32. “</w:t>
      </w:r>
      <w:r w:rsidRPr="00A929E3">
        <w:rPr>
          <w:rFonts w:eastAsia="Times New Roman"/>
          <w:color w:val="000000"/>
          <w:lang w:val="es-MX" w:eastAsia="en-US"/>
        </w:rPr>
        <w:t>T</w:t>
      </w:r>
      <w:proofErr w:type="spellStart"/>
      <w:r w:rsidRPr="003D6375">
        <w:rPr>
          <w:rFonts w:eastAsia="Times New Roman"/>
          <w:color w:val="000000"/>
          <w:lang w:eastAsia="en-US"/>
        </w:rPr>
        <w:t>r</w:t>
      </w:r>
      <w:r w:rsidR="00D55E64" w:rsidRPr="003D6375">
        <w:rPr>
          <w:rFonts w:eastAsia="Times New Roman"/>
          <w:color w:val="000000"/>
          <w:lang w:eastAsia="en-US"/>
        </w:rPr>
        <w:t>á</w:t>
      </w:r>
      <w:r w:rsidRPr="003D6375">
        <w:rPr>
          <w:rFonts w:eastAsia="Times New Roman"/>
          <w:color w:val="000000"/>
          <w:lang w:eastAsia="en-US"/>
        </w:rPr>
        <w:t>mite</w:t>
      </w:r>
      <w:proofErr w:type="spellEnd"/>
      <w:r w:rsidRPr="003D6375">
        <w:rPr>
          <w:rFonts w:eastAsia="Times New Roman"/>
          <w:color w:val="000000"/>
          <w:lang w:eastAsia="en-US"/>
        </w:rPr>
        <w:t xml:space="preserve"> de la impugnaci</w:t>
      </w:r>
      <w:r w:rsidR="00D55E64" w:rsidRPr="003D6375">
        <w:rPr>
          <w:rFonts w:eastAsia="Times New Roman"/>
          <w:color w:val="000000"/>
          <w:lang w:eastAsia="en-US"/>
        </w:rPr>
        <w:t>ó</w:t>
      </w:r>
      <w:r w:rsidRPr="003D6375">
        <w:rPr>
          <w:rFonts w:eastAsia="Times New Roman"/>
          <w:color w:val="000000"/>
          <w:lang w:eastAsia="en-US"/>
        </w:rPr>
        <w:t>n. Presentada debidamente la impugnación el juez remitirá el expediente dentro de los dos días siguientes al superior jerárquico correspondiente”.</w:t>
      </w:r>
    </w:p>
  </w:footnote>
  <w:footnote w:id="5">
    <w:p w14:paraId="0A6E6335" w14:textId="6AECB5D1" w:rsidR="004979E8" w:rsidRPr="004979E8" w:rsidRDefault="004979E8" w:rsidP="004979E8">
      <w:pPr>
        <w:pStyle w:val="Textonotapie"/>
        <w:jc w:val="left"/>
        <w:rPr>
          <w:lang w:val="es-MX"/>
        </w:rPr>
      </w:pPr>
      <w:r>
        <w:rPr>
          <w:rStyle w:val="Refdenotaalpie"/>
        </w:rPr>
        <w:footnoteRef/>
      </w:r>
      <w:r>
        <w:t xml:space="preserve"> </w:t>
      </w:r>
      <w:r>
        <w:rPr>
          <w:lang w:val="es-MX"/>
        </w:rPr>
        <w:t>Concordante con el artículo 8 inciso 3 de la Ley 2213 de 2022.</w:t>
      </w:r>
    </w:p>
  </w:footnote>
  <w:footnote w:id="6">
    <w:p w14:paraId="36CE1C55" w14:textId="77777777" w:rsidR="00650284" w:rsidRPr="007C423F" w:rsidRDefault="00650284" w:rsidP="00AF39C6">
      <w:pPr>
        <w:pStyle w:val="Textonotapie"/>
      </w:pPr>
      <w:r w:rsidRPr="007C423F">
        <w:rPr>
          <w:rStyle w:val="Refdenotaalpie"/>
          <w:szCs w:val="16"/>
        </w:rPr>
        <w:footnoteRef/>
      </w:r>
      <w:r w:rsidRPr="007C423F">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AF39C6">
      <w:pPr>
        <w:pStyle w:val="Textonotapie"/>
      </w:pPr>
      <w:r w:rsidRPr="007C423F">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47D31B9A" w14:textId="08D6BEBC" w:rsidR="00E36C97" w:rsidRPr="0058030A" w:rsidRDefault="00650284" w:rsidP="00AF39C6">
      <w:pPr>
        <w:pStyle w:val="Textonotapie"/>
      </w:pPr>
      <w:r w:rsidRPr="00B22A09">
        <w:rPr>
          <w:color w:val="000000"/>
        </w:rPr>
        <w:t>PARÁGRAFO.</w:t>
      </w:r>
      <w:r w:rsidRPr="007C423F">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777777" w:rsidR="00650284" w:rsidRPr="00A15ACE" w:rsidRDefault="00DE5690">
    <w:pPr>
      <w:pStyle w:val="Encabezado"/>
    </w:pPr>
    <w:r>
      <w:rPr>
        <w:noProof/>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5417812B" w14:textId="77777777" w:rsidR="004E3517" w:rsidRPr="00701587" w:rsidRDefault="004E3517" w:rsidP="004E3517">
    <w:pPr>
      <w:tabs>
        <w:tab w:val="center" w:pos="4252"/>
        <w:tab w:val="right" w:pos="8504"/>
      </w:tabs>
      <w:jc w:val="right"/>
      <w:rPr>
        <w:rFonts w:eastAsia="Times New Roman"/>
        <w:i/>
        <w:iCs/>
        <w:sz w:val="20"/>
        <w:szCs w:val="20"/>
      </w:rPr>
    </w:pPr>
    <w:r w:rsidRPr="00701587">
      <w:rPr>
        <w:rFonts w:eastAsia="Times New Roman"/>
        <w:i/>
        <w:iCs/>
        <w:sz w:val="20"/>
        <w:szCs w:val="20"/>
      </w:rPr>
      <w:t>Radicado: 11001-03-15-000-2023-01505-00</w:t>
    </w:r>
  </w:p>
  <w:p w14:paraId="24C32E62" w14:textId="77777777" w:rsidR="004E3517" w:rsidRPr="00701587" w:rsidRDefault="004E3517" w:rsidP="004E3517">
    <w:pPr>
      <w:tabs>
        <w:tab w:val="center" w:pos="3828"/>
        <w:tab w:val="right" w:pos="8504"/>
      </w:tabs>
      <w:jc w:val="right"/>
      <w:rPr>
        <w:rFonts w:eastAsia="Times New Roman"/>
        <w:i/>
        <w:iCs/>
        <w:sz w:val="20"/>
        <w:szCs w:val="20"/>
      </w:rPr>
    </w:pPr>
    <w:r w:rsidRPr="00701587">
      <w:rPr>
        <w:rFonts w:eastAsia="Times New Roman"/>
        <w:i/>
        <w:iCs/>
        <w:sz w:val="20"/>
        <w:szCs w:val="20"/>
      </w:rPr>
      <w:tab/>
    </w:r>
    <w:r w:rsidRPr="00701587">
      <w:rPr>
        <w:rFonts w:eastAsia="Times New Roman"/>
        <w:i/>
        <w:iCs/>
        <w:sz w:val="20"/>
        <w:szCs w:val="20"/>
      </w:rPr>
      <w:tab/>
      <w:t>Accionantes: Luis Felipe Torres Oquendo y otros</w:t>
    </w:r>
  </w:p>
  <w:p w14:paraId="7E6DAA07" w14:textId="0364B8E4" w:rsidR="005A2827" w:rsidRDefault="005A2827" w:rsidP="00E36C97">
    <w:pPr>
      <w:tabs>
        <w:tab w:val="center" w:pos="4252"/>
        <w:tab w:val="right" w:pos="8504"/>
      </w:tabs>
      <w:jc w:val="right"/>
      <w:rPr>
        <w:color w:val="767171"/>
        <w:sz w:val="20"/>
        <w:szCs w:val="20"/>
      </w:rPr>
    </w:pPr>
  </w:p>
  <w:p w14:paraId="4A15C3DE" w14:textId="77777777" w:rsidR="00C66191" w:rsidRPr="00F532EA" w:rsidRDefault="00C66191" w:rsidP="00E36C97">
    <w:pPr>
      <w:tabs>
        <w:tab w:val="center" w:pos="4252"/>
        <w:tab w:val="right" w:pos="8504"/>
      </w:tabs>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1AE4" w14:textId="0C283A39" w:rsidR="00661782" w:rsidRPr="008F2BC8" w:rsidRDefault="00610925" w:rsidP="00661782">
    <w:pPr>
      <w:pStyle w:val="Encabezado"/>
    </w:pPr>
    <w:r>
      <w:rPr>
        <w:noProof/>
      </w:rPr>
      <w:drawing>
        <wp:anchor distT="0" distB="0" distL="114300" distR="114300" simplePos="0" relativeHeight="251658752" behindDoc="1" locked="0" layoutInCell="1" allowOverlap="1" wp14:anchorId="42D488FA" wp14:editId="790A5127">
          <wp:simplePos x="0" y="0"/>
          <wp:positionH relativeFrom="page">
            <wp:posOffset>819150</wp:posOffset>
          </wp:positionH>
          <wp:positionV relativeFrom="paragraph">
            <wp:posOffset>4445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A5A09" w14:textId="41B223B5" w:rsidR="00845238" w:rsidRPr="00845238" w:rsidRDefault="00661782" w:rsidP="00701587">
    <w:pPr>
      <w:pStyle w:val="Encabezado"/>
      <w:rPr>
        <w:rFonts w:eastAsia="Times New Roman"/>
        <w:i/>
        <w:iCs/>
        <w:sz w:val="20"/>
        <w:szCs w:val="20"/>
      </w:rPr>
    </w:pPr>
    <w:r w:rsidRPr="008F2BC8">
      <w:rPr>
        <w:noProof/>
        <w:sz w:val="20"/>
        <w:szCs w:val="20"/>
        <w:lang w:eastAsia="es-ES"/>
      </w:rPr>
      <mc:AlternateContent>
        <mc:Choice Requires="wps">
          <w:drawing>
            <wp:anchor distT="0" distB="0" distL="114300" distR="114300" simplePos="0" relativeHeight="251660800" behindDoc="0" locked="0" layoutInCell="1" allowOverlap="1" wp14:anchorId="427E9C18" wp14:editId="3192F52D">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50B89E"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1641B2C0" w14:textId="77777777" w:rsidR="00701587" w:rsidRPr="00701587" w:rsidRDefault="00701587" w:rsidP="00701587">
    <w:pPr>
      <w:tabs>
        <w:tab w:val="center" w:pos="4252"/>
        <w:tab w:val="right" w:pos="8504"/>
      </w:tabs>
      <w:jc w:val="right"/>
      <w:rPr>
        <w:rFonts w:eastAsia="Times New Roman"/>
        <w:i/>
        <w:iCs/>
        <w:sz w:val="20"/>
        <w:szCs w:val="20"/>
      </w:rPr>
    </w:pPr>
    <w:r w:rsidRPr="00701587">
      <w:rPr>
        <w:rFonts w:eastAsia="Times New Roman"/>
        <w:i/>
        <w:iCs/>
        <w:sz w:val="20"/>
        <w:szCs w:val="20"/>
      </w:rPr>
      <w:t>Radicado: 11001-03-15-000-2023-01505-00</w:t>
    </w:r>
  </w:p>
  <w:p w14:paraId="717334D5" w14:textId="77777777" w:rsidR="00701587" w:rsidRPr="00701587" w:rsidRDefault="00701587" w:rsidP="00701587">
    <w:pPr>
      <w:tabs>
        <w:tab w:val="center" w:pos="3828"/>
        <w:tab w:val="right" w:pos="8504"/>
      </w:tabs>
      <w:jc w:val="right"/>
      <w:rPr>
        <w:rFonts w:eastAsia="Times New Roman"/>
        <w:i/>
        <w:iCs/>
        <w:sz w:val="20"/>
        <w:szCs w:val="20"/>
      </w:rPr>
    </w:pPr>
    <w:r w:rsidRPr="00701587">
      <w:rPr>
        <w:rFonts w:eastAsia="Times New Roman"/>
        <w:i/>
        <w:iCs/>
        <w:sz w:val="20"/>
        <w:szCs w:val="20"/>
      </w:rPr>
      <w:tab/>
    </w:r>
    <w:r w:rsidRPr="00701587">
      <w:rPr>
        <w:rFonts w:eastAsia="Times New Roman"/>
        <w:i/>
        <w:iCs/>
        <w:sz w:val="20"/>
        <w:szCs w:val="20"/>
      </w:rPr>
      <w:tab/>
      <w:t>Accionantes: Luis Felipe Torres Oquendo y otros</w:t>
    </w:r>
  </w:p>
  <w:p w14:paraId="049F31CB" w14:textId="4CE87047" w:rsidR="00650284" w:rsidRPr="00A15ACE" w:rsidRDefault="00650284" w:rsidP="00F1441F">
    <w:pPr>
      <w:pStyle w:val="Encabezado"/>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7BBC1023" w14:textId="77777777" w:rsidR="00661782" w:rsidRDefault="00650284" w:rsidP="007F276C">
    <w:pPr>
      <w:pStyle w:val="Sinespaciado"/>
    </w:pPr>
    <w:r w:rsidRPr="007F276C">
      <w:t>SECCIÓN TERCERA</w:t>
    </w:r>
  </w:p>
  <w:p w14:paraId="2FC4305D" w14:textId="0B0C8E4E" w:rsidR="00650284" w:rsidRPr="007F276C" w:rsidRDefault="00650284" w:rsidP="007F276C">
    <w:pPr>
      <w:pStyle w:val="Sinespaciado"/>
    </w:pPr>
    <w:r w:rsidRPr="007F276C">
      <w:t xml:space="preserve"> SUBSECCIÓN C</w:t>
    </w:r>
  </w:p>
  <w:p w14:paraId="53128261" w14:textId="77777777" w:rsidR="00650284" w:rsidRDefault="00650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08D5"/>
    <w:rsid w:val="0001315F"/>
    <w:rsid w:val="000259CF"/>
    <w:rsid w:val="00031337"/>
    <w:rsid w:val="00032469"/>
    <w:rsid w:val="00044C3F"/>
    <w:rsid w:val="00067C23"/>
    <w:rsid w:val="000705CA"/>
    <w:rsid w:val="000728E0"/>
    <w:rsid w:val="00073869"/>
    <w:rsid w:val="0007395E"/>
    <w:rsid w:val="00083B8F"/>
    <w:rsid w:val="00094E7B"/>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C3C1F"/>
    <w:rsid w:val="001D4E62"/>
    <w:rsid w:val="001F1DA0"/>
    <w:rsid w:val="00201EC3"/>
    <w:rsid w:val="00204935"/>
    <w:rsid w:val="002109F7"/>
    <w:rsid w:val="002230E3"/>
    <w:rsid w:val="00246239"/>
    <w:rsid w:val="00250D3B"/>
    <w:rsid w:val="002604C4"/>
    <w:rsid w:val="00281874"/>
    <w:rsid w:val="0028665C"/>
    <w:rsid w:val="002C12BC"/>
    <w:rsid w:val="002D480B"/>
    <w:rsid w:val="002E1978"/>
    <w:rsid w:val="00307995"/>
    <w:rsid w:val="0031514A"/>
    <w:rsid w:val="0033226B"/>
    <w:rsid w:val="00360658"/>
    <w:rsid w:val="00361478"/>
    <w:rsid w:val="0036421B"/>
    <w:rsid w:val="00374674"/>
    <w:rsid w:val="00382327"/>
    <w:rsid w:val="00383425"/>
    <w:rsid w:val="00384507"/>
    <w:rsid w:val="00387BBC"/>
    <w:rsid w:val="00394A69"/>
    <w:rsid w:val="003A12C4"/>
    <w:rsid w:val="003A38B0"/>
    <w:rsid w:val="003B4515"/>
    <w:rsid w:val="003D0CAC"/>
    <w:rsid w:val="003D1B94"/>
    <w:rsid w:val="003D6375"/>
    <w:rsid w:val="003D66DC"/>
    <w:rsid w:val="003F2BA3"/>
    <w:rsid w:val="003F3D53"/>
    <w:rsid w:val="003F7FF5"/>
    <w:rsid w:val="00402998"/>
    <w:rsid w:val="00405B77"/>
    <w:rsid w:val="004211FA"/>
    <w:rsid w:val="00424723"/>
    <w:rsid w:val="00430389"/>
    <w:rsid w:val="00430D89"/>
    <w:rsid w:val="0044172F"/>
    <w:rsid w:val="0044642A"/>
    <w:rsid w:val="00455ACF"/>
    <w:rsid w:val="004735F1"/>
    <w:rsid w:val="004849BB"/>
    <w:rsid w:val="004857F6"/>
    <w:rsid w:val="00491910"/>
    <w:rsid w:val="00497735"/>
    <w:rsid w:val="004979E8"/>
    <w:rsid w:val="004A1D38"/>
    <w:rsid w:val="004A24E0"/>
    <w:rsid w:val="004A59E5"/>
    <w:rsid w:val="004D5983"/>
    <w:rsid w:val="004D63F2"/>
    <w:rsid w:val="004D64BF"/>
    <w:rsid w:val="004E096B"/>
    <w:rsid w:val="004E3517"/>
    <w:rsid w:val="004E3D73"/>
    <w:rsid w:val="00507BC5"/>
    <w:rsid w:val="00521F4A"/>
    <w:rsid w:val="00522073"/>
    <w:rsid w:val="0052545C"/>
    <w:rsid w:val="00530CAD"/>
    <w:rsid w:val="0054069D"/>
    <w:rsid w:val="005545BC"/>
    <w:rsid w:val="00566726"/>
    <w:rsid w:val="00577C23"/>
    <w:rsid w:val="0058030A"/>
    <w:rsid w:val="00581EB7"/>
    <w:rsid w:val="00585CA2"/>
    <w:rsid w:val="00592A9E"/>
    <w:rsid w:val="005A2827"/>
    <w:rsid w:val="005A5C14"/>
    <w:rsid w:val="005C4AB9"/>
    <w:rsid w:val="005C726E"/>
    <w:rsid w:val="005D1791"/>
    <w:rsid w:val="00610925"/>
    <w:rsid w:val="00621F3E"/>
    <w:rsid w:val="00630822"/>
    <w:rsid w:val="006371BF"/>
    <w:rsid w:val="00650284"/>
    <w:rsid w:val="00651F05"/>
    <w:rsid w:val="00660DF5"/>
    <w:rsid w:val="006615F2"/>
    <w:rsid w:val="00661782"/>
    <w:rsid w:val="00663267"/>
    <w:rsid w:val="00664A8F"/>
    <w:rsid w:val="0067337E"/>
    <w:rsid w:val="00685672"/>
    <w:rsid w:val="00694962"/>
    <w:rsid w:val="006B6BCB"/>
    <w:rsid w:val="006D4799"/>
    <w:rsid w:val="006F6047"/>
    <w:rsid w:val="0070023E"/>
    <w:rsid w:val="00701587"/>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45238"/>
    <w:rsid w:val="00871943"/>
    <w:rsid w:val="008879C5"/>
    <w:rsid w:val="00896CFD"/>
    <w:rsid w:val="008A2445"/>
    <w:rsid w:val="008C0DBE"/>
    <w:rsid w:val="008C4606"/>
    <w:rsid w:val="008C64B2"/>
    <w:rsid w:val="008D2B77"/>
    <w:rsid w:val="008D7532"/>
    <w:rsid w:val="008E4898"/>
    <w:rsid w:val="00900BD2"/>
    <w:rsid w:val="00911C03"/>
    <w:rsid w:val="00911C2B"/>
    <w:rsid w:val="00917226"/>
    <w:rsid w:val="009210E8"/>
    <w:rsid w:val="009214E2"/>
    <w:rsid w:val="00940813"/>
    <w:rsid w:val="0096334D"/>
    <w:rsid w:val="00967062"/>
    <w:rsid w:val="0097486A"/>
    <w:rsid w:val="00980600"/>
    <w:rsid w:val="00981B9A"/>
    <w:rsid w:val="00985CF3"/>
    <w:rsid w:val="00986FEF"/>
    <w:rsid w:val="009930C6"/>
    <w:rsid w:val="00996286"/>
    <w:rsid w:val="009A4799"/>
    <w:rsid w:val="009A5798"/>
    <w:rsid w:val="009B4EA5"/>
    <w:rsid w:val="009D0C8D"/>
    <w:rsid w:val="009D0CB8"/>
    <w:rsid w:val="009E5A62"/>
    <w:rsid w:val="009F5813"/>
    <w:rsid w:val="00A00EB0"/>
    <w:rsid w:val="00A03C26"/>
    <w:rsid w:val="00A0511A"/>
    <w:rsid w:val="00A15ACE"/>
    <w:rsid w:val="00A1687B"/>
    <w:rsid w:val="00A25C52"/>
    <w:rsid w:val="00A26DEE"/>
    <w:rsid w:val="00A35B60"/>
    <w:rsid w:val="00A45E7B"/>
    <w:rsid w:val="00A467BD"/>
    <w:rsid w:val="00A57CD6"/>
    <w:rsid w:val="00A73868"/>
    <w:rsid w:val="00A83B83"/>
    <w:rsid w:val="00A84A99"/>
    <w:rsid w:val="00A8702B"/>
    <w:rsid w:val="00A929E3"/>
    <w:rsid w:val="00A97FED"/>
    <w:rsid w:val="00AA5F0B"/>
    <w:rsid w:val="00AB33F4"/>
    <w:rsid w:val="00AD4BAB"/>
    <w:rsid w:val="00AD60EF"/>
    <w:rsid w:val="00AE5822"/>
    <w:rsid w:val="00AF39C6"/>
    <w:rsid w:val="00AF634C"/>
    <w:rsid w:val="00B00068"/>
    <w:rsid w:val="00B05C29"/>
    <w:rsid w:val="00B14389"/>
    <w:rsid w:val="00B22A09"/>
    <w:rsid w:val="00B251D5"/>
    <w:rsid w:val="00B3344A"/>
    <w:rsid w:val="00B53658"/>
    <w:rsid w:val="00B9314A"/>
    <w:rsid w:val="00B95E65"/>
    <w:rsid w:val="00B97E8B"/>
    <w:rsid w:val="00BB0DD6"/>
    <w:rsid w:val="00BB1723"/>
    <w:rsid w:val="00BB79AE"/>
    <w:rsid w:val="00BD124C"/>
    <w:rsid w:val="00BD67B1"/>
    <w:rsid w:val="00BF0787"/>
    <w:rsid w:val="00BF2ACB"/>
    <w:rsid w:val="00C018AC"/>
    <w:rsid w:val="00C07492"/>
    <w:rsid w:val="00C11E05"/>
    <w:rsid w:val="00C32798"/>
    <w:rsid w:val="00C3579B"/>
    <w:rsid w:val="00C43CA0"/>
    <w:rsid w:val="00C54A33"/>
    <w:rsid w:val="00C655D0"/>
    <w:rsid w:val="00C66191"/>
    <w:rsid w:val="00C7549A"/>
    <w:rsid w:val="00C87516"/>
    <w:rsid w:val="00CB3811"/>
    <w:rsid w:val="00CB69B7"/>
    <w:rsid w:val="00CF1E32"/>
    <w:rsid w:val="00CF44BE"/>
    <w:rsid w:val="00D070D0"/>
    <w:rsid w:val="00D163C7"/>
    <w:rsid w:val="00D2756B"/>
    <w:rsid w:val="00D31837"/>
    <w:rsid w:val="00D32846"/>
    <w:rsid w:val="00D46B4A"/>
    <w:rsid w:val="00D53A8F"/>
    <w:rsid w:val="00D55E64"/>
    <w:rsid w:val="00D729A8"/>
    <w:rsid w:val="00D73724"/>
    <w:rsid w:val="00D753B3"/>
    <w:rsid w:val="00D81E42"/>
    <w:rsid w:val="00D9239F"/>
    <w:rsid w:val="00DA5442"/>
    <w:rsid w:val="00DB4688"/>
    <w:rsid w:val="00DB7A08"/>
    <w:rsid w:val="00DE5690"/>
    <w:rsid w:val="00DE7123"/>
    <w:rsid w:val="00DF0312"/>
    <w:rsid w:val="00DF0BF4"/>
    <w:rsid w:val="00E11324"/>
    <w:rsid w:val="00E22F32"/>
    <w:rsid w:val="00E322DC"/>
    <w:rsid w:val="00E35D79"/>
    <w:rsid w:val="00E36C97"/>
    <w:rsid w:val="00E4328A"/>
    <w:rsid w:val="00E45687"/>
    <w:rsid w:val="00E560B5"/>
    <w:rsid w:val="00E70863"/>
    <w:rsid w:val="00E800E8"/>
    <w:rsid w:val="00E87355"/>
    <w:rsid w:val="00E94C31"/>
    <w:rsid w:val="00EA58FA"/>
    <w:rsid w:val="00EA65BE"/>
    <w:rsid w:val="00EA6E1F"/>
    <w:rsid w:val="00EB57EA"/>
    <w:rsid w:val="00EB72F7"/>
    <w:rsid w:val="00EC38ED"/>
    <w:rsid w:val="00ED30C5"/>
    <w:rsid w:val="00ED6BAA"/>
    <w:rsid w:val="00ED72BB"/>
    <w:rsid w:val="00F01167"/>
    <w:rsid w:val="00F0772F"/>
    <w:rsid w:val="00F1441F"/>
    <w:rsid w:val="00F16FD3"/>
    <w:rsid w:val="00F23750"/>
    <w:rsid w:val="00F316B9"/>
    <w:rsid w:val="00F41540"/>
    <w:rsid w:val="00F532EA"/>
    <w:rsid w:val="00F713AF"/>
    <w:rsid w:val="00F75974"/>
    <w:rsid w:val="00F75C26"/>
    <w:rsid w:val="00F91B32"/>
    <w:rsid w:val="00FA5BD0"/>
    <w:rsid w:val="00FB0367"/>
    <w:rsid w:val="00FD3474"/>
    <w:rsid w:val="00FE09DF"/>
    <w:rsid w:val="00FE2A30"/>
    <w:rsid w:val="00FE3D08"/>
    <w:rsid w:val="00FF0BD7"/>
    <w:rsid w:val="00FF166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F39C6"/>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AF39C6"/>
    <w:rPr>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820">
      <w:bodyDiv w:val="1"/>
      <w:marLeft w:val="0"/>
      <w:marRight w:val="0"/>
      <w:marTop w:val="0"/>
      <w:marBottom w:val="0"/>
      <w:divBdr>
        <w:top w:val="none" w:sz="0" w:space="0" w:color="auto"/>
        <w:left w:val="none" w:sz="0" w:space="0" w:color="auto"/>
        <w:bottom w:val="none" w:sz="0" w:space="0" w:color="auto"/>
        <w:right w:val="none" w:sz="0" w:space="0" w:color="auto"/>
      </w:divBdr>
    </w:div>
    <w:div w:id="130446570">
      <w:bodyDiv w:val="1"/>
      <w:marLeft w:val="0"/>
      <w:marRight w:val="0"/>
      <w:marTop w:val="0"/>
      <w:marBottom w:val="0"/>
      <w:divBdr>
        <w:top w:val="none" w:sz="0" w:space="0" w:color="auto"/>
        <w:left w:val="none" w:sz="0" w:space="0" w:color="auto"/>
        <w:bottom w:val="none" w:sz="0" w:space="0" w:color="auto"/>
        <w:right w:val="none" w:sz="0" w:space="0" w:color="auto"/>
      </w:divBdr>
    </w:div>
    <w:div w:id="423495505">
      <w:bodyDiv w:val="1"/>
      <w:marLeft w:val="0"/>
      <w:marRight w:val="0"/>
      <w:marTop w:val="0"/>
      <w:marBottom w:val="0"/>
      <w:divBdr>
        <w:top w:val="none" w:sz="0" w:space="0" w:color="auto"/>
        <w:left w:val="none" w:sz="0" w:space="0" w:color="auto"/>
        <w:bottom w:val="none" w:sz="0" w:space="0" w:color="auto"/>
        <w:right w:val="none" w:sz="0" w:space="0" w:color="auto"/>
      </w:divBdr>
    </w:div>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370840292">
      <w:bodyDiv w:val="1"/>
      <w:marLeft w:val="0"/>
      <w:marRight w:val="0"/>
      <w:marTop w:val="0"/>
      <w:marBottom w:val="0"/>
      <w:divBdr>
        <w:top w:val="none" w:sz="0" w:space="0" w:color="auto"/>
        <w:left w:val="none" w:sz="0" w:space="0" w:color="auto"/>
        <w:bottom w:val="none" w:sz="0" w:space="0" w:color="auto"/>
        <w:right w:val="none" w:sz="0" w:space="0" w:color="auto"/>
      </w:divBdr>
    </w:div>
    <w:div w:id="1484469304">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9443377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 w:id="1811363991">
      <w:bodyDiv w:val="1"/>
      <w:marLeft w:val="0"/>
      <w:marRight w:val="0"/>
      <w:marTop w:val="0"/>
      <w:marBottom w:val="0"/>
      <w:divBdr>
        <w:top w:val="none" w:sz="0" w:space="0" w:color="auto"/>
        <w:left w:val="none" w:sz="0" w:space="0" w:color="auto"/>
        <w:bottom w:val="none" w:sz="0" w:space="0" w:color="auto"/>
        <w:right w:val="none" w:sz="0" w:space="0" w:color="auto"/>
      </w:divBdr>
    </w:div>
    <w:div w:id="18788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51A33-FAAF-4EF6-8F16-8E7F8EE80216}">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43986326-2EAD-4099-B3A5-682EA3F2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4.xml><?xml version="1.0" encoding="utf-8"?>
<ds:datastoreItem xmlns:ds="http://schemas.openxmlformats.org/officeDocument/2006/customXml" ds:itemID="{06FE2006-8A7D-495A-8D81-90161C55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dcterms:created xsi:type="dcterms:W3CDTF">2023-05-31T17:23:00Z</dcterms:created>
  <dcterms:modified xsi:type="dcterms:W3CDTF">2023-05-31T17:23:00Z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