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CE8FD" w14:textId="77583346" w:rsidR="00926AB0" w:rsidRPr="00E77C3C" w:rsidRDefault="009C0A75">
      <w:pPr>
        <w:pStyle w:val="Sinespaciado"/>
      </w:pPr>
      <w:bookmarkStart w:id="0" w:name="_Hlk128751758"/>
      <w:r>
        <w:rPr>
          <w:caps w:val="0"/>
        </w:rPr>
        <w:t>Magistrado</w:t>
      </w:r>
      <w:r w:rsidRPr="00E77C3C">
        <w:rPr>
          <w:caps w:val="0"/>
        </w:rPr>
        <w:t xml:space="preserve"> ponente</w:t>
      </w:r>
      <w:r w:rsidR="00926AB0" w:rsidRPr="00E77C3C">
        <w:t>: JAIME ENRIQUE RODRÍGUEZ NAVAS</w:t>
      </w:r>
    </w:p>
    <w:p w14:paraId="2092DEDF" w14:textId="0E70563F" w:rsidR="00926AB0" w:rsidRPr="00E77C3C" w:rsidRDefault="00926AB0" w:rsidP="00E76F32">
      <w:pPr>
        <w:widowControl w:val="0"/>
        <w:spacing w:before="240" w:line="240" w:lineRule="auto"/>
        <w:jc w:val="both"/>
        <w:rPr>
          <w:rFonts w:ascii="Arial" w:hAnsi="Arial" w:cs="Arial"/>
          <w:b/>
          <w:sz w:val="24"/>
          <w:szCs w:val="24"/>
        </w:rPr>
      </w:pPr>
      <w:r w:rsidRPr="00A320DF">
        <w:rPr>
          <w:rFonts w:ascii="Arial" w:hAnsi="Arial" w:cs="Arial"/>
          <w:b/>
          <w:sz w:val="24"/>
          <w:szCs w:val="24"/>
        </w:rPr>
        <w:t xml:space="preserve">Bogotá D.C., </w:t>
      </w:r>
      <w:r>
        <w:rPr>
          <w:rFonts w:ascii="Arial" w:hAnsi="Arial" w:cs="Arial"/>
          <w:b/>
          <w:sz w:val="24"/>
          <w:szCs w:val="24"/>
        </w:rPr>
        <w:t>diez</w:t>
      </w:r>
      <w:r w:rsidRPr="00A320DF">
        <w:rPr>
          <w:rFonts w:ascii="Arial" w:hAnsi="Arial" w:cs="Arial"/>
          <w:b/>
          <w:sz w:val="24"/>
          <w:szCs w:val="24"/>
        </w:rPr>
        <w:t xml:space="preserve"> (</w:t>
      </w:r>
      <w:r>
        <w:rPr>
          <w:rFonts w:ascii="Arial" w:hAnsi="Arial" w:cs="Arial"/>
          <w:b/>
          <w:sz w:val="24"/>
          <w:szCs w:val="24"/>
        </w:rPr>
        <w:t>10</w:t>
      </w:r>
      <w:r w:rsidRPr="00A320DF">
        <w:rPr>
          <w:rFonts w:ascii="Arial" w:hAnsi="Arial" w:cs="Arial"/>
          <w:b/>
          <w:sz w:val="24"/>
          <w:szCs w:val="24"/>
        </w:rPr>
        <w:t xml:space="preserve">) de </w:t>
      </w:r>
      <w:r>
        <w:rPr>
          <w:rFonts w:ascii="Arial" w:hAnsi="Arial" w:cs="Arial"/>
          <w:b/>
          <w:sz w:val="24"/>
          <w:szCs w:val="24"/>
        </w:rPr>
        <w:t>marzo</w:t>
      </w:r>
      <w:r w:rsidRPr="00A320DF">
        <w:rPr>
          <w:rFonts w:ascii="Arial" w:hAnsi="Arial" w:cs="Arial"/>
          <w:b/>
          <w:sz w:val="24"/>
          <w:szCs w:val="24"/>
        </w:rPr>
        <w:t xml:space="preserve"> de dos mil veinti</w:t>
      </w:r>
      <w:r>
        <w:rPr>
          <w:rFonts w:ascii="Arial" w:hAnsi="Arial" w:cs="Arial"/>
          <w:b/>
          <w:sz w:val="24"/>
          <w:szCs w:val="24"/>
        </w:rPr>
        <w:t>trés</w:t>
      </w:r>
      <w:r w:rsidRPr="00A320DF">
        <w:rPr>
          <w:rFonts w:ascii="Arial" w:hAnsi="Arial" w:cs="Arial"/>
          <w:b/>
          <w:sz w:val="24"/>
          <w:szCs w:val="24"/>
        </w:rPr>
        <w:t xml:space="preserve"> (202</w:t>
      </w:r>
      <w:r>
        <w:rPr>
          <w:rFonts w:ascii="Arial" w:hAnsi="Arial" w:cs="Arial"/>
          <w:b/>
          <w:sz w:val="24"/>
          <w:szCs w:val="24"/>
        </w:rPr>
        <w:t>3</w:t>
      </w:r>
      <w:r w:rsidRPr="00A320DF">
        <w:rPr>
          <w:rFonts w:ascii="Arial" w:hAnsi="Arial" w:cs="Arial"/>
          <w:b/>
          <w:sz w:val="24"/>
          <w:szCs w:val="24"/>
        </w:rPr>
        <w:t>)</w:t>
      </w:r>
      <w:r w:rsidR="00721983">
        <w:rPr>
          <w:rFonts w:ascii="Arial" w:hAnsi="Arial" w:cs="Arial"/>
          <w:b/>
          <w:sz w:val="24"/>
          <w:szCs w:val="24"/>
        </w:rPr>
        <w:t xml:space="preserve"> </w:t>
      </w:r>
    </w:p>
    <w:p w14:paraId="3D7CC3E3" w14:textId="77777777" w:rsidR="00926AB0" w:rsidRPr="00E77C3C" w:rsidRDefault="00926AB0" w:rsidP="00E76F32">
      <w:pPr>
        <w:widowControl w:val="0"/>
        <w:tabs>
          <w:tab w:val="left" w:pos="1985"/>
        </w:tabs>
        <w:spacing w:before="240" w:line="240" w:lineRule="auto"/>
        <w:contextualSpacing/>
        <w:jc w:val="both"/>
        <w:rPr>
          <w:rFonts w:ascii="Arial" w:hAnsi="Arial" w:cs="Arial"/>
          <w:sz w:val="24"/>
          <w:szCs w:val="24"/>
        </w:rPr>
      </w:pPr>
      <w:r w:rsidRPr="00E77C3C">
        <w:rPr>
          <w:rFonts w:ascii="Arial" w:hAnsi="Arial" w:cs="Arial"/>
          <w:b/>
          <w:sz w:val="24"/>
          <w:szCs w:val="24"/>
        </w:rPr>
        <w:t>Radica</w:t>
      </w:r>
      <w:r>
        <w:rPr>
          <w:rFonts w:ascii="Arial" w:hAnsi="Arial" w:cs="Arial"/>
          <w:b/>
          <w:sz w:val="24"/>
          <w:szCs w:val="24"/>
        </w:rPr>
        <w:t>do número:</w:t>
      </w:r>
      <w:r w:rsidRPr="00E77C3C">
        <w:rPr>
          <w:rFonts w:ascii="Arial" w:hAnsi="Arial" w:cs="Arial"/>
          <w:b/>
          <w:sz w:val="24"/>
          <w:szCs w:val="24"/>
        </w:rPr>
        <w:tab/>
      </w:r>
      <w:r>
        <w:rPr>
          <w:rFonts w:ascii="Arial" w:hAnsi="Arial" w:cs="Arial"/>
          <w:b/>
          <w:sz w:val="24"/>
          <w:szCs w:val="24"/>
        </w:rPr>
        <w:tab/>
      </w:r>
      <w:r w:rsidRPr="00125BEF">
        <w:rPr>
          <w:rFonts w:ascii="Arial" w:hAnsi="Arial" w:cs="Arial"/>
          <w:bCs/>
          <w:sz w:val="24"/>
          <w:szCs w:val="24"/>
        </w:rPr>
        <w:t>11001-03-15-000-202</w:t>
      </w:r>
      <w:r>
        <w:rPr>
          <w:rFonts w:ascii="Arial" w:hAnsi="Arial" w:cs="Arial"/>
          <w:bCs/>
          <w:sz w:val="24"/>
          <w:szCs w:val="24"/>
        </w:rPr>
        <w:t>3</w:t>
      </w:r>
      <w:r w:rsidRPr="00125BEF">
        <w:rPr>
          <w:rFonts w:ascii="Arial" w:hAnsi="Arial" w:cs="Arial"/>
          <w:bCs/>
          <w:sz w:val="24"/>
          <w:szCs w:val="24"/>
        </w:rPr>
        <w:t>-0</w:t>
      </w:r>
      <w:r>
        <w:rPr>
          <w:rFonts w:ascii="Arial" w:hAnsi="Arial" w:cs="Arial"/>
          <w:bCs/>
          <w:sz w:val="24"/>
          <w:szCs w:val="24"/>
        </w:rPr>
        <w:t>0276</w:t>
      </w:r>
      <w:r w:rsidRPr="00125BEF">
        <w:rPr>
          <w:rFonts w:ascii="Arial" w:hAnsi="Arial" w:cs="Arial"/>
          <w:bCs/>
          <w:sz w:val="24"/>
          <w:szCs w:val="24"/>
        </w:rPr>
        <w:t>-00</w:t>
      </w:r>
      <w:r w:rsidRPr="00E77C3C">
        <w:rPr>
          <w:rFonts w:ascii="Arial" w:hAnsi="Arial" w:cs="Arial"/>
          <w:sz w:val="24"/>
          <w:szCs w:val="24"/>
        </w:rPr>
        <w:t>.</w:t>
      </w:r>
    </w:p>
    <w:p w14:paraId="7673C21D" w14:textId="77777777" w:rsidR="00926AB0" w:rsidRPr="00E77C3C" w:rsidRDefault="00926AB0" w:rsidP="00E76F32">
      <w:pPr>
        <w:widowControl w:val="0"/>
        <w:tabs>
          <w:tab w:val="left" w:pos="1985"/>
        </w:tabs>
        <w:spacing w:line="240" w:lineRule="auto"/>
        <w:ind w:left="1980" w:hanging="1980"/>
        <w:contextualSpacing/>
        <w:jc w:val="both"/>
        <w:rPr>
          <w:rFonts w:ascii="Arial" w:hAnsi="Arial" w:cs="Arial"/>
          <w:sz w:val="24"/>
          <w:szCs w:val="24"/>
        </w:rPr>
      </w:pPr>
      <w:r w:rsidRPr="00E77C3C">
        <w:rPr>
          <w:rFonts w:ascii="Arial" w:hAnsi="Arial" w:cs="Arial"/>
          <w:b/>
          <w:sz w:val="24"/>
          <w:szCs w:val="24"/>
        </w:rPr>
        <w:t>Accionante:</w:t>
      </w:r>
      <w:r w:rsidRPr="00E77C3C">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Cs/>
          <w:sz w:val="24"/>
          <w:szCs w:val="24"/>
        </w:rPr>
        <w:t>Nelson Julián Valencia Zamora.</w:t>
      </w:r>
    </w:p>
    <w:p w14:paraId="51EACCE4" w14:textId="77777777" w:rsidR="00926AB0" w:rsidRDefault="00926AB0" w:rsidP="00E76F32">
      <w:pPr>
        <w:widowControl w:val="0"/>
        <w:spacing w:line="240" w:lineRule="auto"/>
        <w:ind w:left="1985" w:hanging="1985"/>
        <w:contextualSpacing/>
        <w:jc w:val="both"/>
        <w:rPr>
          <w:rFonts w:ascii="Arial" w:hAnsi="Arial" w:cs="Arial"/>
          <w:b/>
          <w:sz w:val="24"/>
          <w:szCs w:val="24"/>
        </w:rPr>
      </w:pPr>
      <w:r w:rsidRPr="00E77C3C">
        <w:rPr>
          <w:rFonts w:ascii="Arial" w:hAnsi="Arial" w:cs="Arial"/>
          <w:b/>
          <w:sz w:val="24"/>
          <w:szCs w:val="24"/>
        </w:rPr>
        <w:t>Accionados:</w:t>
      </w:r>
      <w:r w:rsidRPr="00E77C3C">
        <w:rPr>
          <w:rFonts w:ascii="Arial" w:hAnsi="Arial" w:cs="Arial"/>
          <w:b/>
          <w:sz w:val="24"/>
          <w:szCs w:val="24"/>
        </w:rPr>
        <w:tab/>
      </w:r>
      <w:r>
        <w:rPr>
          <w:rFonts w:ascii="Arial" w:hAnsi="Arial" w:cs="Arial"/>
          <w:b/>
          <w:sz w:val="24"/>
          <w:szCs w:val="24"/>
        </w:rPr>
        <w:tab/>
      </w:r>
      <w:r>
        <w:rPr>
          <w:rFonts w:ascii="Arial" w:hAnsi="Arial" w:cs="Arial"/>
          <w:b/>
          <w:sz w:val="24"/>
          <w:szCs w:val="24"/>
        </w:rPr>
        <w:tab/>
      </w:r>
      <w:r w:rsidRPr="00E77C3C">
        <w:rPr>
          <w:rFonts w:ascii="Arial" w:hAnsi="Arial" w:cs="Arial"/>
          <w:bCs/>
          <w:sz w:val="24"/>
          <w:szCs w:val="24"/>
        </w:rPr>
        <w:t>Consejo Superior de la Judicatura.</w:t>
      </w:r>
      <w:r w:rsidRPr="00A320DF">
        <w:rPr>
          <w:rFonts w:ascii="Arial" w:hAnsi="Arial" w:cs="Arial"/>
          <w:b/>
          <w:sz w:val="24"/>
          <w:szCs w:val="24"/>
        </w:rPr>
        <w:t xml:space="preserve"> </w:t>
      </w:r>
    </w:p>
    <w:p w14:paraId="37C3387F" w14:textId="11708A1F" w:rsidR="00926AB0" w:rsidRDefault="00926AB0" w:rsidP="00E76F32">
      <w:pPr>
        <w:widowControl w:val="0"/>
        <w:spacing w:line="240" w:lineRule="auto"/>
        <w:ind w:left="1985" w:hanging="1985"/>
        <w:jc w:val="both"/>
        <w:rPr>
          <w:rFonts w:ascii="Arial" w:hAnsi="Arial" w:cs="Arial"/>
          <w:sz w:val="24"/>
          <w:szCs w:val="24"/>
        </w:rPr>
      </w:pPr>
      <w:r w:rsidRPr="00E77C3C">
        <w:rPr>
          <w:rFonts w:ascii="Arial" w:hAnsi="Arial" w:cs="Arial"/>
          <w:b/>
          <w:sz w:val="24"/>
          <w:szCs w:val="24"/>
        </w:rPr>
        <w:t xml:space="preserve">Referencia: </w:t>
      </w:r>
      <w:r w:rsidRPr="00E77C3C">
        <w:rPr>
          <w:rFonts w:ascii="Arial" w:hAnsi="Arial" w:cs="Arial"/>
          <w:b/>
          <w:sz w:val="24"/>
          <w:szCs w:val="24"/>
        </w:rPr>
        <w:tab/>
      </w:r>
      <w:r>
        <w:rPr>
          <w:rFonts w:ascii="Arial" w:hAnsi="Arial" w:cs="Arial"/>
          <w:b/>
          <w:sz w:val="24"/>
          <w:szCs w:val="24"/>
        </w:rPr>
        <w:tab/>
      </w:r>
      <w:r>
        <w:rPr>
          <w:rFonts w:ascii="Arial" w:hAnsi="Arial" w:cs="Arial"/>
          <w:b/>
          <w:sz w:val="24"/>
          <w:szCs w:val="24"/>
        </w:rPr>
        <w:tab/>
      </w:r>
      <w:r w:rsidRPr="00E77C3C">
        <w:rPr>
          <w:rFonts w:ascii="Arial" w:hAnsi="Arial" w:cs="Arial"/>
          <w:sz w:val="24"/>
          <w:szCs w:val="24"/>
        </w:rPr>
        <w:t>Acción de tutela.</w:t>
      </w:r>
    </w:p>
    <w:p w14:paraId="256F83CE" w14:textId="05C8F943" w:rsidR="00926AB0" w:rsidRPr="00926AB0" w:rsidRDefault="00926AB0" w:rsidP="00E76F32">
      <w:pPr>
        <w:widowControl w:val="0"/>
        <w:spacing w:after="0" w:line="240" w:lineRule="auto"/>
        <w:jc w:val="both"/>
        <w:rPr>
          <w:rFonts w:ascii="Arial" w:hAnsi="Arial" w:cs="Arial"/>
          <w:bCs/>
          <w:sz w:val="20"/>
          <w:szCs w:val="20"/>
        </w:rPr>
      </w:pPr>
      <w:r w:rsidRPr="00926AB0">
        <w:rPr>
          <w:rFonts w:ascii="Arial" w:hAnsi="Arial" w:cs="Arial"/>
          <w:b/>
          <w:sz w:val="20"/>
          <w:szCs w:val="20"/>
        </w:rPr>
        <w:t>Tema:</w:t>
      </w:r>
      <w:r>
        <w:rPr>
          <w:rFonts w:ascii="Arial" w:hAnsi="Arial" w:cs="Arial"/>
          <w:bCs/>
          <w:sz w:val="20"/>
          <w:szCs w:val="20"/>
        </w:rPr>
        <w:t xml:space="preserve"> acción de tutela</w:t>
      </w:r>
      <w:r w:rsidR="000B29E6">
        <w:rPr>
          <w:rFonts w:ascii="Arial" w:hAnsi="Arial" w:cs="Arial"/>
          <w:bCs/>
          <w:sz w:val="20"/>
          <w:szCs w:val="20"/>
        </w:rPr>
        <w:t xml:space="preserve"> en el marco de concursos de méritos.</w:t>
      </w:r>
      <w:r>
        <w:rPr>
          <w:rFonts w:ascii="Arial" w:hAnsi="Arial" w:cs="Arial"/>
          <w:bCs/>
          <w:sz w:val="20"/>
          <w:szCs w:val="20"/>
        </w:rPr>
        <w:t xml:space="preserve"> </w:t>
      </w:r>
    </w:p>
    <w:p w14:paraId="0F351407" w14:textId="7CBD673C" w:rsidR="000B29E6" w:rsidRDefault="00926AB0" w:rsidP="000B29E6">
      <w:pPr>
        <w:widowControl w:val="0"/>
        <w:spacing w:after="0" w:line="240" w:lineRule="auto"/>
        <w:jc w:val="both"/>
        <w:rPr>
          <w:rFonts w:ascii="Arial" w:hAnsi="Arial" w:cs="Arial"/>
          <w:bCs/>
          <w:sz w:val="20"/>
          <w:szCs w:val="20"/>
        </w:rPr>
      </w:pPr>
      <w:r w:rsidRPr="00926AB0">
        <w:rPr>
          <w:rFonts w:ascii="Arial" w:hAnsi="Arial" w:cs="Arial"/>
          <w:b/>
          <w:sz w:val="20"/>
          <w:szCs w:val="20"/>
        </w:rPr>
        <w:t>Subtema</w:t>
      </w:r>
      <w:r w:rsidR="000B29E6">
        <w:rPr>
          <w:rFonts w:ascii="Arial" w:hAnsi="Arial" w:cs="Arial"/>
          <w:b/>
          <w:sz w:val="20"/>
          <w:szCs w:val="20"/>
        </w:rPr>
        <w:t xml:space="preserve"> 1</w:t>
      </w:r>
      <w:r w:rsidRPr="00926AB0">
        <w:rPr>
          <w:rFonts w:ascii="Arial" w:hAnsi="Arial" w:cs="Arial"/>
          <w:b/>
          <w:sz w:val="20"/>
          <w:szCs w:val="20"/>
        </w:rPr>
        <w:t>:</w:t>
      </w:r>
      <w:r w:rsidR="000B29E6" w:rsidRPr="000B29E6">
        <w:rPr>
          <w:rFonts w:ascii="Arial" w:hAnsi="Arial" w:cs="Arial"/>
          <w:bCs/>
          <w:sz w:val="20"/>
          <w:szCs w:val="20"/>
        </w:rPr>
        <w:t xml:space="preserve"> </w:t>
      </w:r>
      <w:r w:rsidR="000B29E6">
        <w:rPr>
          <w:rFonts w:ascii="Arial" w:hAnsi="Arial" w:cs="Arial"/>
          <w:bCs/>
          <w:sz w:val="20"/>
          <w:szCs w:val="20"/>
        </w:rPr>
        <w:t>solicitud de amparo contra actos administrativos.</w:t>
      </w:r>
    </w:p>
    <w:p w14:paraId="52A6D0B0" w14:textId="115829DF" w:rsidR="00D02A0A" w:rsidRDefault="000B29E6" w:rsidP="00D02A0A">
      <w:pPr>
        <w:widowControl w:val="0"/>
        <w:spacing w:after="0" w:line="240" w:lineRule="auto"/>
        <w:jc w:val="both"/>
        <w:rPr>
          <w:rFonts w:ascii="Arial" w:hAnsi="Arial" w:cs="Arial"/>
          <w:bCs/>
          <w:sz w:val="20"/>
          <w:szCs w:val="20"/>
        </w:rPr>
      </w:pPr>
      <w:r w:rsidRPr="000B29E6">
        <w:rPr>
          <w:rFonts w:ascii="Arial" w:hAnsi="Arial" w:cs="Arial"/>
          <w:b/>
          <w:sz w:val="20"/>
          <w:szCs w:val="20"/>
        </w:rPr>
        <w:t>Subtema 2:</w:t>
      </w:r>
      <w:r>
        <w:rPr>
          <w:rFonts w:ascii="Arial" w:hAnsi="Arial" w:cs="Arial"/>
          <w:bCs/>
          <w:sz w:val="20"/>
          <w:szCs w:val="20"/>
        </w:rPr>
        <w:t xml:space="preserve"> </w:t>
      </w:r>
      <w:r w:rsidR="00D02A0A">
        <w:rPr>
          <w:rFonts w:ascii="Arial" w:hAnsi="Arial" w:cs="Arial"/>
          <w:bCs/>
          <w:sz w:val="20"/>
          <w:szCs w:val="20"/>
        </w:rPr>
        <w:t>actos de trámites y actos definitivos.</w:t>
      </w:r>
    </w:p>
    <w:p w14:paraId="22527BBC" w14:textId="60928540" w:rsidR="00D02A0A" w:rsidRDefault="00D02A0A" w:rsidP="00D02A0A">
      <w:pPr>
        <w:widowControl w:val="0"/>
        <w:spacing w:after="0" w:line="240" w:lineRule="auto"/>
        <w:jc w:val="both"/>
        <w:rPr>
          <w:rFonts w:ascii="Arial" w:hAnsi="Arial" w:cs="Arial"/>
          <w:bCs/>
          <w:sz w:val="20"/>
          <w:szCs w:val="20"/>
        </w:rPr>
      </w:pPr>
      <w:r w:rsidRPr="00D02A0A">
        <w:rPr>
          <w:rFonts w:ascii="Arial" w:hAnsi="Arial" w:cs="Arial"/>
          <w:b/>
          <w:sz w:val="20"/>
          <w:szCs w:val="20"/>
        </w:rPr>
        <w:t>Subtema 3:</w:t>
      </w:r>
      <w:r>
        <w:rPr>
          <w:rFonts w:ascii="Arial" w:hAnsi="Arial" w:cs="Arial"/>
          <w:bCs/>
          <w:sz w:val="20"/>
          <w:szCs w:val="20"/>
        </w:rPr>
        <w:t xml:space="preserve"> ejercicio de peticiones en interés particular y solicitudes de consulta.</w:t>
      </w:r>
    </w:p>
    <w:p w14:paraId="4E7D3029" w14:textId="210090C4" w:rsidR="00926AB0" w:rsidRPr="00926AB0" w:rsidRDefault="00D02A0A" w:rsidP="000B29E6">
      <w:pPr>
        <w:widowControl w:val="0"/>
        <w:spacing w:line="240" w:lineRule="auto"/>
        <w:jc w:val="both"/>
        <w:rPr>
          <w:rFonts w:ascii="Arial" w:hAnsi="Arial" w:cs="Arial"/>
          <w:b/>
          <w:sz w:val="20"/>
          <w:szCs w:val="20"/>
        </w:rPr>
      </w:pPr>
      <w:r w:rsidRPr="00D02A0A">
        <w:rPr>
          <w:rFonts w:ascii="Arial" w:hAnsi="Arial" w:cs="Arial"/>
          <w:b/>
          <w:sz w:val="20"/>
          <w:szCs w:val="20"/>
        </w:rPr>
        <w:t>Subtema 4:</w:t>
      </w:r>
      <w:r>
        <w:rPr>
          <w:rFonts w:ascii="Arial" w:hAnsi="Arial" w:cs="Arial"/>
          <w:bCs/>
          <w:sz w:val="20"/>
          <w:szCs w:val="20"/>
        </w:rPr>
        <w:t xml:space="preserve"> </w:t>
      </w:r>
      <w:r w:rsidR="000B29E6">
        <w:rPr>
          <w:rFonts w:ascii="Arial" w:hAnsi="Arial" w:cs="Arial"/>
          <w:bCs/>
          <w:sz w:val="20"/>
          <w:szCs w:val="20"/>
        </w:rPr>
        <w:t>acciones u omisiones desarrolladas en el marco de concursos de méritos de la Rama Judicial.</w:t>
      </w:r>
    </w:p>
    <w:p w14:paraId="575B28AB" w14:textId="67AA75A8" w:rsidR="00926AB0" w:rsidRPr="00E77C3C" w:rsidRDefault="00926AB0" w:rsidP="00E76F32">
      <w:pPr>
        <w:widowControl w:val="0"/>
        <w:pBdr>
          <w:bottom w:val="single" w:sz="12" w:space="0" w:color="auto"/>
        </w:pBdr>
        <w:spacing w:before="240" w:line="240" w:lineRule="auto"/>
        <w:ind w:left="2829" w:hanging="2829"/>
        <w:jc w:val="both"/>
        <w:rPr>
          <w:rFonts w:ascii="Arial" w:hAnsi="Arial" w:cs="Arial"/>
          <w:b/>
          <w:sz w:val="24"/>
          <w:szCs w:val="24"/>
        </w:rPr>
      </w:pPr>
      <w:r>
        <w:rPr>
          <w:rFonts w:ascii="Arial" w:hAnsi="Arial" w:cs="Arial"/>
          <w:b/>
          <w:sz w:val="24"/>
          <w:szCs w:val="24"/>
        </w:rPr>
        <w:t>SENTENCIA DE PRIMERA INSTANCIA</w:t>
      </w:r>
    </w:p>
    <w:p w14:paraId="5F33FB5D" w14:textId="0DB407A2" w:rsidR="00926AB0" w:rsidRDefault="00926AB0" w:rsidP="00E76F32">
      <w:pPr>
        <w:widowControl w:val="0"/>
        <w:tabs>
          <w:tab w:val="left" w:pos="1985"/>
        </w:tabs>
        <w:spacing w:before="240" w:after="240" w:line="240" w:lineRule="auto"/>
        <w:jc w:val="both"/>
        <w:rPr>
          <w:rFonts w:ascii="Arial" w:eastAsia="Calibri" w:hAnsi="Arial" w:cs="Arial"/>
          <w:bCs/>
          <w:sz w:val="24"/>
          <w:szCs w:val="24"/>
          <w:lang w:eastAsia="es-ES_tradnl"/>
        </w:rPr>
      </w:pPr>
      <w:r w:rsidRPr="005146EB">
        <w:rPr>
          <w:rFonts w:ascii="Arial" w:eastAsia="Calibri" w:hAnsi="Arial" w:cs="Arial"/>
          <w:bCs/>
          <w:sz w:val="24"/>
          <w:szCs w:val="24"/>
          <w:lang w:eastAsia="es-ES_tradnl"/>
        </w:rPr>
        <w:t xml:space="preserve">El </w:t>
      </w:r>
      <w:r>
        <w:rPr>
          <w:rFonts w:ascii="Arial" w:eastAsia="Calibri" w:hAnsi="Arial" w:cs="Arial"/>
          <w:bCs/>
          <w:sz w:val="24"/>
          <w:szCs w:val="24"/>
          <w:lang w:eastAsia="es-ES_tradnl"/>
        </w:rPr>
        <w:t>d</w:t>
      </w:r>
      <w:r w:rsidRPr="005146EB">
        <w:rPr>
          <w:rFonts w:ascii="Arial" w:eastAsia="Calibri" w:hAnsi="Arial" w:cs="Arial"/>
          <w:bCs/>
          <w:sz w:val="24"/>
          <w:szCs w:val="24"/>
          <w:lang w:eastAsia="es-ES_tradnl"/>
        </w:rPr>
        <w:t>espacho decide</w:t>
      </w:r>
      <w:r>
        <w:rPr>
          <w:rFonts w:ascii="Arial" w:eastAsia="Calibri" w:hAnsi="Arial" w:cs="Arial"/>
          <w:bCs/>
          <w:sz w:val="24"/>
          <w:szCs w:val="24"/>
          <w:lang w:eastAsia="es-ES_tradnl"/>
        </w:rPr>
        <w:t>, en primera instancia, la acción de tutela presentada por Nelson Julián Valencia Zamora en contra del Consejo Superior de la Judicatura.</w:t>
      </w:r>
    </w:p>
    <w:p w14:paraId="683F176B" w14:textId="77777777" w:rsidR="00926AB0" w:rsidRPr="005146EB" w:rsidRDefault="00926AB0" w:rsidP="00E76F32">
      <w:pPr>
        <w:widowControl w:val="0"/>
        <w:tabs>
          <w:tab w:val="left" w:pos="1985"/>
        </w:tabs>
        <w:spacing w:before="240" w:after="240" w:line="240" w:lineRule="auto"/>
        <w:jc w:val="center"/>
        <w:rPr>
          <w:rFonts w:ascii="Arial" w:hAnsi="Arial" w:cs="Arial"/>
          <w:b/>
          <w:sz w:val="24"/>
          <w:szCs w:val="24"/>
        </w:rPr>
      </w:pPr>
      <w:r w:rsidRPr="005146EB">
        <w:rPr>
          <w:rFonts w:ascii="Arial" w:hAnsi="Arial" w:cs="Arial"/>
          <w:b/>
          <w:sz w:val="24"/>
          <w:szCs w:val="24"/>
        </w:rPr>
        <w:t>I. ANTECEDENTES</w:t>
      </w:r>
    </w:p>
    <w:p w14:paraId="57724EA5" w14:textId="77777777" w:rsidR="00926AB0" w:rsidRPr="005146EB" w:rsidRDefault="00926AB0" w:rsidP="00E76F32">
      <w:pPr>
        <w:widowControl w:val="0"/>
        <w:tabs>
          <w:tab w:val="left" w:pos="1985"/>
        </w:tabs>
        <w:spacing w:before="240" w:after="240" w:line="240" w:lineRule="auto"/>
        <w:jc w:val="both"/>
        <w:rPr>
          <w:rFonts w:ascii="Arial" w:hAnsi="Arial" w:cs="Arial"/>
          <w:b/>
          <w:sz w:val="24"/>
          <w:szCs w:val="24"/>
        </w:rPr>
      </w:pPr>
      <w:r w:rsidRPr="005146EB">
        <w:rPr>
          <w:rFonts w:ascii="Arial" w:hAnsi="Arial" w:cs="Arial"/>
          <w:b/>
          <w:sz w:val="24"/>
          <w:szCs w:val="24"/>
        </w:rPr>
        <w:t>1.1. Solicitud de tutela</w:t>
      </w:r>
    </w:p>
    <w:p w14:paraId="573FE38F" w14:textId="667390CD" w:rsidR="00926AB0" w:rsidRDefault="00926AB0" w:rsidP="00E76F32">
      <w:pPr>
        <w:widowControl w:val="0"/>
        <w:tabs>
          <w:tab w:val="left" w:pos="1985"/>
        </w:tabs>
        <w:spacing w:before="240" w:after="240" w:line="240" w:lineRule="auto"/>
        <w:jc w:val="both"/>
        <w:rPr>
          <w:rFonts w:ascii="Arial" w:hAnsi="Arial" w:cs="Arial"/>
          <w:sz w:val="24"/>
          <w:szCs w:val="24"/>
        </w:rPr>
      </w:pPr>
      <w:r>
        <w:rPr>
          <w:rFonts w:ascii="Arial" w:hAnsi="Arial" w:cs="Arial"/>
          <w:bCs/>
          <w:sz w:val="24"/>
          <w:szCs w:val="24"/>
        </w:rPr>
        <w:t>Nelson Julián Valencia Zamora</w:t>
      </w:r>
      <w:r w:rsidRPr="00E77C3C">
        <w:rPr>
          <w:rFonts w:ascii="Arial" w:hAnsi="Arial" w:cs="Arial"/>
          <w:sz w:val="24"/>
          <w:szCs w:val="24"/>
        </w:rPr>
        <w:t>, actuando en nombre propio</w:t>
      </w:r>
      <w:r>
        <w:rPr>
          <w:rFonts w:ascii="Arial" w:hAnsi="Arial" w:cs="Arial"/>
          <w:sz w:val="24"/>
          <w:szCs w:val="24"/>
        </w:rPr>
        <w:t xml:space="preserve"> y en ejercicio de la acción de tutela, solicitó la protección de sus derechos fundamentales al debido proceso y a la igualdad que consideró vulnerados por el </w:t>
      </w:r>
      <w:r w:rsidRPr="00E77C3C">
        <w:rPr>
          <w:rFonts w:ascii="Arial" w:hAnsi="Arial" w:cs="Arial"/>
          <w:sz w:val="24"/>
          <w:szCs w:val="24"/>
        </w:rPr>
        <w:t xml:space="preserve">Consejo Superior de la Judicatura, </w:t>
      </w:r>
      <w:r>
        <w:rPr>
          <w:rFonts w:ascii="Arial" w:hAnsi="Arial" w:cs="Arial"/>
          <w:sz w:val="24"/>
          <w:szCs w:val="24"/>
        </w:rPr>
        <w:t>en el marco de la Convocatoria 27, para proveer cargos de funcionarios de la Rama Judicial</w:t>
      </w:r>
      <w:r>
        <w:rPr>
          <w:rStyle w:val="Refdenotaalpie"/>
          <w:rFonts w:ascii="Arial" w:hAnsi="Arial" w:cs="Arial"/>
          <w:sz w:val="24"/>
          <w:szCs w:val="24"/>
        </w:rPr>
        <w:footnoteReference w:id="1"/>
      </w:r>
      <w:r>
        <w:rPr>
          <w:rFonts w:ascii="Arial" w:hAnsi="Arial" w:cs="Arial"/>
          <w:sz w:val="24"/>
          <w:szCs w:val="24"/>
        </w:rPr>
        <w:t>.</w:t>
      </w:r>
    </w:p>
    <w:p w14:paraId="7A86EAB3" w14:textId="7802BEE2" w:rsidR="00926AB0" w:rsidRDefault="00926AB0" w:rsidP="00E76F32">
      <w:pPr>
        <w:widowControl w:val="0"/>
        <w:tabs>
          <w:tab w:val="left" w:pos="1985"/>
        </w:tabs>
        <w:spacing w:before="240" w:after="240" w:line="240" w:lineRule="auto"/>
        <w:jc w:val="both"/>
        <w:rPr>
          <w:rFonts w:ascii="Arial" w:hAnsi="Arial" w:cs="Arial"/>
          <w:b/>
          <w:bCs/>
          <w:sz w:val="24"/>
          <w:szCs w:val="24"/>
        </w:rPr>
      </w:pPr>
      <w:r w:rsidRPr="00926AB0">
        <w:rPr>
          <w:rFonts w:ascii="Arial" w:hAnsi="Arial" w:cs="Arial"/>
          <w:b/>
          <w:bCs/>
          <w:sz w:val="24"/>
          <w:szCs w:val="24"/>
        </w:rPr>
        <w:t>1.2. Hechos</w:t>
      </w:r>
    </w:p>
    <w:p w14:paraId="002EF31E" w14:textId="463701BE" w:rsidR="00945243" w:rsidRPr="00572386" w:rsidRDefault="006E7544" w:rsidP="00E76F32">
      <w:pPr>
        <w:widowControl w:val="0"/>
        <w:tabs>
          <w:tab w:val="left" w:pos="1985"/>
        </w:tabs>
        <w:spacing w:before="240" w:after="240" w:line="240" w:lineRule="auto"/>
        <w:jc w:val="both"/>
        <w:rPr>
          <w:rFonts w:ascii="Arial" w:hAnsi="Arial" w:cs="Arial"/>
          <w:sz w:val="24"/>
          <w:szCs w:val="24"/>
          <w:lang w:val="es-ES_tradnl"/>
        </w:rPr>
      </w:pPr>
      <w:r w:rsidRPr="006E7544">
        <w:rPr>
          <w:rFonts w:ascii="Arial" w:hAnsi="Arial" w:cs="Arial"/>
          <w:sz w:val="24"/>
          <w:szCs w:val="24"/>
        </w:rPr>
        <w:t>1.2.1.</w:t>
      </w:r>
      <w:r>
        <w:rPr>
          <w:rFonts w:ascii="Arial" w:hAnsi="Arial" w:cs="Arial"/>
          <w:sz w:val="24"/>
          <w:szCs w:val="24"/>
        </w:rPr>
        <w:t xml:space="preserve"> </w:t>
      </w:r>
      <w:r w:rsidR="00945243" w:rsidRPr="00945243">
        <w:rPr>
          <w:rFonts w:ascii="Arial" w:hAnsi="Arial" w:cs="Arial"/>
          <w:sz w:val="24"/>
          <w:szCs w:val="24"/>
        </w:rPr>
        <w:t>El Consejo Superior de la Judicatura expidió el Acuerdo PCSJA18-11077 del 16 de agosto de 2018</w:t>
      </w:r>
      <w:r w:rsidR="00945243" w:rsidRPr="00945243">
        <w:rPr>
          <w:rFonts w:ascii="Arial" w:hAnsi="Arial" w:cs="Arial"/>
          <w:sz w:val="24"/>
          <w:szCs w:val="24"/>
          <w:vertAlign w:val="superscript"/>
        </w:rPr>
        <w:footnoteReference w:id="2"/>
      </w:r>
      <w:r w:rsidR="00945243" w:rsidRPr="00945243">
        <w:rPr>
          <w:rFonts w:ascii="Arial" w:hAnsi="Arial" w:cs="Arial"/>
          <w:sz w:val="24"/>
          <w:szCs w:val="24"/>
        </w:rPr>
        <w:t xml:space="preserve">, en el que </w:t>
      </w:r>
      <w:r w:rsidR="004172F1">
        <w:rPr>
          <w:rFonts w:ascii="Arial" w:hAnsi="Arial" w:cs="Arial"/>
          <w:sz w:val="24"/>
          <w:szCs w:val="24"/>
        </w:rPr>
        <w:t xml:space="preserve">dio apertura a la </w:t>
      </w:r>
      <w:r w:rsidR="00945243" w:rsidRPr="00945243">
        <w:rPr>
          <w:rFonts w:ascii="Arial" w:hAnsi="Arial" w:cs="Arial"/>
          <w:sz w:val="24"/>
          <w:szCs w:val="24"/>
        </w:rPr>
        <w:t>Convocatoria 27 para proveer cargos de funcionarios de la Rama Judicial</w:t>
      </w:r>
      <w:r w:rsidR="00575408">
        <w:rPr>
          <w:rFonts w:ascii="Arial" w:hAnsi="Arial" w:cs="Arial"/>
          <w:sz w:val="24"/>
          <w:szCs w:val="24"/>
        </w:rPr>
        <w:t xml:space="preserve">, </w:t>
      </w:r>
      <w:r w:rsidR="0055337A">
        <w:rPr>
          <w:rFonts w:ascii="Arial" w:hAnsi="Arial" w:cs="Arial"/>
          <w:sz w:val="24"/>
          <w:szCs w:val="24"/>
        </w:rPr>
        <w:t>compuesto por las siguientes etapas:</w:t>
      </w:r>
      <w:r w:rsidR="00575408">
        <w:rPr>
          <w:rFonts w:ascii="Arial" w:hAnsi="Arial" w:cs="Arial"/>
          <w:sz w:val="24"/>
          <w:szCs w:val="24"/>
        </w:rPr>
        <w:t xml:space="preserve"> </w:t>
      </w:r>
      <w:r w:rsidR="00572386">
        <w:rPr>
          <w:rFonts w:ascii="Arial" w:hAnsi="Arial" w:cs="Arial"/>
          <w:bCs/>
          <w:sz w:val="24"/>
          <w:szCs w:val="24"/>
          <w:lang w:val="es-ES_tradnl"/>
        </w:rPr>
        <w:t>(i) f</w:t>
      </w:r>
      <w:r w:rsidR="00572386" w:rsidRPr="00572386">
        <w:rPr>
          <w:rFonts w:ascii="Arial" w:hAnsi="Arial" w:cs="Arial"/>
          <w:bCs/>
          <w:sz w:val="24"/>
          <w:szCs w:val="24"/>
          <w:lang w:val="es-ES_tradnl"/>
        </w:rPr>
        <w:t>ase I</w:t>
      </w:r>
      <w:r w:rsidR="00572386">
        <w:rPr>
          <w:rFonts w:ascii="Arial" w:hAnsi="Arial" w:cs="Arial"/>
          <w:sz w:val="24"/>
          <w:szCs w:val="24"/>
          <w:lang w:val="es-ES_tradnl"/>
        </w:rPr>
        <w:t xml:space="preserve"> – p</w:t>
      </w:r>
      <w:r w:rsidR="00572386" w:rsidRPr="00572386">
        <w:rPr>
          <w:rFonts w:ascii="Arial" w:hAnsi="Arial" w:cs="Arial"/>
          <w:sz w:val="24"/>
          <w:szCs w:val="24"/>
          <w:lang w:val="es-ES_tradnl"/>
        </w:rPr>
        <w:t xml:space="preserve">rueba de </w:t>
      </w:r>
      <w:r w:rsidR="00572386">
        <w:rPr>
          <w:rFonts w:ascii="Arial" w:hAnsi="Arial" w:cs="Arial"/>
          <w:sz w:val="24"/>
          <w:szCs w:val="24"/>
          <w:lang w:val="es-ES_tradnl"/>
        </w:rPr>
        <w:t>a</w:t>
      </w:r>
      <w:r w:rsidR="00572386" w:rsidRPr="00572386">
        <w:rPr>
          <w:rFonts w:ascii="Arial" w:hAnsi="Arial" w:cs="Arial"/>
          <w:sz w:val="24"/>
          <w:szCs w:val="24"/>
          <w:lang w:val="es-ES_tradnl"/>
        </w:rPr>
        <w:t xml:space="preserve">ptitudes y </w:t>
      </w:r>
      <w:r w:rsidR="00572386">
        <w:rPr>
          <w:rFonts w:ascii="Arial" w:hAnsi="Arial" w:cs="Arial"/>
          <w:sz w:val="24"/>
          <w:szCs w:val="24"/>
          <w:lang w:val="es-ES_tradnl"/>
        </w:rPr>
        <w:t>c</w:t>
      </w:r>
      <w:r w:rsidR="00572386" w:rsidRPr="00572386">
        <w:rPr>
          <w:rFonts w:ascii="Arial" w:hAnsi="Arial" w:cs="Arial"/>
          <w:sz w:val="24"/>
          <w:szCs w:val="24"/>
          <w:lang w:val="es-ES_tradnl"/>
        </w:rPr>
        <w:t xml:space="preserve">onocimientos, </w:t>
      </w:r>
      <w:r w:rsidR="00572386">
        <w:rPr>
          <w:rFonts w:ascii="Arial" w:hAnsi="Arial" w:cs="Arial"/>
          <w:sz w:val="24"/>
          <w:szCs w:val="24"/>
          <w:lang w:val="es-ES_tradnl"/>
        </w:rPr>
        <w:t xml:space="preserve">(ii) </w:t>
      </w:r>
      <w:r w:rsidR="00572386" w:rsidRPr="00572386">
        <w:rPr>
          <w:rFonts w:ascii="Arial" w:hAnsi="Arial" w:cs="Arial"/>
          <w:sz w:val="24"/>
          <w:szCs w:val="24"/>
          <w:lang w:val="es-ES_tradnl"/>
        </w:rPr>
        <w:t xml:space="preserve">fase II – </w:t>
      </w:r>
      <w:r w:rsidR="00572386">
        <w:rPr>
          <w:rFonts w:ascii="Arial" w:hAnsi="Arial" w:cs="Arial"/>
          <w:sz w:val="24"/>
          <w:szCs w:val="24"/>
          <w:lang w:val="es-ES_tradnl"/>
        </w:rPr>
        <w:t>v</w:t>
      </w:r>
      <w:r w:rsidR="00572386" w:rsidRPr="00572386">
        <w:rPr>
          <w:rFonts w:ascii="Arial" w:hAnsi="Arial" w:cs="Arial"/>
          <w:sz w:val="24"/>
          <w:szCs w:val="24"/>
          <w:lang w:val="es-ES_tradnl"/>
        </w:rPr>
        <w:t xml:space="preserve">erificación de requisitos mínimos y </w:t>
      </w:r>
      <w:r w:rsidR="00572386">
        <w:rPr>
          <w:rFonts w:ascii="Arial" w:hAnsi="Arial" w:cs="Arial"/>
          <w:sz w:val="24"/>
          <w:szCs w:val="24"/>
          <w:lang w:val="es-ES_tradnl"/>
        </w:rPr>
        <w:t xml:space="preserve">(iii) </w:t>
      </w:r>
      <w:r w:rsidR="00572386" w:rsidRPr="00572386">
        <w:rPr>
          <w:rFonts w:ascii="Arial" w:hAnsi="Arial" w:cs="Arial"/>
          <w:sz w:val="24"/>
          <w:szCs w:val="24"/>
          <w:lang w:val="es-ES_tradnl"/>
        </w:rPr>
        <w:t xml:space="preserve">fase III – </w:t>
      </w:r>
      <w:r w:rsidR="00572386">
        <w:rPr>
          <w:rFonts w:ascii="Arial" w:hAnsi="Arial" w:cs="Arial"/>
          <w:sz w:val="24"/>
          <w:szCs w:val="24"/>
          <w:lang w:val="es-ES_tradnl"/>
        </w:rPr>
        <w:t>c</w:t>
      </w:r>
      <w:r w:rsidR="00572386" w:rsidRPr="00572386">
        <w:rPr>
          <w:rFonts w:ascii="Arial" w:hAnsi="Arial" w:cs="Arial"/>
          <w:sz w:val="24"/>
          <w:szCs w:val="24"/>
          <w:lang w:val="es-ES_tradnl"/>
        </w:rPr>
        <w:t xml:space="preserve">urso de </w:t>
      </w:r>
      <w:r w:rsidR="00572386">
        <w:rPr>
          <w:rFonts w:ascii="Arial" w:hAnsi="Arial" w:cs="Arial"/>
          <w:sz w:val="24"/>
          <w:szCs w:val="24"/>
          <w:lang w:val="es-ES_tradnl"/>
        </w:rPr>
        <w:t>f</w:t>
      </w:r>
      <w:r w:rsidR="00572386" w:rsidRPr="00572386">
        <w:rPr>
          <w:rFonts w:ascii="Arial" w:hAnsi="Arial" w:cs="Arial"/>
          <w:sz w:val="24"/>
          <w:szCs w:val="24"/>
          <w:lang w:val="es-ES_tradnl"/>
        </w:rPr>
        <w:t xml:space="preserve">ormación </w:t>
      </w:r>
      <w:r w:rsidR="00572386">
        <w:rPr>
          <w:rFonts w:ascii="Arial" w:hAnsi="Arial" w:cs="Arial"/>
          <w:sz w:val="24"/>
          <w:szCs w:val="24"/>
          <w:lang w:val="es-ES_tradnl"/>
        </w:rPr>
        <w:t>j</w:t>
      </w:r>
      <w:r w:rsidR="00572386" w:rsidRPr="00572386">
        <w:rPr>
          <w:rFonts w:ascii="Arial" w:hAnsi="Arial" w:cs="Arial"/>
          <w:sz w:val="24"/>
          <w:szCs w:val="24"/>
          <w:lang w:val="es-ES_tradnl"/>
        </w:rPr>
        <w:t xml:space="preserve">udicial </w:t>
      </w:r>
      <w:r w:rsidR="00572386">
        <w:rPr>
          <w:rFonts w:ascii="Arial" w:hAnsi="Arial" w:cs="Arial"/>
          <w:sz w:val="24"/>
          <w:szCs w:val="24"/>
          <w:lang w:val="es-ES_tradnl"/>
        </w:rPr>
        <w:t>i</w:t>
      </w:r>
      <w:r w:rsidR="00572386" w:rsidRPr="00572386">
        <w:rPr>
          <w:rFonts w:ascii="Arial" w:hAnsi="Arial" w:cs="Arial"/>
          <w:sz w:val="24"/>
          <w:szCs w:val="24"/>
          <w:lang w:val="es-ES_tradnl"/>
        </w:rPr>
        <w:t>nicial</w:t>
      </w:r>
      <w:r w:rsidR="00575408">
        <w:rPr>
          <w:rFonts w:ascii="Arial" w:hAnsi="Arial" w:cs="Arial"/>
          <w:sz w:val="24"/>
          <w:szCs w:val="24"/>
        </w:rPr>
        <w:t>.</w:t>
      </w:r>
    </w:p>
    <w:p w14:paraId="5815475A" w14:textId="31E20E80" w:rsidR="00575408" w:rsidRDefault="00575408" w:rsidP="00E76F32">
      <w:pPr>
        <w:widowControl w:val="0"/>
        <w:tabs>
          <w:tab w:val="left" w:pos="1985"/>
        </w:tabs>
        <w:spacing w:before="240" w:after="240" w:line="240" w:lineRule="auto"/>
        <w:jc w:val="both"/>
        <w:rPr>
          <w:rFonts w:ascii="Arial" w:hAnsi="Arial" w:cs="Arial"/>
          <w:bCs/>
          <w:sz w:val="24"/>
          <w:szCs w:val="24"/>
        </w:rPr>
      </w:pPr>
      <w:r>
        <w:rPr>
          <w:rFonts w:ascii="Arial" w:hAnsi="Arial" w:cs="Arial"/>
          <w:sz w:val="24"/>
          <w:szCs w:val="24"/>
        </w:rPr>
        <w:t xml:space="preserve">1.2.2. </w:t>
      </w:r>
      <w:r>
        <w:rPr>
          <w:rFonts w:ascii="Arial" w:hAnsi="Arial" w:cs="Arial"/>
          <w:bCs/>
          <w:sz w:val="24"/>
          <w:szCs w:val="24"/>
        </w:rPr>
        <w:t xml:space="preserve">Nelson Julián Valencia Zamora se </w:t>
      </w:r>
      <w:r w:rsidR="00277621">
        <w:rPr>
          <w:rFonts w:ascii="Arial" w:hAnsi="Arial" w:cs="Arial"/>
          <w:bCs/>
          <w:sz w:val="24"/>
          <w:szCs w:val="24"/>
        </w:rPr>
        <w:t>inscribió</w:t>
      </w:r>
      <w:r>
        <w:rPr>
          <w:rFonts w:ascii="Arial" w:hAnsi="Arial" w:cs="Arial"/>
          <w:bCs/>
          <w:sz w:val="24"/>
          <w:szCs w:val="24"/>
        </w:rPr>
        <w:t xml:space="preserve"> en la Convocatoria 27 para optar por el cargo de Juez Promiscuo Municipal. </w:t>
      </w:r>
      <w:r w:rsidR="000B0E92">
        <w:rPr>
          <w:rFonts w:ascii="Arial" w:hAnsi="Arial" w:cs="Arial"/>
          <w:bCs/>
          <w:sz w:val="24"/>
          <w:szCs w:val="24"/>
        </w:rPr>
        <w:t>El 2 de diciembre de 2018</w:t>
      </w:r>
      <w:r w:rsidR="003C5A43">
        <w:rPr>
          <w:rFonts w:ascii="Arial" w:hAnsi="Arial" w:cs="Arial"/>
          <w:bCs/>
          <w:sz w:val="24"/>
          <w:szCs w:val="24"/>
        </w:rPr>
        <w:t>,</w:t>
      </w:r>
      <w:r w:rsidR="000B0E92">
        <w:rPr>
          <w:rFonts w:ascii="Arial" w:hAnsi="Arial" w:cs="Arial"/>
          <w:bCs/>
          <w:sz w:val="24"/>
          <w:szCs w:val="24"/>
        </w:rPr>
        <w:t xml:space="preserve"> </w:t>
      </w:r>
      <w:r>
        <w:rPr>
          <w:rFonts w:ascii="Arial" w:hAnsi="Arial" w:cs="Arial"/>
          <w:bCs/>
          <w:sz w:val="24"/>
          <w:szCs w:val="24"/>
        </w:rPr>
        <w:t>pres</w:t>
      </w:r>
      <w:r w:rsidR="00111626">
        <w:rPr>
          <w:rFonts w:ascii="Arial" w:hAnsi="Arial" w:cs="Arial"/>
          <w:bCs/>
          <w:sz w:val="24"/>
          <w:szCs w:val="24"/>
        </w:rPr>
        <w:t>entó la prueba</w:t>
      </w:r>
      <w:r w:rsidR="000B0E92">
        <w:rPr>
          <w:rFonts w:ascii="Arial" w:hAnsi="Arial" w:cs="Arial"/>
          <w:bCs/>
          <w:sz w:val="24"/>
          <w:szCs w:val="24"/>
        </w:rPr>
        <w:t xml:space="preserve"> de conocimientos y aptitudes</w:t>
      </w:r>
      <w:r w:rsidR="00277621">
        <w:rPr>
          <w:rFonts w:ascii="Arial" w:hAnsi="Arial" w:cs="Arial"/>
          <w:bCs/>
          <w:sz w:val="24"/>
          <w:szCs w:val="24"/>
        </w:rPr>
        <w:t>,</w:t>
      </w:r>
      <w:r w:rsidR="00D165BC">
        <w:rPr>
          <w:rFonts w:ascii="Arial" w:hAnsi="Arial" w:cs="Arial"/>
          <w:bCs/>
          <w:sz w:val="24"/>
          <w:szCs w:val="24"/>
        </w:rPr>
        <w:t xml:space="preserve"> y en esa</w:t>
      </w:r>
      <w:r w:rsidR="003C5A43">
        <w:rPr>
          <w:rFonts w:ascii="Arial" w:hAnsi="Arial" w:cs="Arial"/>
          <w:bCs/>
          <w:sz w:val="24"/>
          <w:szCs w:val="24"/>
        </w:rPr>
        <w:t xml:space="preserve"> oportunidad</w:t>
      </w:r>
      <w:r w:rsidR="00D165BC">
        <w:rPr>
          <w:rFonts w:ascii="Arial" w:hAnsi="Arial" w:cs="Arial"/>
          <w:bCs/>
          <w:sz w:val="24"/>
          <w:szCs w:val="24"/>
        </w:rPr>
        <w:t>,</w:t>
      </w:r>
      <w:r w:rsidR="00277621">
        <w:rPr>
          <w:rFonts w:ascii="Arial" w:hAnsi="Arial" w:cs="Arial"/>
          <w:bCs/>
          <w:sz w:val="24"/>
          <w:szCs w:val="24"/>
        </w:rPr>
        <w:t xml:space="preserve"> </w:t>
      </w:r>
      <w:r w:rsidR="00111626" w:rsidRPr="001C5503">
        <w:rPr>
          <w:rFonts w:ascii="Arial" w:hAnsi="Arial" w:cs="Arial"/>
          <w:sz w:val="24"/>
          <w:szCs w:val="24"/>
          <w:lang w:val="es-ES"/>
        </w:rPr>
        <w:t>obtuvo un puntaje</w:t>
      </w:r>
      <w:r w:rsidR="00111626">
        <w:rPr>
          <w:rFonts w:ascii="Arial" w:hAnsi="Arial" w:cs="Arial"/>
          <w:sz w:val="24"/>
          <w:szCs w:val="24"/>
          <w:lang w:val="es-ES"/>
        </w:rPr>
        <w:t xml:space="preserve"> de 803.66</w:t>
      </w:r>
      <w:r w:rsidR="004D723D">
        <w:rPr>
          <w:rStyle w:val="Refdenotaalpie"/>
          <w:rFonts w:ascii="Arial" w:hAnsi="Arial" w:cs="Arial"/>
          <w:sz w:val="24"/>
          <w:szCs w:val="24"/>
          <w:lang w:val="es-ES"/>
        </w:rPr>
        <w:footnoteReference w:id="3"/>
      </w:r>
      <w:r w:rsidR="00532CC7">
        <w:rPr>
          <w:rFonts w:ascii="Arial" w:hAnsi="Arial" w:cs="Arial"/>
          <w:sz w:val="24"/>
          <w:szCs w:val="24"/>
          <w:lang w:val="es-ES"/>
        </w:rPr>
        <w:t xml:space="preserve">, </w:t>
      </w:r>
      <w:r w:rsidR="004D723D">
        <w:rPr>
          <w:rFonts w:ascii="Arial" w:hAnsi="Arial" w:cs="Arial"/>
          <w:sz w:val="24"/>
          <w:szCs w:val="24"/>
          <w:lang w:val="es-ES"/>
        </w:rPr>
        <w:t>con el que</w:t>
      </w:r>
      <w:r w:rsidR="003C5A43">
        <w:rPr>
          <w:rFonts w:ascii="Arial" w:hAnsi="Arial" w:cs="Arial"/>
          <w:sz w:val="24"/>
          <w:szCs w:val="24"/>
          <w:lang w:val="es-ES"/>
        </w:rPr>
        <w:t xml:space="preserve"> aprobó</w:t>
      </w:r>
      <w:r w:rsidR="00111626">
        <w:rPr>
          <w:rFonts w:ascii="Arial" w:hAnsi="Arial" w:cs="Arial"/>
          <w:sz w:val="24"/>
          <w:szCs w:val="24"/>
          <w:lang w:val="es-ES"/>
        </w:rPr>
        <w:t xml:space="preserve"> </w:t>
      </w:r>
      <w:r w:rsidR="003C5A43">
        <w:rPr>
          <w:rFonts w:ascii="Arial" w:hAnsi="Arial" w:cs="Arial"/>
          <w:sz w:val="24"/>
          <w:szCs w:val="24"/>
          <w:lang w:val="es-ES"/>
        </w:rPr>
        <w:t>la prueba,</w:t>
      </w:r>
      <w:r w:rsidR="00645E00">
        <w:rPr>
          <w:rFonts w:ascii="Arial" w:hAnsi="Arial" w:cs="Arial"/>
          <w:sz w:val="24"/>
          <w:szCs w:val="24"/>
          <w:lang w:val="es-ES"/>
        </w:rPr>
        <w:t xml:space="preserve"> y </w:t>
      </w:r>
      <w:r w:rsidR="00111626">
        <w:rPr>
          <w:rFonts w:ascii="Arial" w:hAnsi="Arial" w:cs="Arial"/>
          <w:sz w:val="24"/>
          <w:szCs w:val="24"/>
          <w:lang w:val="es-ES"/>
        </w:rPr>
        <w:t xml:space="preserve">que según </w:t>
      </w:r>
      <w:r w:rsidR="00DD7A4C">
        <w:rPr>
          <w:rFonts w:ascii="Arial" w:hAnsi="Arial" w:cs="Arial"/>
          <w:sz w:val="24"/>
          <w:szCs w:val="24"/>
          <w:lang w:val="es-ES"/>
        </w:rPr>
        <w:t>afirmó</w:t>
      </w:r>
      <w:r w:rsidR="000B0E92">
        <w:rPr>
          <w:rFonts w:ascii="Arial" w:hAnsi="Arial" w:cs="Arial"/>
          <w:sz w:val="24"/>
          <w:szCs w:val="24"/>
          <w:lang w:val="es-ES"/>
        </w:rPr>
        <w:t xml:space="preserve">, </w:t>
      </w:r>
      <w:r w:rsidR="00277621">
        <w:rPr>
          <w:rFonts w:ascii="Arial" w:hAnsi="Arial" w:cs="Arial"/>
          <w:sz w:val="24"/>
          <w:szCs w:val="24"/>
          <w:lang w:val="es-ES"/>
        </w:rPr>
        <w:t>cambió</w:t>
      </w:r>
      <w:r w:rsidR="000B0E92">
        <w:rPr>
          <w:rFonts w:ascii="Arial" w:hAnsi="Arial" w:cs="Arial"/>
          <w:sz w:val="24"/>
          <w:szCs w:val="24"/>
          <w:lang w:val="es-ES"/>
        </w:rPr>
        <w:t xml:space="preserve"> a 856.94, luego </w:t>
      </w:r>
      <w:r w:rsidR="00532CC7">
        <w:rPr>
          <w:rFonts w:ascii="Arial" w:hAnsi="Arial" w:cs="Arial"/>
          <w:sz w:val="24"/>
          <w:szCs w:val="24"/>
          <w:lang w:val="es-ES"/>
        </w:rPr>
        <w:t>de una recalificación</w:t>
      </w:r>
      <w:r w:rsidR="000B0E92">
        <w:rPr>
          <w:rFonts w:ascii="Arial" w:hAnsi="Arial" w:cs="Arial"/>
          <w:sz w:val="24"/>
          <w:szCs w:val="24"/>
          <w:lang w:val="es-ES"/>
        </w:rPr>
        <w:t>.</w:t>
      </w:r>
    </w:p>
    <w:p w14:paraId="069E7EF4" w14:textId="10695105" w:rsidR="00945243" w:rsidRDefault="000B0E92" w:rsidP="00E76F32">
      <w:pPr>
        <w:widowControl w:val="0"/>
        <w:tabs>
          <w:tab w:val="left" w:pos="1985"/>
        </w:tabs>
        <w:spacing w:before="240" w:after="240" w:line="240" w:lineRule="auto"/>
        <w:jc w:val="both"/>
        <w:rPr>
          <w:rFonts w:ascii="Arial" w:hAnsi="Arial" w:cs="Arial"/>
          <w:sz w:val="24"/>
          <w:szCs w:val="24"/>
        </w:rPr>
      </w:pPr>
      <w:r>
        <w:rPr>
          <w:rFonts w:ascii="Arial" w:hAnsi="Arial" w:cs="Arial"/>
          <w:sz w:val="24"/>
          <w:szCs w:val="24"/>
        </w:rPr>
        <w:t xml:space="preserve">1.2.3. Posteriormente, la Unidad de Administración de Carrera Judicial del Consejo Superior de la Judicatura expidió </w:t>
      </w:r>
      <w:r>
        <w:rPr>
          <w:rFonts w:ascii="Arial" w:hAnsi="Arial" w:cs="Arial"/>
          <w:sz w:val="24"/>
          <w:szCs w:val="24"/>
          <w:lang w:val="es-ES"/>
        </w:rPr>
        <w:t xml:space="preserve">la Resolución </w:t>
      </w:r>
      <w:r w:rsidRPr="00C428D0">
        <w:rPr>
          <w:rFonts w:ascii="Arial" w:hAnsi="Arial" w:cs="Arial"/>
          <w:sz w:val="24"/>
          <w:szCs w:val="24"/>
        </w:rPr>
        <w:t>CJR20-0202</w:t>
      </w:r>
      <w:r>
        <w:rPr>
          <w:rFonts w:ascii="Arial" w:hAnsi="Arial" w:cs="Arial"/>
          <w:sz w:val="24"/>
          <w:szCs w:val="24"/>
        </w:rPr>
        <w:t xml:space="preserve"> del 27 de octubre de 2020</w:t>
      </w:r>
      <w:r>
        <w:rPr>
          <w:rStyle w:val="Refdenotaalpie"/>
          <w:rFonts w:ascii="Arial" w:hAnsi="Arial" w:cs="Arial"/>
          <w:sz w:val="24"/>
          <w:szCs w:val="24"/>
        </w:rPr>
        <w:footnoteReference w:id="4"/>
      </w:r>
      <w:r w:rsidR="00C428D0">
        <w:rPr>
          <w:rFonts w:ascii="Arial" w:hAnsi="Arial" w:cs="Arial"/>
          <w:sz w:val="24"/>
          <w:szCs w:val="24"/>
        </w:rPr>
        <w:t xml:space="preserve">, en la que corrigió una actuación administrativa, y </w:t>
      </w:r>
      <w:r w:rsidR="00754227">
        <w:rPr>
          <w:rFonts w:ascii="Arial" w:hAnsi="Arial" w:cs="Arial"/>
          <w:sz w:val="24"/>
          <w:szCs w:val="24"/>
        </w:rPr>
        <w:t>así</w:t>
      </w:r>
      <w:r w:rsidR="00C428D0">
        <w:rPr>
          <w:rFonts w:ascii="Arial" w:hAnsi="Arial" w:cs="Arial"/>
          <w:sz w:val="24"/>
          <w:szCs w:val="24"/>
        </w:rPr>
        <w:t xml:space="preserve"> retrotra</w:t>
      </w:r>
      <w:r w:rsidR="00754227">
        <w:rPr>
          <w:rFonts w:ascii="Arial" w:hAnsi="Arial" w:cs="Arial"/>
          <w:sz w:val="24"/>
          <w:szCs w:val="24"/>
        </w:rPr>
        <w:t>jo</w:t>
      </w:r>
      <w:r w:rsidR="00C428D0">
        <w:rPr>
          <w:rFonts w:ascii="Arial" w:hAnsi="Arial" w:cs="Arial"/>
          <w:sz w:val="24"/>
          <w:szCs w:val="24"/>
        </w:rPr>
        <w:t xml:space="preserve"> lo actuado desde la citación a pruebas de los aspirantes inscritos.</w:t>
      </w:r>
      <w:r w:rsidR="007B239E">
        <w:rPr>
          <w:rFonts w:ascii="Arial" w:hAnsi="Arial" w:cs="Arial"/>
          <w:sz w:val="24"/>
          <w:szCs w:val="24"/>
        </w:rPr>
        <w:t xml:space="preserve"> </w:t>
      </w:r>
    </w:p>
    <w:p w14:paraId="05C29D18" w14:textId="59C7E215" w:rsidR="00DD7A4C" w:rsidRDefault="00532CC7" w:rsidP="001B3C9D">
      <w:pPr>
        <w:widowControl w:val="0"/>
        <w:tabs>
          <w:tab w:val="left" w:pos="1985"/>
        </w:tabs>
        <w:spacing w:before="240" w:after="240" w:line="240" w:lineRule="auto"/>
        <w:jc w:val="both"/>
        <w:rPr>
          <w:rFonts w:ascii="Arial" w:hAnsi="Arial" w:cs="Arial"/>
          <w:sz w:val="24"/>
          <w:szCs w:val="24"/>
        </w:rPr>
      </w:pPr>
      <w:r>
        <w:rPr>
          <w:rFonts w:ascii="Arial" w:hAnsi="Arial" w:cs="Arial"/>
          <w:sz w:val="24"/>
          <w:szCs w:val="24"/>
        </w:rPr>
        <w:t>Por su parte, la</w:t>
      </w:r>
      <w:r w:rsidR="00DD7A4C">
        <w:rPr>
          <w:rFonts w:ascii="Arial" w:hAnsi="Arial" w:cs="Arial"/>
          <w:sz w:val="24"/>
          <w:szCs w:val="24"/>
        </w:rPr>
        <w:t xml:space="preserve"> Corte Constitucional</w:t>
      </w:r>
      <w:r>
        <w:rPr>
          <w:rFonts w:ascii="Arial" w:hAnsi="Arial" w:cs="Arial"/>
          <w:sz w:val="24"/>
          <w:szCs w:val="24"/>
        </w:rPr>
        <w:t xml:space="preserve">, al revisar dos fallos de tutela que se </w:t>
      </w:r>
      <w:r>
        <w:rPr>
          <w:rFonts w:ascii="Arial" w:hAnsi="Arial" w:cs="Arial"/>
          <w:sz w:val="24"/>
          <w:szCs w:val="24"/>
        </w:rPr>
        <w:lastRenderedPageBreak/>
        <w:t>promovieron</w:t>
      </w:r>
      <w:r w:rsidR="00DD7A4C">
        <w:rPr>
          <w:rFonts w:ascii="Arial" w:hAnsi="Arial" w:cs="Arial"/>
          <w:sz w:val="24"/>
          <w:szCs w:val="24"/>
        </w:rPr>
        <w:t xml:space="preserve"> </w:t>
      </w:r>
      <w:r>
        <w:rPr>
          <w:rFonts w:ascii="Arial" w:hAnsi="Arial" w:cs="Arial"/>
          <w:sz w:val="24"/>
          <w:szCs w:val="24"/>
        </w:rPr>
        <w:t xml:space="preserve">en contra del mencionado acto administrativo, </w:t>
      </w:r>
      <w:r w:rsidR="00DD7A4C">
        <w:rPr>
          <w:rFonts w:ascii="Arial" w:hAnsi="Arial" w:cs="Arial"/>
          <w:sz w:val="24"/>
          <w:szCs w:val="24"/>
        </w:rPr>
        <w:t>profirió la sentencia SU-067 de 2022, en la que</w:t>
      </w:r>
      <w:r w:rsidR="00754227">
        <w:rPr>
          <w:rFonts w:ascii="Arial" w:hAnsi="Arial" w:cs="Arial"/>
          <w:sz w:val="24"/>
          <w:szCs w:val="24"/>
        </w:rPr>
        <w:t xml:space="preserve"> </w:t>
      </w:r>
      <w:r w:rsidR="00A644BD">
        <w:rPr>
          <w:rFonts w:ascii="Arial" w:hAnsi="Arial" w:cs="Arial"/>
          <w:sz w:val="24"/>
          <w:szCs w:val="24"/>
        </w:rPr>
        <w:t>confirmó la</w:t>
      </w:r>
      <w:r w:rsidR="007E43E7">
        <w:rPr>
          <w:rFonts w:ascii="Arial" w:hAnsi="Arial" w:cs="Arial"/>
          <w:sz w:val="24"/>
          <w:szCs w:val="24"/>
        </w:rPr>
        <w:t>s</w:t>
      </w:r>
      <w:r w:rsidR="00A644BD">
        <w:rPr>
          <w:rFonts w:ascii="Arial" w:hAnsi="Arial" w:cs="Arial"/>
          <w:sz w:val="24"/>
          <w:szCs w:val="24"/>
        </w:rPr>
        <w:t xml:space="preserve"> tutela</w:t>
      </w:r>
      <w:r w:rsidR="007E43E7">
        <w:rPr>
          <w:rFonts w:ascii="Arial" w:hAnsi="Arial" w:cs="Arial"/>
          <w:sz w:val="24"/>
          <w:szCs w:val="24"/>
        </w:rPr>
        <w:t>s</w:t>
      </w:r>
      <w:r w:rsidR="00A644BD">
        <w:rPr>
          <w:rFonts w:ascii="Arial" w:hAnsi="Arial" w:cs="Arial"/>
          <w:sz w:val="24"/>
          <w:szCs w:val="24"/>
        </w:rPr>
        <w:t xml:space="preserve"> que neg</w:t>
      </w:r>
      <w:r w:rsidR="007E43E7">
        <w:rPr>
          <w:rFonts w:ascii="Arial" w:hAnsi="Arial" w:cs="Arial"/>
          <w:sz w:val="24"/>
          <w:szCs w:val="24"/>
        </w:rPr>
        <w:t>aron</w:t>
      </w:r>
      <w:r w:rsidR="00A644BD">
        <w:rPr>
          <w:rFonts w:ascii="Arial" w:hAnsi="Arial" w:cs="Arial"/>
          <w:sz w:val="24"/>
          <w:szCs w:val="24"/>
        </w:rPr>
        <w:t xml:space="preserve"> el amparo</w:t>
      </w:r>
      <w:r w:rsidR="007E43E7">
        <w:rPr>
          <w:rFonts w:ascii="Arial" w:hAnsi="Arial" w:cs="Arial"/>
          <w:sz w:val="24"/>
          <w:szCs w:val="24"/>
        </w:rPr>
        <w:t xml:space="preserve"> y decidió, entre otras, </w:t>
      </w:r>
      <w:r w:rsidR="00DD7A4C">
        <w:rPr>
          <w:rFonts w:ascii="Arial" w:hAnsi="Arial" w:cs="Arial"/>
          <w:sz w:val="24"/>
          <w:szCs w:val="24"/>
        </w:rPr>
        <w:t>apremiar al C</w:t>
      </w:r>
      <w:r w:rsidR="00DD7A4C" w:rsidRPr="00DD7A4C">
        <w:rPr>
          <w:rFonts w:ascii="Arial" w:hAnsi="Arial" w:cs="Arial"/>
          <w:sz w:val="24"/>
          <w:szCs w:val="24"/>
        </w:rPr>
        <w:t>onsejo Superior de la Judicatura y a la Universidad Nacional de Colombia</w:t>
      </w:r>
      <w:r w:rsidR="00D165BC">
        <w:rPr>
          <w:rFonts w:ascii="Arial" w:hAnsi="Arial" w:cs="Arial"/>
          <w:sz w:val="24"/>
          <w:szCs w:val="24"/>
        </w:rPr>
        <w:t xml:space="preserve"> </w:t>
      </w:r>
      <w:r w:rsidR="007E43E7">
        <w:rPr>
          <w:rFonts w:ascii="Arial" w:hAnsi="Arial" w:cs="Arial"/>
          <w:sz w:val="24"/>
          <w:szCs w:val="24"/>
        </w:rPr>
        <w:t>q</w:t>
      </w:r>
      <w:r w:rsidR="00DD7A4C">
        <w:rPr>
          <w:rFonts w:ascii="Arial" w:hAnsi="Arial" w:cs="Arial"/>
          <w:sz w:val="24"/>
          <w:szCs w:val="24"/>
        </w:rPr>
        <w:t xml:space="preserve">ue fijaran un nuevo cronograma de actividades del concurso, </w:t>
      </w:r>
      <w:r w:rsidR="001B3C9D">
        <w:rPr>
          <w:rFonts w:ascii="Arial" w:hAnsi="Arial" w:cs="Arial"/>
          <w:sz w:val="24"/>
          <w:szCs w:val="24"/>
        </w:rPr>
        <w:t>para realizar nuevamente la prueba de conocimientos y aptitudes, y continuar con las etapas restantes, de conformidad con</w:t>
      </w:r>
      <w:r w:rsidR="00DD7A4C" w:rsidRPr="00DD7A4C">
        <w:rPr>
          <w:rFonts w:ascii="Arial" w:hAnsi="Arial" w:cs="Arial"/>
          <w:sz w:val="24"/>
          <w:szCs w:val="24"/>
        </w:rPr>
        <w:t xml:space="preserve"> </w:t>
      </w:r>
      <w:r w:rsidR="001B3C9D">
        <w:rPr>
          <w:rFonts w:ascii="Arial" w:hAnsi="Arial" w:cs="Arial"/>
          <w:sz w:val="24"/>
          <w:szCs w:val="24"/>
        </w:rPr>
        <w:t>“</w:t>
      </w:r>
      <w:r w:rsidR="00DD7A4C" w:rsidRPr="00DD7A4C">
        <w:rPr>
          <w:rFonts w:ascii="Arial" w:hAnsi="Arial" w:cs="Arial"/>
          <w:sz w:val="24"/>
          <w:szCs w:val="24"/>
        </w:rPr>
        <w:t>los principios de la función administrativa, particularmente los postulados de la eficacia y la celeridad</w:t>
      </w:r>
      <w:r w:rsidR="00DD7A4C">
        <w:rPr>
          <w:rFonts w:ascii="Arial" w:hAnsi="Arial" w:cs="Arial"/>
          <w:sz w:val="24"/>
          <w:szCs w:val="24"/>
        </w:rPr>
        <w:t>”</w:t>
      </w:r>
      <w:r w:rsidR="00DD7A4C">
        <w:rPr>
          <w:rStyle w:val="Refdenotaalpie"/>
          <w:rFonts w:ascii="Arial" w:hAnsi="Arial" w:cs="Arial"/>
          <w:sz w:val="24"/>
          <w:szCs w:val="24"/>
        </w:rPr>
        <w:footnoteReference w:id="5"/>
      </w:r>
      <w:r w:rsidR="00DD7A4C" w:rsidRPr="00DD7A4C">
        <w:rPr>
          <w:rFonts w:ascii="Arial" w:hAnsi="Arial" w:cs="Arial"/>
          <w:sz w:val="24"/>
          <w:szCs w:val="24"/>
        </w:rPr>
        <w:t>.</w:t>
      </w:r>
    </w:p>
    <w:p w14:paraId="04493963" w14:textId="2D28E896" w:rsidR="00DD7A4C" w:rsidRDefault="00DD7A4C" w:rsidP="00E76F32">
      <w:pPr>
        <w:widowControl w:val="0"/>
        <w:tabs>
          <w:tab w:val="left" w:pos="1985"/>
        </w:tabs>
        <w:spacing w:before="240" w:after="240" w:line="240" w:lineRule="auto"/>
        <w:jc w:val="both"/>
        <w:rPr>
          <w:rFonts w:ascii="Arial" w:hAnsi="Arial" w:cs="Arial"/>
          <w:sz w:val="24"/>
          <w:szCs w:val="24"/>
        </w:rPr>
      </w:pPr>
      <w:r>
        <w:rPr>
          <w:rFonts w:ascii="Arial" w:hAnsi="Arial" w:cs="Arial"/>
          <w:sz w:val="24"/>
          <w:szCs w:val="24"/>
        </w:rPr>
        <w:t xml:space="preserve">1.2.4. Con ocasión de las anteriores </w:t>
      </w:r>
      <w:r w:rsidR="00277621">
        <w:rPr>
          <w:rFonts w:ascii="Arial" w:hAnsi="Arial" w:cs="Arial"/>
          <w:sz w:val="24"/>
          <w:szCs w:val="24"/>
        </w:rPr>
        <w:t>decisiones</w:t>
      </w:r>
      <w:r>
        <w:rPr>
          <w:rFonts w:ascii="Arial" w:hAnsi="Arial" w:cs="Arial"/>
          <w:sz w:val="24"/>
          <w:szCs w:val="24"/>
        </w:rPr>
        <w:t xml:space="preserve">, </w:t>
      </w:r>
      <w:r w:rsidR="00B85B07" w:rsidRPr="00DD7A4C">
        <w:rPr>
          <w:rFonts w:ascii="Arial" w:hAnsi="Arial" w:cs="Arial"/>
          <w:sz w:val="24"/>
          <w:szCs w:val="24"/>
        </w:rPr>
        <w:t>el 10 de mayo de 2022</w:t>
      </w:r>
      <w:r w:rsidR="00B85B07" w:rsidRPr="00DD7A4C">
        <w:rPr>
          <w:rFonts w:ascii="Arial" w:hAnsi="Arial" w:cs="Arial"/>
          <w:sz w:val="24"/>
          <w:szCs w:val="24"/>
          <w:vertAlign w:val="superscript"/>
        </w:rPr>
        <w:footnoteReference w:id="6"/>
      </w:r>
      <w:r w:rsidR="00B85B07">
        <w:rPr>
          <w:rFonts w:ascii="Arial" w:hAnsi="Arial" w:cs="Arial"/>
          <w:sz w:val="24"/>
          <w:szCs w:val="24"/>
        </w:rPr>
        <w:t xml:space="preserve"> </w:t>
      </w:r>
      <w:r>
        <w:rPr>
          <w:rFonts w:ascii="Arial" w:hAnsi="Arial" w:cs="Arial"/>
          <w:sz w:val="24"/>
          <w:szCs w:val="24"/>
        </w:rPr>
        <w:t>el</w:t>
      </w:r>
      <w:r w:rsidR="003D136D">
        <w:rPr>
          <w:rFonts w:ascii="Arial" w:hAnsi="Arial" w:cs="Arial"/>
          <w:sz w:val="24"/>
          <w:szCs w:val="24"/>
        </w:rPr>
        <w:t xml:space="preserve"> Consejo Superior de la Judicatura publicó el</w:t>
      </w:r>
      <w:r>
        <w:rPr>
          <w:rFonts w:ascii="Arial" w:hAnsi="Arial" w:cs="Arial"/>
          <w:sz w:val="24"/>
          <w:szCs w:val="24"/>
        </w:rPr>
        <w:t xml:space="preserve"> </w:t>
      </w:r>
      <w:r w:rsidRPr="00DD7A4C">
        <w:rPr>
          <w:rFonts w:ascii="Arial" w:hAnsi="Arial" w:cs="Arial"/>
          <w:sz w:val="24"/>
          <w:szCs w:val="24"/>
        </w:rPr>
        <w:t xml:space="preserve">cronograma de las etapas del </w:t>
      </w:r>
      <w:r w:rsidR="003D136D">
        <w:rPr>
          <w:rFonts w:ascii="Arial" w:hAnsi="Arial" w:cs="Arial"/>
          <w:sz w:val="24"/>
          <w:szCs w:val="24"/>
        </w:rPr>
        <w:t>mencionado</w:t>
      </w:r>
      <w:r w:rsidRPr="00DD7A4C">
        <w:rPr>
          <w:rFonts w:ascii="Arial" w:hAnsi="Arial" w:cs="Arial"/>
          <w:sz w:val="24"/>
          <w:szCs w:val="24"/>
        </w:rPr>
        <w:t xml:space="preserve"> concurso de méritos en la página web </w:t>
      </w:r>
      <w:r w:rsidR="003D136D">
        <w:rPr>
          <w:rFonts w:ascii="Arial" w:hAnsi="Arial" w:cs="Arial"/>
          <w:sz w:val="24"/>
          <w:szCs w:val="24"/>
        </w:rPr>
        <w:t>de la Rama Judicial,</w:t>
      </w:r>
      <w:r w:rsidR="00B85B07">
        <w:rPr>
          <w:rFonts w:ascii="Arial" w:hAnsi="Arial" w:cs="Arial"/>
          <w:sz w:val="24"/>
          <w:szCs w:val="24"/>
        </w:rPr>
        <w:t xml:space="preserve"> </w:t>
      </w:r>
      <w:r w:rsidR="000B29E6">
        <w:rPr>
          <w:rFonts w:ascii="Arial" w:hAnsi="Arial" w:cs="Arial"/>
          <w:sz w:val="24"/>
          <w:szCs w:val="24"/>
        </w:rPr>
        <w:t xml:space="preserve">en el que </w:t>
      </w:r>
      <w:r w:rsidR="0055337A">
        <w:rPr>
          <w:rFonts w:ascii="Arial" w:hAnsi="Arial" w:cs="Arial"/>
          <w:sz w:val="24"/>
          <w:szCs w:val="24"/>
        </w:rPr>
        <w:t>dispuso l</w:t>
      </w:r>
      <w:r w:rsidRPr="00DD7A4C">
        <w:rPr>
          <w:rFonts w:ascii="Arial" w:hAnsi="Arial" w:cs="Arial"/>
          <w:sz w:val="24"/>
          <w:szCs w:val="24"/>
        </w:rPr>
        <w:t>o siguiente</w:t>
      </w:r>
      <w:r w:rsidR="009B72BC">
        <w:rPr>
          <w:rFonts w:ascii="Arial" w:hAnsi="Arial" w:cs="Arial"/>
          <w:sz w:val="24"/>
          <w:szCs w:val="24"/>
        </w:rPr>
        <w:t>:</w:t>
      </w:r>
    </w:p>
    <w:tbl>
      <w:tblPr>
        <w:tblStyle w:val="Tablaconcuadrcula1"/>
        <w:tblW w:w="9640" w:type="dxa"/>
        <w:jc w:val="center"/>
        <w:tblLook w:val="04A0" w:firstRow="1" w:lastRow="0" w:firstColumn="1" w:lastColumn="0" w:noHBand="0" w:noVBand="1"/>
      </w:tblPr>
      <w:tblGrid>
        <w:gridCol w:w="4537"/>
        <w:gridCol w:w="2551"/>
        <w:gridCol w:w="2552"/>
      </w:tblGrid>
      <w:tr w:rsidR="009B72BC" w:rsidRPr="005F66CB" w14:paraId="6178EDCF" w14:textId="77777777" w:rsidTr="005F66CB">
        <w:trPr>
          <w:jc w:val="center"/>
        </w:trPr>
        <w:tc>
          <w:tcPr>
            <w:tcW w:w="4537" w:type="dxa"/>
            <w:vAlign w:val="center"/>
          </w:tcPr>
          <w:p w14:paraId="740C2361" w14:textId="77777777" w:rsidR="009B72BC" w:rsidRPr="005F66CB" w:rsidRDefault="009B72BC" w:rsidP="00E76F32">
            <w:pPr>
              <w:widowControl w:val="0"/>
              <w:tabs>
                <w:tab w:val="left" w:pos="1985"/>
              </w:tabs>
              <w:jc w:val="center"/>
              <w:rPr>
                <w:rFonts w:ascii="Arial" w:hAnsi="Arial" w:cs="Arial"/>
                <w:b/>
                <w:sz w:val="18"/>
                <w:szCs w:val="18"/>
              </w:rPr>
            </w:pPr>
            <w:r w:rsidRPr="005F66CB">
              <w:rPr>
                <w:rFonts w:ascii="Arial" w:hAnsi="Arial" w:cs="Arial"/>
                <w:b/>
                <w:sz w:val="18"/>
                <w:szCs w:val="18"/>
              </w:rPr>
              <w:t>ACTIVIDAD</w:t>
            </w:r>
          </w:p>
        </w:tc>
        <w:tc>
          <w:tcPr>
            <w:tcW w:w="2551" w:type="dxa"/>
            <w:vAlign w:val="center"/>
          </w:tcPr>
          <w:p w14:paraId="10B640E5" w14:textId="77777777" w:rsidR="009B72BC" w:rsidRPr="005F66CB" w:rsidRDefault="009B72BC" w:rsidP="00E76F32">
            <w:pPr>
              <w:widowControl w:val="0"/>
              <w:tabs>
                <w:tab w:val="left" w:pos="1985"/>
              </w:tabs>
              <w:jc w:val="center"/>
              <w:rPr>
                <w:rFonts w:ascii="Arial" w:hAnsi="Arial" w:cs="Arial"/>
                <w:b/>
                <w:sz w:val="18"/>
                <w:szCs w:val="18"/>
              </w:rPr>
            </w:pPr>
            <w:r w:rsidRPr="005F66CB">
              <w:rPr>
                <w:rFonts w:ascii="Arial" w:hAnsi="Arial" w:cs="Arial"/>
                <w:b/>
                <w:sz w:val="18"/>
                <w:szCs w:val="18"/>
              </w:rPr>
              <w:t>FECHA INICIAL</w:t>
            </w:r>
          </w:p>
        </w:tc>
        <w:tc>
          <w:tcPr>
            <w:tcW w:w="2552" w:type="dxa"/>
            <w:vAlign w:val="center"/>
          </w:tcPr>
          <w:p w14:paraId="3AE44006" w14:textId="77777777" w:rsidR="009B72BC" w:rsidRPr="005F66CB" w:rsidRDefault="009B72BC" w:rsidP="00E76F32">
            <w:pPr>
              <w:widowControl w:val="0"/>
              <w:tabs>
                <w:tab w:val="left" w:pos="1985"/>
              </w:tabs>
              <w:jc w:val="center"/>
              <w:rPr>
                <w:rFonts w:ascii="Arial" w:hAnsi="Arial" w:cs="Arial"/>
                <w:b/>
                <w:sz w:val="18"/>
                <w:szCs w:val="18"/>
              </w:rPr>
            </w:pPr>
            <w:r w:rsidRPr="005F66CB">
              <w:rPr>
                <w:rFonts w:ascii="Arial" w:hAnsi="Arial" w:cs="Arial"/>
                <w:b/>
                <w:sz w:val="18"/>
                <w:szCs w:val="18"/>
              </w:rPr>
              <w:t>FECHA FINAL</w:t>
            </w:r>
          </w:p>
        </w:tc>
      </w:tr>
      <w:tr w:rsidR="009B72BC" w:rsidRPr="005F66CB" w14:paraId="1398A6DC" w14:textId="77777777" w:rsidTr="005F66CB">
        <w:trPr>
          <w:jc w:val="center"/>
        </w:trPr>
        <w:tc>
          <w:tcPr>
            <w:tcW w:w="4537" w:type="dxa"/>
            <w:vAlign w:val="center"/>
          </w:tcPr>
          <w:p w14:paraId="774810E9"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Citación a pruebas</w:t>
            </w:r>
          </w:p>
        </w:tc>
        <w:tc>
          <w:tcPr>
            <w:tcW w:w="2551" w:type="dxa"/>
            <w:vAlign w:val="center"/>
          </w:tcPr>
          <w:p w14:paraId="22BDBE5F"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19 de junio de 2022</w:t>
            </w:r>
          </w:p>
        </w:tc>
        <w:tc>
          <w:tcPr>
            <w:tcW w:w="2552" w:type="dxa"/>
            <w:vAlign w:val="center"/>
          </w:tcPr>
          <w:p w14:paraId="643D0293"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19 de junio de 2022</w:t>
            </w:r>
          </w:p>
        </w:tc>
      </w:tr>
      <w:tr w:rsidR="009B72BC" w:rsidRPr="005F66CB" w14:paraId="60836482" w14:textId="77777777" w:rsidTr="005F66CB">
        <w:trPr>
          <w:jc w:val="center"/>
        </w:trPr>
        <w:tc>
          <w:tcPr>
            <w:tcW w:w="4537" w:type="dxa"/>
            <w:vAlign w:val="center"/>
          </w:tcPr>
          <w:p w14:paraId="6245F726"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Aplicación de pruebas</w:t>
            </w:r>
          </w:p>
        </w:tc>
        <w:tc>
          <w:tcPr>
            <w:tcW w:w="2551" w:type="dxa"/>
            <w:vAlign w:val="center"/>
          </w:tcPr>
          <w:p w14:paraId="3127539C"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24 de julio de 2022</w:t>
            </w:r>
          </w:p>
        </w:tc>
        <w:tc>
          <w:tcPr>
            <w:tcW w:w="2552" w:type="dxa"/>
            <w:vAlign w:val="center"/>
          </w:tcPr>
          <w:p w14:paraId="4CBF433D"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24 de julio de 2022</w:t>
            </w:r>
          </w:p>
        </w:tc>
      </w:tr>
      <w:tr w:rsidR="009B72BC" w:rsidRPr="005F66CB" w14:paraId="3ECDD915" w14:textId="77777777" w:rsidTr="005F66CB">
        <w:trPr>
          <w:jc w:val="center"/>
        </w:trPr>
        <w:tc>
          <w:tcPr>
            <w:tcW w:w="4537" w:type="dxa"/>
            <w:vAlign w:val="center"/>
          </w:tcPr>
          <w:p w14:paraId="2BB3B7E7"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Resolución que publica resultados de las pruebas de aptitudes y conocimientos</w:t>
            </w:r>
          </w:p>
        </w:tc>
        <w:tc>
          <w:tcPr>
            <w:tcW w:w="2551" w:type="dxa"/>
            <w:vAlign w:val="center"/>
          </w:tcPr>
          <w:p w14:paraId="28A2E93E"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1 de septiembre de 2022</w:t>
            </w:r>
          </w:p>
        </w:tc>
        <w:tc>
          <w:tcPr>
            <w:tcW w:w="2552" w:type="dxa"/>
            <w:vAlign w:val="center"/>
          </w:tcPr>
          <w:p w14:paraId="0CDABE94"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1 de septiembre de 2022</w:t>
            </w:r>
          </w:p>
        </w:tc>
      </w:tr>
      <w:tr w:rsidR="009B72BC" w:rsidRPr="005F66CB" w14:paraId="307909A7" w14:textId="77777777" w:rsidTr="005F66CB">
        <w:trPr>
          <w:jc w:val="center"/>
        </w:trPr>
        <w:tc>
          <w:tcPr>
            <w:tcW w:w="4537" w:type="dxa"/>
            <w:vAlign w:val="center"/>
          </w:tcPr>
          <w:p w14:paraId="7A0DBFA2"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Notificación de la resolución que publica resultados de las pruebas de aptitudes y conocimientos</w:t>
            </w:r>
          </w:p>
        </w:tc>
        <w:tc>
          <w:tcPr>
            <w:tcW w:w="2551" w:type="dxa"/>
            <w:vAlign w:val="center"/>
          </w:tcPr>
          <w:p w14:paraId="7C7DB537"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2 de septiembre de 2022</w:t>
            </w:r>
          </w:p>
        </w:tc>
        <w:tc>
          <w:tcPr>
            <w:tcW w:w="2552" w:type="dxa"/>
            <w:vAlign w:val="center"/>
          </w:tcPr>
          <w:p w14:paraId="7D9DF97C"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8 de septiembre de 2022</w:t>
            </w:r>
          </w:p>
        </w:tc>
      </w:tr>
      <w:tr w:rsidR="009B72BC" w:rsidRPr="005F66CB" w14:paraId="1C8B0233" w14:textId="77777777" w:rsidTr="005F66CB">
        <w:trPr>
          <w:jc w:val="center"/>
        </w:trPr>
        <w:tc>
          <w:tcPr>
            <w:tcW w:w="4537" w:type="dxa"/>
            <w:vAlign w:val="center"/>
          </w:tcPr>
          <w:p w14:paraId="2E740C08"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Término para interposición de recursos de reposición contra la resolución que publica resultados de las pruebas de aptitudes y conocimientos</w:t>
            </w:r>
          </w:p>
        </w:tc>
        <w:tc>
          <w:tcPr>
            <w:tcW w:w="2551" w:type="dxa"/>
            <w:vAlign w:val="center"/>
          </w:tcPr>
          <w:p w14:paraId="34FE69DF"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9 de septiembre de 2022</w:t>
            </w:r>
          </w:p>
        </w:tc>
        <w:tc>
          <w:tcPr>
            <w:tcW w:w="2552" w:type="dxa"/>
            <w:vAlign w:val="center"/>
          </w:tcPr>
          <w:p w14:paraId="1F30571F"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22 de septiembre de 2022</w:t>
            </w:r>
          </w:p>
        </w:tc>
      </w:tr>
      <w:tr w:rsidR="009B72BC" w:rsidRPr="005F66CB" w14:paraId="6338B537" w14:textId="77777777" w:rsidTr="005F66CB">
        <w:trPr>
          <w:jc w:val="center"/>
        </w:trPr>
        <w:tc>
          <w:tcPr>
            <w:tcW w:w="4537" w:type="dxa"/>
            <w:vAlign w:val="center"/>
          </w:tcPr>
          <w:p w14:paraId="1BE03260"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Jornada de exhibición</w:t>
            </w:r>
          </w:p>
        </w:tc>
        <w:tc>
          <w:tcPr>
            <w:tcW w:w="2551" w:type="dxa"/>
            <w:vAlign w:val="center"/>
          </w:tcPr>
          <w:p w14:paraId="02F94A2C"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30 de octubre de 2022</w:t>
            </w:r>
          </w:p>
        </w:tc>
        <w:tc>
          <w:tcPr>
            <w:tcW w:w="2552" w:type="dxa"/>
            <w:vAlign w:val="center"/>
          </w:tcPr>
          <w:p w14:paraId="309F1D6D"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30 de octubre de 2022</w:t>
            </w:r>
          </w:p>
        </w:tc>
      </w:tr>
      <w:tr w:rsidR="009B72BC" w:rsidRPr="005F66CB" w14:paraId="1157F385" w14:textId="77777777" w:rsidTr="005F66CB">
        <w:trPr>
          <w:jc w:val="center"/>
        </w:trPr>
        <w:tc>
          <w:tcPr>
            <w:tcW w:w="4537" w:type="dxa"/>
            <w:vAlign w:val="center"/>
          </w:tcPr>
          <w:p w14:paraId="118CEEED"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Ampliación del término para sustentar los recursos de quienes participaron en la exhibición</w:t>
            </w:r>
          </w:p>
        </w:tc>
        <w:tc>
          <w:tcPr>
            <w:tcW w:w="2551" w:type="dxa"/>
            <w:vAlign w:val="center"/>
          </w:tcPr>
          <w:p w14:paraId="66B6BBCF"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31 de octubre de 2022</w:t>
            </w:r>
          </w:p>
        </w:tc>
        <w:tc>
          <w:tcPr>
            <w:tcW w:w="2552" w:type="dxa"/>
            <w:vAlign w:val="center"/>
          </w:tcPr>
          <w:p w14:paraId="0B4FD981"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15 de noviembre de 2022</w:t>
            </w:r>
          </w:p>
        </w:tc>
      </w:tr>
      <w:tr w:rsidR="009B72BC" w:rsidRPr="005F66CB" w14:paraId="4B79E8D1" w14:textId="77777777" w:rsidTr="005F66CB">
        <w:trPr>
          <w:jc w:val="center"/>
        </w:trPr>
        <w:tc>
          <w:tcPr>
            <w:tcW w:w="4537" w:type="dxa"/>
            <w:vAlign w:val="center"/>
          </w:tcPr>
          <w:p w14:paraId="7625FDFE"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Resolución que resuelve recursos de reposición interpuestos contra la resolución que publica resultados de las pruebas de aptitudes y conocimientos</w:t>
            </w:r>
          </w:p>
        </w:tc>
        <w:tc>
          <w:tcPr>
            <w:tcW w:w="2551" w:type="dxa"/>
            <w:vAlign w:val="center"/>
          </w:tcPr>
          <w:p w14:paraId="2A8E00D2"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16 de enero de 2022</w:t>
            </w:r>
          </w:p>
        </w:tc>
        <w:tc>
          <w:tcPr>
            <w:tcW w:w="2552" w:type="dxa"/>
            <w:vAlign w:val="center"/>
          </w:tcPr>
          <w:p w14:paraId="24C24265"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16 de enero de 2022</w:t>
            </w:r>
          </w:p>
        </w:tc>
      </w:tr>
      <w:tr w:rsidR="009B72BC" w:rsidRPr="005F66CB" w14:paraId="691D5733" w14:textId="77777777" w:rsidTr="005F66CB">
        <w:trPr>
          <w:jc w:val="center"/>
        </w:trPr>
        <w:tc>
          <w:tcPr>
            <w:tcW w:w="4537" w:type="dxa"/>
            <w:vAlign w:val="center"/>
          </w:tcPr>
          <w:p w14:paraId="1EE588BF"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Notificación de la resolución que resuelve los recursos de reposición interpuestos contra la resolución que publica resultados de las pruebas de aptitudes y conocimientos</w:t>
            </w:r>
          </w:p>
        </w:tc>
        <w:tc>
          <w:tcPr>
            <w:tcW w:w="2551" w:type="dxa"/>
            <w:vAlign w:val="center"/>
          </w:tcPr>
          <w:p w14:paraId="66BBD3A9"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17 de enero de 2023</w:t>
            </w:r>
          </w:p>
        </w:tc>
        <w:tc>
          <w:tcPr>
            <w:tcW w:w="2552" w:type="dxa"/>
            <w:vAlign w:val="center"/>
          </w:tcPr>
          <w:p w14:paraId="4EB3F726"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23 de enero de 2023</w:t>
            </w:r>
          </w:p>
        </w:tc>
      </w:tr>
      <w:tr w:rsidR="009B72BC" w:rsidRPr="005F66CB" w14:paraId="10A14AF5" w14:textId="77777777" w:rsidTr="005F66CB">
        <w:trPr>
          <w:jc w:val="center"/>
        </w:trPr>
        <w:tc>
          <w:tcPr>
            <w:tcW w:w="4537" w:type="dxa"/>
            <w:vAlign w:val="center"/>
          </w:tcPr>
          <w:p w14:paraId="25A73D09"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Resolución mediante la cual se publica la relación de admitidos</w:t>
            </w:r>
          </w:p>
        </w:tc>
        <w:tc>
          <w:tcPr>
            <w:tcW w:w="2551" w:type="dxa"/>
            <w:vAlign w:val="center"/>
          </w:tcPr>
          <w:p w14:paraId="1BDD3F44"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8 de febrero de 2023</w:t>
            </w:r>
          </w:p>
        </w:tc>
        <w:tc>
          <w:tcPr>
            <w:tcW w:w="2552" w:type="dxa"/>
            <w:vAlign w:val="center"/>
          </w:tcPr>
          <w:p w14:paraId="11D0C1A3"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8 de febrero de 2023</w:t>
            </w:r>
          </w:p>
        </w:tc>
      </w:tr>
      <w:tr w:rsidR="009B72BC" w:rsidRPr="005F66CB" w14:paraId="4F9ECB83" w14:textId="77777777" w:rsidTr="005F66CB">
        <w:trPr>
          <w:jc w:val="center"/>
        </w:trPr>
        <w:tc>
          <w:tcPr>
            <w:tcW w:w="4537" w:type="dxa"/>
            <w:vAlign w:val="center"/>
          </w:tcPr>
          <w:p w14:paraId="16C54A16"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Notificación de la resolución mediante la cual se publica la relación de admitidos</w:t>
            </w:r>
          </w:p>
        </w:tc>
        <w:tc>
          <w:tcPr>
            <w:tcW w:w="2551" w:type="dxa"/>
            <w:vAlign w:val="center"/>
          </w:tcPr>
          <w:p w14:paraId="29B7E07F"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9 de febrero de 2023</w:t>
            </w:r>
          </w:p>
        </w:tc>
        <w:tc>
          <w:tcPr>
            <w:tcW w:w="2552" w:type="dxa"/>
            <w:vAlign w:val="center"/>
          </w:tcPr>
          <w:p w14:paraId="0E2C2BF3"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15 de febrero de 2023</w:t>
            </w:r>
          </w:p>
        </w:tc>
      </w:tr>
      <w:tr w:rsidR="009B72BC" w:rsidRPr="005F66CB" w14:paraId="2943CB08" w14:textId="77777777" w:rsidTr="005F66CB">
        <w:trPr>
          <w:jc w:val="center"/>
        </w:trPr>
        <w:tc>
          <w:tcPr>
            <w:tcW w:w="4537" w:type="dxa"/>
            <w:vAlign w:val="center"/>
          </w:tcPr>
          <w:p w14:paraId="19F25050"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Término para efectuar solicitudes de verificación de la documentación</w:t>
            </w:r>
          </w:p>
        </w:tc>
        <w:tc>
          <w:tcPr>
            <w:tcW w:w="2551" w:type="dxa"/>
            <w:vAlign w:val="center"/>
          </w:tcPr>
          <w:p w14:paraId="7FFFB9DE"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16 de febrero de 2023</w:t>
            </w:r>
          </w:p>
        </w:tc>
        <w:tc>
          <w:tcPr>
            <w:tcW w:w="2552" w:type="dxa"/>
            <w:vAlign w:val="center"/>
          </w:tcPr>
          <w:p w14:paraId="108A6B51"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20 de febrero de 2023</w:t>
            </w:r>
          </w:p>
        </w:tc>
      </w:tr>
      <w:tr w:rsidR="009B72BC" w:rsidRPr="005F66CB" w14:paraId="3458FF7F" w14:textId="77777777" w:rsidTr="005F66CB">
        <w:trPr>
          <w:jc w:val="center"/>
        </w:trPr>
        <w:tc>
          <w:tcPr>
            <w:tcW w:w="4537" w:type="dxa"/>
            <w:vAlign w:val="center"/>
          </w:tcPr>
          <w:p w14:paraId="28D0CC1F"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Resolución que resuelve las solicitudes de verificación de la documentación</w:t>
            </w:r>
          </w:p>
        </w:tc>
        <w:tc>
          <w:tcPr>
            <w:tcW w:w="2551" w:type="dxa"/>
            <w:vAlign w:val="center"/>
          </w:tcPr>
          <w:p w14:paraId="6D338F69"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21 de marzo de 2023</w:t>
            </w:r>
          </w:p>
        </w:tc>
        <w:tc>
          <w:tcPr>
            <w:tcW w:w="2552" w:type="dxa"/>
            <w:vAlign w:val="center"/>
          </w:tcPr>
          <w:p w14:paraId="6E119A4A"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21 de marzo de 2023</w:t>
            </w:r>
          </w:p>
        </w:tc>
      </w:tr>
      <w:tr w:rsidR="009B72BC" w:rsidRPr="005F66CB" w14:paraId="204D34A2" w14:textId="77777777" w:rsidTr="005F66CB">
        <w:trPr>
          <w:jc w:val="center"/>
        </w:trPr>
        <w:tc>
          <w:tcPr>
            <w:tcW w:w="4537" w:type="dxa"/>
            <w:vAlign w:val="center"/>
          </w:tcPr>
          <w:p w14:paraId="554E734B" w14:textId="77777777" w:rsidR="009B72BC" w:rsidRPr="005F66CB" w:rsidRDefault="009B72BC" w:rsidP="00E76F32">
            <w:pPr>
              <w:widowControl w:val="0"/>
              <w:tabs>
                <w:tab w:val="left" w:pos="1985"/>
              </w:tabs>
              <w:jc w:val="both"/>
              <w:rPr>
                <w:rFonts w:ascii="Arial" w:hAnsi="Arial" w:cs="Arial"/>
                <w:sz w:val="18"/>
                <w:szCs w:val="18"/>
              </w:rPr>
            </w:pPr>
            <w:r w:rsidRPr="005F66CB">
              <w:rPr>
                <w:rFonts w:ascii="Arial" w:hAnsi="Arial" w:cs="Arial"/>
                <w:sz w:val="18"/>
                <w:szCs w:val="18"/>
              </w:rPr>
              <w:t>Notificación de la resolución que resuelve las solicitudes de verificación</w:t>
            </w:r>
          </w:p>
        </w:tc>
        <w:tc>
          <w:tcPr>
            <w:tcW w:w="2551" w:type="dxa"/>
            <w:vAlign w:val="center"/>
          </w:tcPr>
          <w:p w14:paraId="3DA9DB03"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22 de marzo de 2023</w:t>
            </w:r>
          </w:p>
        </w:tc>
        <w:tc>
          <w:tcPr>
            <w:tcW w:w="2552" w:type="dxa"/>
            <w:vAlign w:val="center"/>
          </w:tcPr>
          <w:p w14:paraId="3843E8F8" w14:textId="77777777" w:rsidR="009B72BC" w:rsidRPr="005F66CB" w:rsidRDefault="009B72BC" w:rsidP="00E76F32">
            <w:pPr>
              <w:widowControl w:val="0"/>
              <w:tabs>
                <w:tab w:val="left" w:pos="1985"/>
              </w:tabs>
              <w:jc w:val="center"/>
              <w:rPr>
                <w:rFonts w:ascii="Arial" w:hAnsi="Arial" w:cs="Arial"/>
                <w:sz w:val="18"/>
                <w:szCs w:val="18"/>
              </w:rPr>
            </w:pPr>
            <w:r w:rsidRPr="005F66CB">
              <w:rPr>
                <w:rFonts w:ascii="Arial" w:hAnsi="Arial" w:cs="Arial"/>
                <w:sz w:val="18"/>
                <w:szCs w:val="18"/>
              </w:rPr>
              <w:t>28 de marzo de 2023</w:t>
            </w:r>
          </w:p>
        </w:tc>
      </w:tr>
    </w:tbl>
    <w:p w14:paraId="7C75692C" w14:textId="207F5B2C" w:rsidR="00945243" w:rsidRDefault="003D136D" w:rsidP="00E76F32">
      <w:pPr>
        <w:widowControl w:val="0"/>
        <w:tabs>
          <w:tab w:val="left" w:pos="1985"/>
        </w:tabs>
        <w:spacing w:before="240" w:after="240" w:line="240" w:lineRule="auto"/>
        <w:jc w:val="both"/>
        <w:rPr>
          <w:rFonts w:ascii="Arial" w:hAnsi="Arial" w:cs="Arial"/>
          <w:sz w:val="24"/>
          <w:szCs w:val="24"/>
        </w:rPr>
      </w:pPr>
      <w:r>
        <w:rPr>
          <w:rFonts w:ascii="Arial" w:hAnsi="Arial" w:cs="Arial"/>
          <w:sz w:val="24"/>
          <w:szCs w:val="24"/>
        </w:rPr>
        <w:t xml:space="preserve">1.2.5. </w:t>
      </w:r>
      <w:r w:rsidR="00D165BC">
        <w:rPr>
          <w:rFonts w:ascii="Arial" w:hAnsi="Arial" w:cs="Arial"/>
          <w:sz w:val="24"/>
          <w:szCs w:val="24"/>
        </w:rPr>
        <w:t>De acuerdo con el citado cronograma</w:t>
      </w:r>
      <w:r w:rsidR="00277621">
        <w:rPr>
          <w:rFonts w:ascii="Arial" w:hAnsi="Arial" w:cs="Arial"/>
          <w:sz w:val="24"/>
          <w:szCs w:val="24"/>
        </w:rPr>
        <w:t>, e</w:t>
      </w:r>
      <w:r>
        <w:rPr>
          <w:rFonts w:ascii="Arial" w:hAnsi="Arial" w:cs="Arial"/>
          <w:sz w:val="24"/>
          <w:szCs w:val="24"/>
        </w:rPr>
        <w:t xml:space="preserve">l señor Valencia Zamora </w:t>
      </w:r>
      <w:r w:rsidR="00C428D0">
        <w:rPr>
          <w:rFonts w:ascii="Arial" w:hAnsi="Arial" w:cs="Arial"/>
          <w:sz w:val="24"/>
          <w:szCs w:val="24"/>
        </w:rPr>
        <w:t>presentó la prueba</w:t>
      </w:r>
      <w:r w:rsidR="00D165BC">
        <w:rPr>
          <w:rFonts w:ascii="Arial" w:hAnsi="Arial" w:cs="Arial"/>
          <w:sz w:val="24"/>
          <w:szCs w:val="24"/>
        </w:rPr>
        <w:t xml:space="preserve"> de aptitudes y conocimientos</w:t>
      </w:r>
      <w:r>
        <w:rPr>
          <w:rFonts w:ascii="Arial" w:hAnsi="Arial" w:cs="Arial"/>
          <w:sz w:val="24"/>
          <w:szCs w:val="24"/>
        </w:rPr>
        <w:t xml:space="preserve"> en la fecha antes indicada</w:t>
      </w:r>
      <w:r w:rsidR="0055337A">
        <w:rPr>
          <w:rFonts w:ascii="Arial" w:hAnsi="Arial" w:cs="Arial"/>
          <w:sz w:val="24"/>
          <w:szCs w:val="24"/>
        </w:rPr>
        <w:t xml:space="preserve">. Luego, el 2 de septiembre de 2022, </w:t>
      </w:r>
      <w:r w:rsidR="00532CC7">
        <w:rPr>
          <w:rFonts w:ascii="Arial" w:hAnsi="Arial" w:cs="Arial"/>
          <w:sz w:val="24"/>
          <w:szCs w:val="24"/>
        </w:rPr>
        <w:t xml:space="preserve">con la notificación de la </w:t>
      </w:r>
      <w:r w:rsidR="00532CC7" w:rsidRPr="00D165BC">
        <w:rPr>
          <w:rFonts w:ascii="Arial" w:hAnsi="Arial" w:cs="Arial"/>
          <w:sz w:val="24"/>
          <w:szCs w:val="24"/>
        </w:rPr>
        <w:t>Resolución CJR22-0351 de</w:t>
      </w:r>
      <w:r w:rsidR="00532CC7">
        <w:rPr>
          <w:rFonts w:ascii="Arial" w:hAnsi="Arial" w:cs="Arial"/>
          <w:sz w:val="24"/>
          <w:szCs w:val="24"/>
        </w:rPr>
        <w:t>l</w:t>
      </w:r>
      <w:r w:rsidR="00532CC7" w:rsidRPr="00D165BC">
        <w:rPr>
          <w:rFonts w:ascii="Arial" w:hAnsi="Arial" w:cs="Arial"/>
          <w:sz w:val="24"/>
          <w:szCs w:val="24"/>
        </w:rPr>
        <w:t xml:space="preserve"> 1</w:t>
      </w:r>
      <w:r w:rsidR="00532CC7">
        <w:rPr>
          <w:rFonts w:ascii="Arial" w:hAnsi="Arial" w:cs="Arial"/>
          <w:sz w:val="24"/>
          <w:szCs w:val="24"/>
        </w:rPr>
        <w:t xml:space="preserve">º </w:t>
      </w:r>
      <w:r w:rsidR="00532CC7" w:rsidRPr="00D165BC">
        <w:rPr>
          <w:rFonts w:ascii="Arial" w:hAnsi="Arial" w:cs="Arial"/>
          <w:sz w:val="24"/>
          <w:szCs w:val="24"/>
        </w:rPr>
        <w:t>de</w:t>
      </w:r>
      <w:r w:rsidR="00532CC7">
        <w:rPr>
          <w:rFonts w:ascii="Arial" w:hAnsi="Arial" w:cs="Arial"/>
          <w:sz w:val="24"/>
          <w:szCs w:val="24"/>
        </w:rPr>
        <w:t>l mismo mes y año</w:t>
      </w:r>
      <w:r w:rsidR="00532CC7">
        <w:rPr>
          <w:rStyle w:val="Refdenotaalpie"/>
          <w:rFonts w:ascii="Arial" w:hAnsi="Arial" w:cs="Arial"/>
          <w:sz w:val="24"/>
          <w:szCs w:val="24"/>
        </w:rPr>
        <w:footnoteReference w:id="7"/>
      </w:r>
      <w:r w:rsidR="00532CC7">
        <w:rPr>
          <w:rFonts w:ascii="Arial" w:hAnsi="Arial" w:cs="Arial"/>
          <w:sz w:val="24"/>
          <w:szCs w:val="24"/>
        </w:rPr>
        <w:t xml:space="preserve">, </w:t>
      </w:r>
      <w:r w:rsidR="0055337A">
        <w:rPr>
          <w:rFonts w:ascii="Arial" w:hAnsi="Arial" w:cs="Arial"/>
          <w:sz w:val="24"/>
          <w:szCs w:val="24"/>
        </w:rPr>
        <w:t>conoció el resultado que obtuvo, que correspondió a 785.94 puntos</w:t>
      </w:r>
      <w:r w:rsidR="00D165BC">
        <w:rPr>
          <w:rFonts w:ascii="Arial" w:hAnsi="Arial" w:cs="Arial"/>
          <w:sz w:val="24"/>
          <w:szCs w:val="24"/>
        </w:rPr>
        <w:t xml:space="preserve"> y que fue</w:t>
      </w:r>
      <w:r w:rsidR="00391C6E">
        <w:rPr>
          <w:rFonts w:ascii="Arial" w:hAnsi="Arial" w:cs="Arial"/>
          <w:sz w:val="24"/>
          <w:szCs w:val="24"/>
        </w:rPr>
        <w:t xml:space="preserve"> no</w:t>
      </w:r>
      <w:r w:rsidR="0055337A">
        <w:rPr>
          <w:rFonts w:ascii="Arial" w:hAnsi="Arial" w:cs="Arial"/>
          <w:sz w:val="24"/>
          <w:szCs w:val="24"/>
        </w:rPr>
        <w:t xml:space="preserve"> aprobatorio</w:t>
      </w:r>
      <w:r w:rsidR="00532CC7">
        <w:rPr>
          <w:rFonts w:ascii="Arial" w:hAnsi="Arial" w:cs="Arial"/>
          <w:sz w:val="24"/>
          <w:szCs w:val="24"/>
        </w:rPr>
        <w:t xml:space="preserve">. Por esa razón, </w:t>
      </w:r>
      <w:r w:rsidR="00D165BC">
        <w:rPr>
          <w:rFonts w:ascii="Arial" w:hAnsi="Arial" w:cs="Arial"/>
          <w:sz w:val="24"/>
          <w:szCs w:val="24"/>
        </w:rPr>
        <w:t>presentó recurso de reposición el 22 de septiembre de la misma anualidad</w:t>
      </w:r>
      <w:r w:rsidR="00D165BC">
        <w:rPr>
          <w:rStyle w:val="Refdenotaalpie"/>
          <w:rFonts w:ascii="Arial" w:hAnsi="Arial" w:cs="Arial"/>
          <w:sz w:val="24"/>
          <w:szCs w:val="24"/>
        </w:rPr>
        <w:footnoteReference w:id="8"/>
      </w:r>
      <w:r w:rsidR="00D165BC">
        <w:rPr>
          <w:rFonts w:ascii="Arial" w:hAnsi="Arial" w:cs="Arial"/>
          <w:sz w:val="24"/>
          <w:szCs w:val="24"/>
        </w:rPr>
        <w:t xml:space="preserve">, que complementó mediante escrito radicado el </w:t>
      </w:r>
      <w:r w:rsidR="003C5A43">
        <w:rPr>
          <w:rFonts w:ascii="Arial" w:hAnsi="Arial" w:cs="Arial"/>
          <w:sz w:val="24"/>
          <w:szCs w:val="24"/>
        </w:rPr>
        <w:t xml:space="preserve">15 de noviembre </w:t>
      </w:r>
      <w:r w:rsidR="00D165BC">
        <w:rPr>
          <w:rFonts w:ascii="Arial" w:hAnsi="Arial" w:cs="Arial"/>
          <w:sz w:val="24"/>
          <w:szCs w:val="24"/>
        </w:rPr>
        <w:t>siguiente</w:t>
      </w:r>
      <w:r w:rsidR="007B239E">
        <w:rPr>
          <w:rStyle w:val="Refdenotaalpie"/>
          <w:rFonts w:ascii="Arial" w:hAnsi="Arial" w:cs="Arial"/>
          <w:sz w:val="24"/>
          <w:szCs w:val="24"/>
        </w:rPr>
        <w:footnoteReference w:id="9"/>
      </w:r>
      <w:r w:rsidR="0050623B">
        <w:rPr>
          <w:rFonts w:ascii="Arial" w:hAnsi="Arial" w:cs="Arial"/>
          <w:sz w:val="24"/>
          <w:szCs w:val="24"/>
        </w:rPr>
        <w:t>,</w:t>
      </w:r>
      <w:r w:rsidR="00D165BC">
        <w:rPr>
          <w:rFonts w:ascii="Arial" w:hAnsi="Arial" w:cs="Arial"/>
          <w:sz w:val="24"/>
          <w:szCs w:val="24"/>
        </w:rPr>
        <w:t xml:space="preserve"> </w:t>
      </w:r>
      <w:r w:rsidR="00B85B07">
        <w:rPr>
          <w:rFonts w:ascii="Arial" w:hAnsi="Arial" w:cs="Arial"/>
          <w:sz w:val="24"/>
          <w:szCs w:val="24"/>
        </w:rPr>
        <w:t>después de que asistiera a</w:t>
      </w:r>
      <w:r w:rsidR="00D165BC">
        <w:rPr>
          <w:rFonts w:ascii="Arial" w:hAnsi="Arial" w:cs="Arial"/>
          <w:sz w:val="24"/>
          <w:szCs w:val="24"/>
        </w:rPr>
        <w:t xml:space="preserve"> la jornada de exhibición de documentos.</w:t>
      </w:r>
      <w:r w:rsidR="00532CC7">
        <w:rPr>
          <w:rFonts w:ascii="Arial" w:hAnsi="Arial" w:cs="Arial"/>
          <w:sz w:val="24"/>
          <w:szCs w:val="24"/>
        </w:rPr>
        <w:t xml:space="preserve"> </w:t>
      </w:r>
      <w:r w:rsidR="00B85B07">
        <w:rPr>
          <w:rFonts w:ascii="Arial" w:hAnsi="Arial" w:cs="Arial"/>
          <w:sz w:val="24"/>
          <w:szCs w:val="24"/>
        </w:rPr>
        <w:t>En dicho</w:t>
      </w:r>
      <w:r w:rsidR="00532CC7">
        <w:rPr>
          <w:rFonts w:ascii="Arial" w:hAnsi="Arial" w:cs="Arial"/>
          <w:sz w:val="24"/>
          <w:szCs w:val="24"/>
        </w:rPr>
        <w:t xml:space="preserve"> recurso</w:t>
      </w:r>
      <w:r w:rsidR="00D165BC">
        <w:rPr>
          <w:rFonts w:ascii="Arial" w:hAnsi="Arial" w:cs="Arial"/>
          <w:sz w:val="24"/>
          <w:szCs w:val="24"/>
        </w:rPr>
        <w:t xml:space="preserve">, </w:t>
      </w:r>
      <w:r w:rsidR="003C5A43">
        <w:rPr>
          <w:rFonts w:ascii="Arial" w:hAnsi="Arial" w:cs="Arial"/>
          <w:sz w:val="24"/>
          <w:szCs w:val="24"/>
        </w:rPr>
        <w:t xml:space="preserve">solicitó que (i) </w:t>
      </w:r>
      <w:r w:rsidR="00532CC7">
        <w:rPr>
          <w:rFonts w:ascii="Arial" w:hAnsi="Arial" w:cs="Arial"/>
          <w:sz w:val="24"/>
          <w:szCs w:val="24"/>
        </w:rPr>
        <w:t xml:space="preserve">se </w:t>
      </w:r>
      <w:r w:rsidR="003C5A43">
        <w:rPr>
          <w:rFonts w:ascii="Arial" w:hAnsi="Arial" w:cs="Arial"/>
          <w:sz w:val="24"/>
          <w:szCs w:val="24"/>
        </w:rPr>
        <w:t xml:space="preserve">corrigieran las preguntas que indicó en su recurso, (ii) </w:t>
      </w:r>
      <w:r w:rsidR="00073AB2">
        <w:rPr>
          <w:rFonts w:ascii="Arial" w:hAnsi="Arial" w:cs="Arial"/>
          <w:sz w:val="24"/>
          <w:szCs w:val="24"/>
        </w:rPr>
        <w:t xml:space="preserve">se </w:t>
      </w:r>
      <w:r w:rsidR="003C5A43">
        <w:rPr>
          <w:rFonts w:ascii="Arial" w:hAnsi="Arial" w:cs="Arial"/>
          <w:sz w:val="24"/>
          <w:szCs w:val="24"/>
        </w:rPr>
        <w:t xml:space="preserve">modificara su calificación y </w:t>
      </w:r>
      <w:r w:rsidR="00073AB2">
        <w:rPr>
          <w:rFonts w:ascii="Arial" w:hAnsi="Arial" w:cs="Arial"/>
          <w:sz w:val="24"/>
          <w:szCs w:val="24"/>
        </w:rPr>
        <w:t xml:space="preserve">se </w:t>
      </w:r>
      <w:r w:rsidR="003C5A43">
        <w:rPr>
          <w:rFonts w:ascii="Arial" w:hAnsi="Arial" w:cs="Arial"/>
          <w:sz w:val="24"/>
          <w:szCs w:val="24"/>
        </w:rPr>
        <w:t xml:space="preserve">reconocieran las respuestas a las preguntas que expuso en su escrito, y (iii) </w:t>
      </w:r>
      <w:r w:rsidR="00073AB2">
        <w:rPr>
          <w:rFonts w:ascii="Arial" w:hAnsi="Arial" w:cs="Arial"/>
          <w:sz w:val="24"/>
          <w:szCs w:val="24"/>
        </w:rPr>
        <w:t xml:space="preserve">se </w:t>
      </w:r>
      <w:r w:rsidR="003C5A43">
        <w:rPr>
          <w:rFonts w:ascii="Arial" w:hAnsi="Arial" w:cs="Arial"/>
          <w:sz w:val="24"/>
          <w:szCs w:val="24"/>
        </w:rPr>
        <w:t xml:space="preserve">calificara nuevamente su evaluación, </w:t>
      </w:r>
      <w:r w:rsidR="00073AB2">
        <w:rPr>
          <w:rFonts w:ascii="Arial" w:hAnsi="Arial" w:cs="Arial"/>
          <w:sz w:val="24"/>
          <w:szCs w:val="24"/>
        </w:rPr>
        <w:t xml:space="preserve">y se le </w:t>
      </w:r>
      <w:r w:rsidR="003C5A43">
        <w:rPr>
          <w:rFonts w:ascii="Arial" w:hAnsi="Arial" w:cs="Arial"/>
          <w:sz w:val="24"/>
          <w:szCs w:val="24"/>
        </w:rPr>
        <w:t>asign</w:t>
      </w:r>
      <w:r w:rsidR="00073AB2">
        <w:rPr>
          <w:rFonts w:ascii="Arial" w:hAnsi="Arial" w:cs="Arial"/>
          <w:sz w:val="24"/>
          <w:szCs w:val="24"/>
        </w:rPr>
        <w:t>ara</w:t>
      </w:r>
      <w:r w:rsidR="003C5A43">
        <w:rPr>
          <w:rFonts w:ascii="Arial" w:hAnsi="Arial" w:cs="Arial"/>
          <w:sz w:val="24"/>
          <w:szCs w:val="24"/>
        </w:rPr>
        <w:t xml:space="preserve"> un puntaje superior a 800 que le permitiera continuar con su proceso en el concurso. </w:t>
      </w:r>
    </w:p>
    <w:p w14:paraId="2C0617FF" w14:textId="573A8F5A" w:rsidR="000B4A06" w:rsidRDefault="003C5A43" w:rsidP="000A5E31">
      <w:pPr>
        <w:widowControl w:val="0"/>
        <w:tabs>
          <w:tab w:val="left" w:pos="1985"/>
        </w:tabs>
        <w:spacing w:before="240" w:after="240" w:line="240" w:lineRule="auto"/>
        <w:jc w:val="both"/>
        <w:rPr>
          <w:rFonts w:ascii="Arial" w:hAnsi="Arial" w:cs="Arial"/>
          <w:sz w:val="24"/>
          <w:szCs w:val="24"/>
        </w:rPr>
      </w:pPr>
      <w:r>
        <w:rPr>
          <w:rFonts w:ascii="Arial" w:hAnsi="Arial" w:cs="Arial"/>
          <w:sz w:val="24"/>
          <w:szCs w:val="24"/>
        </w:rPr>
        <w:t>1.2.6. Posteriormente, el señor Valencia Zamora, en compañía de otras personas inscritas en la Convocatoria 27 al cargo de Juez Promiscuo Municipal</w:t>
      </w:r>
      <w:r w:rsidR="0052707B">
        <w:rPr>
          <w:rFonts w:ascii="Arial" w:hAnsi="Arial" w:cs="Arial"/>
          <w:sz w:val="24"/>
          <w:szCs w:val="24"/>
        </w:rPr>
        <w:t>,</w:t>
      </w:r>
      <w:r w:rsidR="0050623B">
        <w:rPr>
          <w:rFonts w:ascii="Arial" w:hAnsi="Arial" w:cs="Arial"/>
          <w:sz w:val="24"/>
          <w:szCs w:val="24"/>
        </w:rPr>
        <w:t xml:space="preserve"> radicó una petición el 1</w:t>
      </w:r>
      <w:r w:rsidR="000E3635">
        <w:rPr>
          <w:rFonts w:ascii="Arial" w:hAnsi="Arial" w:cs="Arial"/>
          <w:sz w:val="24"/>
          <w:szCs w:val="24"/>
        </w:rPr>
        <w:t>6</w:t>
      </w:r>
      <w:r w:rsidR="0050623B">
        <w:rPr>
          <w:rFonts w:ascii="Arial" w:hAnsi="Arial" w:cs="Arial"/>
          <w:sz w:val="24"/>
          <w:szCs w:val="24"/>
        </w:rPr>
        <w:t xml:space="preserve"> de </w:t>
      </w:r>
      <w:r w:rsidR="000E3635">
        <w:rPr>
          <w:rFonts w:ascii="Arial" w:hAnsi="Arial" w:cs="Arial"/>
          <w:sz w:val="24"/>
          <w:szCs w:val="24"/>
        </w:rPr>
        <w:t>diciembre</w:t>
      </w:r>
      <w:r w:rsidR="0050623B">
        <w:rPr>
          <w:rFonts w:ascii="Arial" w:hAnsi="Arial" w:cs="Arial"/>
          <w:sz w:val="24"/>
          <w:szCs w:val="24"/>
        </w:rPr>
        <w:t xml:space="preserve"> de 2022</w:t>
      </w:r>
      <w:r w:rsidR="000E3635">
        <w:rPr>
          <w:rStyle w:val="Refdenotaalpie"/>
          <w:rFonts w:ascii="Arial" w:hAnsi="Arial" w:cs="Arial"/>
          <w:sz w:val="24"/>
          <w:szCs w:val="24"/>
        </w:rPr>
        <w:footnoteReference w:id="10"/>
      </w:r>
      <w:r w:rsidR="0050623B">
        <w:rPr>
          <w:rFonts w:ascii="Arial" w:hAnsi="Arial" w:cs="Arial"/>
          <w:sz w:val="24"/>
          <w:szCs w:val="24"/>
        </w:rPr>
        <w:t xml:space="preserve"> ante la Unidad de Administración de Carrera Judicial del Consejo Superior de la Judicatura</w:t>
      </w:r>
      <w:r w:rsidR="00C1518C">
        <w:rPr>
          <w:rFonts w:ascii="Arial" w:hAnsi="Arial" w:cs="Arial"/>
          <w:sz w:val="24"/>
          <w:szCs w:val="24"/>
        </w:rPr>
        <w:t>,</w:t>
      </w:r>
      <w:r w:rsidR="007E43E7">
        <w:rPr>
          <w:rFonts w:ascii="Arial" w:hAnsi="Arial" w:cs="Arial"/>
          <w:sz w:val="24"/>
          <w:szCs w:val="24"/>
        </w:rPr>
        <w:t xml:space="preserve"> en la que </w:t>
      </w:r>
      <w:r w:rsidR="00C1518C">
        <w:rPr>
          <w:rFonts w:ascii="Arial" w:hAnsi="Arial" w:cs="Arial"/>
          <w:sz w:val="24"/>
          <w:szCs w:val="24"/>
        </w:rPr>
        <w:t>solicitó</w:t>
      </w:r>
      <w:r w:rsidR="00BB18CF">
        <w:rPr>
          <w:rFonts w:ascii="Arial" w:hAnsi="Arial" w:cs="Arial"/>
          <w:sz w:val="24"/>
          <w:szCs w:val="24"/>
        </w:rPr>
        <w:t xml:space="preserve"> dejar sin efectos y rep</w:t>
      </w:r>
      <w:r w:rsidR="007E43E7">
        <w:rPr>
          <w:rFonts w:ascii="Arial" w:hAnsi="Arial" w:cs="Arial"/>
          <w:sz w:val="24"/>
          <w:szCs w:val="24"/>
        </w:rPr>
        <w:t>e</w:t>
      </w:r>
      <w:r w:rsidR="00BB18CF">
        <w:rPr>
          <w:rFonts w:ascii="Arial" w:hAnsi="Arial" w:cs="Arial"/>
          <w:sz w:val="24"/>
          <w:szCs w:val="24"/>
        </w:rPr>
        <w:t>t</w:t>
      </w:r>
      <w:r w:rsidR="007E43E7">
        <w:rPr>
          <w:rFonts w:ascii="Arial" w:hAnsi="Arial" w:cs="Arial"/>
          <w:sz w:val="24"/>
          <w:szCs w:val="24"/>
        </w:rPr>
        <w:t>ir</w:t>
      </w:r>
      <w:r w:rsidR="00BB18CF">
        <w:rPr>
          <w:rFonts w:ascii="Arial" w:hAnsi="Arial" w:cs="Arial"/>
          <w:sz w:val="24"/>
          <w:szCs w:val="24"/>
        </w:rPr>
        <w:t xml:space="preserve"> la prueba realizada el 24 de julio de 2022, con un evaluador diferente a la Universidad Nacional de Colombia</w:t>
      </w:r>
      <w:r w:rsidR="0052707B">
        <w:rPr>
          <w:rFonts w:ascii="Arial" w:hAnsi="Arial" w:cs="Arial"/>
          <w:sz w:val="24"/>
          <w:szCs w:val="24"/>
        </w:rPr>
        <w:t xml:space="preserve">. </w:t>
      </w:r>
      <w:r w:rsidR="000733B4">
        <w:rPr>
          <w:rFonts w:ascii="Arial" w:hAnsi="Arial" w:cs="Arial"/>
          <w:sz w:val="24"/>
          <w:szCs w:val="24"/>
        </w:rPr>
        <w:t xml:space="preserve">A juicio de los peticionarios, la prueba </w:t>
      </w:r>
      <w:r w:rsidR="000B4A06">
        <w:rPr>
          <w:rFonts w:ascii="Arial" w:hAnsi="Arial" w:cs="Arial"/>
          <w:sz w:val="24"/>
          <w:szCs w:val="24"/>
        </w:rPr>
        <w:t>que presentaron contenía errores en los temas evaluados, en la elaboración y redacción de las preguntas, en la formulación de las respuestas, y en su respectiva calificación. Por esa razón, afirmaron que para corregir dicha situación y ajustarla a derecho, era necesario que se repitiera la prueba con un evaluador distinto, pues según indicaron</w:t>
      </w:r>
      <w:r>
        <w:rPr>
          <w:rFonts w:ascii="Arial" w:hAnsi="Arial" w:cs="Arial"/>
          <w:sz w:val="24"/>
          <w:szCs w:val="24"/>
        </w:rPr>
        <w:t>,</w:t>
      </w:r>
      <w:r w:rsidR="004B18FE">
        <w:rPr>
          <w:rFonts w:ascii="Arial" w:hAnsi="Arial" w:cs="Arial"/>
          <w:sz w:val="24"/>
          <w:szCs w:val="24"/>
        </w:rPr>
        <w:t xml:space="preserve"> </w:t>
      </w:r>
      <w:r w:rsidR="000B4A06">
        <w:rPr>
          <w:rFonts w:ascii="Arial" w:hAnsi="Arial" w:cs="Arial"/>
          <w:sz w:val="24"/>
          <w:szCs w:val="24"/>
        </w:rPr>
        <w:t>hubo personas que fueron admitidas “con argumentos ilegítimos”</w:t>
      </w:r>
      <w:r w:rsidR="000B4A06">
        <w:rPr>
          <w:rStyle w:val="Refdenotaalpie"/>
          <w:rFonts w:ascii="Arial" w:hAnsi="Arial" w:cs="Arial"/>
          <w:sz w:val="24"/>
          <w:szCs w:val="24"/>
        </w:rPr>
        <w:footnoteReference w:id="11"/>
      </w:r>
      <w:r w:rsidR="000B4A06">
        <w:rPr>
          <w:rFonts w:ascii="Arial" w:hAnsi="Arial" w:cs="Arial"/>
          <w:sz w:val="24"/>
          <w:szCs w:val="24"/>
        </w:rPr>
        <w:t>.</w:t>
      </w:r>
    </w:p>
    <w:p w14:paraId="78095949" w14:textId="7FA3B07F" w:rsidR="001C5503" w:rsidRDefault="0052707B" w:rsidP="00073AB2">
      <w:pPr>
        <w:widowControl w:val="0"/>
        <w:tabs>
          <w:tab w:val="left" w:pos="1985"/>
        </w:tabs>
        <w:spacing w:before="240" w:after="240" w:line="240" w:lineRule="auto"/>
        <w:jc w:val="both"/>
        <w:rPr>
          <w:rFonts w:ascii="Arial" w:hAnsi="Arial" w:cs="Arial"/>
          <w:sz w:val="24"/>
          <w:szCs w:val="24"/>
        </w:rPr>
      </w:pPr>
      <w:r>
        <w:rPr>
          <w:rFonts w:ascii="Arial" w:hAnsi="Arial" w:cs="Arial"/>
          <w:sz w:val="24"/>
          <w:szCs w:val="24"/>
        </w:rPr>
        <w:t xml:space="preserve">La referida autoridad dio respuesta en oficio </w:t>
      </w:r>
      <w:r w:rsidRPr="0052707B">
        <w:rPr>
          <w:rFonts w:ascii="Arial" w:hAnsi="Arial" w:cs="Arial"/>
          <w:sz w:val="24"/>
          <w:szCs w:val="24"/>
        </w:rPr>
        <w:t>CJO22-5613</w:t>
      </w:r>
      <w:r>
        <w:rPr>
          <w:rFonts w:ascii="Arial" w:hAnsi="Arial" w:cs="Arial"/>
          <w:sz w:val="24"/>
          <w:szCs w:val="24"/>
        </w:rPr>
        <w:t xml:space="preserve"> del 20 de diciembre del mismo año</w:t>
      </w:r>
      <w:r w:rsidR="000B4A06">
        <w:rPr>
          <w:rStyle w:val="Refdenotaalpie"/>
          <w:rFonts w:ascii="Arial" w:hAnsi="Arial" w:cs="Arial"/>
          <w:sz w:val="24"/>
          <w:szCs w:val="24"/>
        </w:rPr>
        <w:footnoteReference w:id="12"/>
      </w:r>
      <w:r>
        <w:rPr>
          <w:rFonts w:ascii="Arial" w:hAnsi="Arial" w:cs="Arial"/>
          <w:sz w:val="24"/>
          <w:szCs w:val="24"/>
        </w:rPr>
        <w:t xml:space="preserve">, en </w:t>
      </w:r>
      <w:r w:rsidR="00277621">
        <w:rPr>
          <w:rFonts w:ascii="Arial" w:hAnsi="Arial" w:cs="Arial"/>
          <w:sz w:val="24"/>
          <w:szCs w:val="24"/>
        </w:rPr>
        <w:t>el</w:t>
      </w:r>
      <w:r>
        <w:rPr>
          <w:rFonts w:ascii="Arial" w:hAnsi="Arial" w:cs="Arial"/>
          <w:sz w:val="24"/>
          <w:szCs w:val="24"/>
        </w:rPr>
        <w:t xml:space="preserve"> que </w:t>
      </w:r>
      <w:r w:rsidR="006E7ED2">
        <w:rPr>
          <w:rFonts w:ascii="Arial" w:hAnsi="Arial" w:cs="Arial"/>
          <w:sz w:val="24"/>
          <w:szCs w:val="24"/>
        </w:rPr>
        <w:t xml:space="preserve">informó </w:t>
      </w:r>
      <w:r w:rsidR="00073AB2">
        <w:rPr>
          <w:rFonts w:ascii="Arial" w:hAnsi="Arial" w:cs="Arial"/>
          <w:sz w:val="24"/>
          <w:szCs w:val="24"/>
        </w:rPr>
        <w:t xml:space="preserve">los antecedentes administrativos del concurso y sobre las circunstancias que llevaron a que se tuviera que corregir la actuación administrativa y a publicar un nuevo cronograma. </w:t>
      </w:r>
      <w:r w:rsidR="006E7ED2">
        <w:rPr>
          <w:rFonts w:ascii="Arial" w:hAnsi="Arial" w:cs="Arial"/>
          <w:sz w:val="24"/>
          <w:szCs w:val="24"/>
        </w:rPr>
        <w:t>Así mismo, manifestó que no “</w:t>
      </w:r>
      <w:r w:rsidR="006E7ED2" w:rsidRPr="006E7ED2">
        <w:rPr>
          <w:rFonts w:ascii="Arial" w:hAnsi="Arial" w:cs="Arial"/>
          <w:sz w:val="24"/>
          <w:szCs w:val="24"/>
        </w:rPr>
        <w:t>sería coherente con la relevancia del proceso de selección, seguir realizando ajustes parciales cada tanto, que impactan los resultados generales de las pruebas, lo que implicaría constantes cambios de las personas que cumplen y las que no</w:t>
      </w:r>
      <w:r w:rsidR="006E7ED2">
        <w:rPr>
          <w:rFonts w:ascii="Arial" w:hAnsi="Arial" w:cs="Arial"/>
          <w:sz w:val="24"/>
          <w:szCs w:val="24"/>
        </w:rPr>
        <w:t>”</w:t>
      </w:r>
      <w:r w:rsidR="006E7ED2">
        <w:rPr>
          <w:rStyle w:val="Refdenotaalpie"/>
          <w:rFonts w:ascii="Arial" w:hAnsi="Arial" w:cs="Arial"/>
          <w:sz w:val="24"/>
          <w:szCs w:val="24"/>
        </w:rPr>
        <w:footnoteReference w:id="13"/>
      </w:r>
      <w:r w:rsidR="006E7ED2" w:rsidRPr="006E7ED2">
        <w:rPr>
          <w:rFonts w:ascii="Arial" w:hAnsi="Arial" w:cs="Arial"/>
          <w:sz w:val="24"/>
          <w:szCs w:val="24"/>
        </w:rPr>
        <w:t>.</w:t>
      </w:r>
      <w:r w:rsidR="00B85B07" w:rsidRPr="00B85B07">
        <w:rPr>
          <w:rFonts w:ascii="Arial" w:hAnsi="Arial" w:cs="Arial"/>
          <w:sz w:val="24"/>
          <w:szCs w:val="24"/>
        </w:rPr>
        <w:t xml:space="preserve"> </w:t>
      </w:r>
    </w:p>
    <w:p w14:paraId="7B272BAE" w14:textId="3000E766" w:rsidR="00105D32" w:rsidRDefault="00105D32" w:rsidP="009E3636">
      <w:pPr>
        <w:widowControl w:val="0"/>
        <w:tabs>
          <w:tab w:val="left" w:pos="1985"/>
        </w:tabs>
        <w:spacing w:before="240" w:after="240" w:line="240" w:lineRule="auto"/>
        <w:jc w:val="both"/>
        <w:rPr>
          <w:rFonts w:ascii="Arial" w:hAnsi="Arial" w:cs="Arial"/>
          <w:sz w:val="24"/>
          <w:szCs w:val="24"/>
        </w:rPr>
      </w:pPr>
      <w:r>
        <w:rPr>
          <w:rFonts w:ascii="Arial" w:hAnsi="Arial" w:cs="Arial"/>
          <w:sz w:val="24"/>
          <w:szCs w:val="24"/>
        </w:rPr>
        <w:t>1.2.</w:t>
      </w:r>
      <w:r w:rsidR="009E3636">
        <w:rPr>
          <w:rFonts w:ascii="Arial" w:hAnsi="Arial" w:cs="Arial"/>
          <w:sz w:val="24"/>
          <w:szCs w:val="24"/>
        </w:rPr>
        <w:t>7</w:t>
      </w:r>
      <w:r>
        <w:rPr>
          <w:rFonts w:ascii="Arial" w:hAnsi="Arial" w:cs="Arial"/>
          <w:sz w:val="24"/>
          <w:szCs w:val="24"/>
        </w:rPr>
        <w:t xml:space="preserve">. </w:t>
      </w:r>
      <w:r w:rsidR="005F5825">
        <w:rPr>
          <w:rFonts w:ascii="Arial" w:hAnsi="Arial" w:cs="Arial"/>
          <w:sz w:val="24"/>
          <w:szCs w:val="24"/>
        </w:rPr>
        <w:t xml:space="preserve">Luego, en </w:t>
      </w:r>
      <w:r w:rsidR="00721983">
        <w:rPr>
          <w:rFonts w:ascii="Arial" w:hAnsi="Arial" w:cs="Arial"/>
          <w:sz w:val="24"/>
          <w:szCs w:val="24"/>
        </w:rPr>
        <w:t>seguimiento</w:t>
      </w:r>
      <w:r w:rsidR="005F5825">
        <w:rPr>
          <w:rFonts w:ascii="Arial" w:hAnsi="Arial" w:cs="Arial"/>
          <w:sz w:val="24"/>
          <w:szCs w:val="24"/>
        </w:rPr>
        <w:t xml:space="preserve"> del cronograma antes expuesto, la Unidad de Administración de Carrera Judicial del Consejo Superior de la Judicatura </w:t>
      </w:r>
      <w:r w:rsidR="009E3636">
        <w:rPr>
          <w:rFonts w:ascii="Arial" w:hAnsi="Arial" w:cs="Arial"/>
          <w:sz w:val="24"/>
          <w:szCs w:val="24"/>
        </w:rPr>
        <w:t>resolvió los recursos de reposición que se presentaron en contra de los resultados de las pruebas</w:t>
      </w:r>
      <w:r w:rsidR="009E3636">
        <w:rPr>
          <w:rStyle w:val="Refdenotaalpie"/>
          <w:rFonts w:ascii="Arial" w:hAnsi="Arial" w:cs="Arial"/>
          <w:sz w:val="24"/>
          <w:szCs w:val="24"/>
        </w:rPr>
        <w:footnoteReference w:id="14"/>
      </w:r>
      <w:r w:rsidR="009E3636">
        <w:rPr>
          <w:rFonts w:ascii="Arial" w:hAnsi="Arial" w:cs="Arial"/>
          <w:sz w:val="24"/>
          <w:szCs w:val="24"/>
        </w:rPr>
        <w:t xml:space="preserve">, en la Resolución </w:t>
      </w:r>
      <w:r w:rsidR="009E3636" w:rsidRPr="005F5825">
        <w:rPr>
          <w:rFonts w:ascii="Arial" w:hAnsi="Arial" w:cs="Arial"/>
          <w:sz w:val="24"/>
          <w:szCs w:val="24"/>
        </w:rPr>
        <w:t>CJR23-0042</w:t>
      </w:r>
      <w:r w:rsidR="009E3636">
        <w:rPr>
          <w:rFonts w:ascii="Arial" w:hAnsi="Arial" w:cs="Arial"/>
          <w:sz w:val="24"/>
          <w:szCs w:val="24"/>
        </w:rPr>
        <w:t xml:space="preserve"> del 16 de enero de 2023</w:t>
      </w:r>
      <w:r w:rsidR="009E3636">
        <w:rPr>
          <w:rStyle w:val="Refdenotaalpie"/>
          <w:rFonts w:ascii="Arial" w:hAnsi="Arial" w:cs="Arial"/>
          <w:sz w:val="24"/>
          <w:szCs w:val="24"/>
        </w:rPr>
        <w:footnoteReference w:id="15"/>
      </w:r>
      <w:r w:rsidR="009E3636">
        <w:rPr>
          <w:rFonts w:ascii="Arial" w:hAnsi="Arial" w:cs="Arial"/>
          <w:sz w:val="24"/>
          <w:szCs w:val="24"/>
        </w:rPr>
        <w:t xml:space="preserve">. En dicho acto, la referida autoridad decidió </w:t>
      </w:r>
      <w:r w:rsidR="0025344A">
        <w:rPr>
          <w:rFonts w:ascii="Arial" w:hAnsi="Arial" w:cs="Arial"/>
          <w:sz w:val="24"/>
          <w:szCs w:val="24"/>
        </w:rPr>
        <w:t>“no reponer</w:t>
      </w:r>
      <w:r w:rsidR="0025344A" w:rsidRPr="0025344A">
        <w:t xml:space="preserve"> </w:t>
      </w:r>
      <w:r w:rsidR="0025344A">
        <w:t>l</w:t>
      </w:r>
      <w:r w:rsidR="0025344A" w:rsidRPr="0025344A">
        <w:rPr>
          <w:rFonts w:ascii="Arial" w:hAnsi="Arial" w:cs="Arial"/>
          <w:sz w:val="24"/>
          <w:szCs w:val="24"/>
        </w:rPr>
        <w:t xml:space="preserve">os puntajes obtenidos por los recurrentes relacionados en el </w:t>
      </w:r>
      <w:r w:rsidR="0025344A">
        <w:rPr>
          <w:rFonts w:ascii="Arial" w:hAnsi="Arial" w:cs="Arial"/>
          <w:sz w:val="24"/>
          <w:szCs w:val="24"/>
        </w:rPr>
        <w:t>‘</w:t>
      </w:r>
      <w:r w:rsidR="0025344A" w:rsidRPr="0025344A">
        <w:rPr>
          <w:rFonts w:ascii="Arial" w:hAnsi="Arial" w:cs="Arial"/>
          <w:sz w:val="24"/>
          <w:szCs w:val="24"/>
        </w:rPr>
        <w:t>Anexo 1</w:t>
      </w:r>
      <w:r w:rsidR="0025344A">
        <w:rPr>
          <w:rFonts w:ascii="Arial" w:hAnsi="Arial" w:cs="Arial"/>
          <w:sz w:val="24"/>
          <w:szCs w:val="24"/>
        </w:rPr>
        <w:t>’</w:t>
      </w:r>
      <w:r w:rsidR="0025344A" w:rsidRPr="0025344A">
        <w:rPr>
          <w:rFonts w:ascii="Arial" w:hAnsi="Arial" w:cs="Arial"/>
          <w:sz w:val="24"/>
          <w:szCs w:val="24"/>
        </w:rPr>
        <w:t>, para el cargo de Juez Promiscuo Municipal</w:t>
      </w:r>
      <w:r w:rsidR="0025344A">
        <w:rPr>
          <w:rFonts w:ascii="Arial" w:hAnsi="Arial" w:cs="Arial"/>
          <w:sz w:val="24"/>
          <w:szCs w:val="24"/>
        </w:rPr>
        <w:t>”</w:t>
      </w:r>
      <w:r w:rsidR="0025344A">
        <w:rPr>
          <w:rStyle w:val="Refdenotaalpie"/>
          <w:rFonts w:ascii="Arial" w:hAnsi="Arial" w:cs="Arial"/>
          <w:sz w:val="24"/>
          <w:szCs w:val="24"/>
        </w:rPr>
        <w:footnoteReference w:id="16"/>
      </w:r>
      <w:r w:rsidR="009E3636">
        <w:rPr>
          <w:rFonts w:ascii="Arial" w:hAnsi="Arial" w:cs="Arial"/>
          <w:sz w:val="24"/>
          <w:szCs w:val="24"/>
        </w:rPr>
        <w:t xml:space="preserve">, y rechazar </w:t>
      </w:r>
      <w:r w:rsidR="0025344A">
        <w:rPr>
          <w:rFonts w:ascii="Arial" w:hAnsi="Arial" w:cs="Arial"/>
          <w:sz w:val="24"/>
          <w:szCs w:val="24"/>
        </w:rPr>
        <w:t>los recursos de apelación</w:t>
      </w:r>
      <w:r w:rsidR="009E3636">
        <w:rPr>
          <w:rFonts w:ascii="Arial" w:hAnsi="Arial" w:cs="Arial"/>
          <w:sz w:val="24"/>
          <w:szCs w:val="24"/>
        </w:rPr>
        <w:t xml:space="preserve"> y </w:t>
      </w:r>
      <w:r w:rsidR="0025344A">
        <w:rPr>
          <w:rFonts w:ascii="Arial" w:hAnsi="Arial" w:cs="Arial"/>
          <w:sz w:val="24"/>
          <w:szCs w:val="24"/>
        </w:rPr>
        <w:t xml:space="preserve">de “reposición </w:t>
      </w:r>
      <w:r w:rsidR="0025344A" w:rsidRPr="0025344A">
        <w:rPr>
          <w:rFonts w:ascii="Arial" w:hAnsi="Arial" w:cs="Arial"/>
          <w:sz w:val="24"/>
          <w:szCs w:val="24"/>
        </w:rPr>
        <w:t>presentados sin el cumplimiento del requisito previsto en el numeral 2 del artículo 77</w:t>
      </w:r>
      <w:r w:rsidR="009E3636">
        <w:rPr>
          <w:rStyle w:val="Refdenotaalpie"/>
          <w:rFonts w:ascii="Arial" w:hAnsi="Arial" w:cs="Arial"/>
          <w:sz w:val="24"/>
          <w:szCs w:val="24"/>
        </w:rPr>
        <w:footnoteReference w:id="17"/>
      </w:r>
      <w:r w:rsidR="0025344A" w:rsidRPr="0025344A">
        <w:rPr>
          <w:rFonts w:ascii="Arial" w:hAnsi="Arial" w:cs="Arial"/>
          <w:sz w:val="24"/>
          <w:szCs w:val="24"/>
        </w:rPr>
        <w:t xml:space="preserve"> del Código de Procedimiento Administrativo y de lo Contencioso Administrativo</w:t>
      </w:r>
      <w:r w:rsidR="0025344A">
        <w:rPr>
          <w:rFonts w:ascii="Arial" w:hAnsi="Arial" w:cs="Arial"/>
          <w:sz w:val="24"/>
          <w:szCs w:val="24"/>
        </w:rPr>
        <w:t>”</w:t>
      </w:r>
      <w:r w:rsidR="0025344A">
        <w:rPr>
          <w:rStyle w:val="Refdenotaalpie"/>
          <w:rFonts w:ascii="Arial" w:hAnsi="Arial" w:cs="Arial"/>
          <w:sz w:val="24"/>
          <w:szCs w:val="24"/>
        </w:rPr>
        <w:footnoteReference w:id="18"/>
      </w:r>
      <w:r w:rsidR="0025344A">
        <w:rPr>
          <w:rFonts w:ascii="Arial" w:hAnsi="Arial" w:cs="Arial"/>
          <w:sz w:val="24"/>
          <w:szCs w:val="24"/>
        </w:rPr>
        <w:t xml:space="preserve">. </w:t>
      </w:r>
      <w:r w:rsidR="009E3636">
        <w:rPr>
          <w:rFonts w:ascii="Arial" w:hAnsi="Arial" w:cs="Arial"/>
          <w:sz w:val="24"/>
          <w:szCs w:val="24"/>
        </w:rPr>
        <w:t>También</w:t>
      </w:r>
      <w:r w:rsidR="0025344A">
        <w:rPr>
          <w:rFonts w:ascii="Arial" w:hAnsi="Arial" w:cs="Arial"/>
          <w:sz w:val="24"/>
          <w:szCs w:val="24"/>
        </w:rPr>
        <w:t xml:space="preserve"> indicó que no procedían los recursos de la vía administrativa.</w:t>
      </w:r>
    </w:p>
    <w:p w14:paraId="5E947728" w14:textId="69CC6D31" w:rsidR="0052707B" w:rsidRDefault="0052707B" w:rsidP="00E76F32">
      <w:pPr>
        <w:widowControl w:val="0"/>
        <w:tabs>
          <w:tab w:val="left" w:pos="1985"/>
        </w:tabs>
        <w:spacing w:before="240" w:after="240" w:line="240" w:lineRule="auto"/>
        <w:jc w:val="both"/>
        <w:rPr>
          <w:rFonts w:ascii="Arial" w:hAnsi="Arial" w:cs="Arial"/>
          <w:b/>
          <w:bCs/>
          <w:sz w:val="24"/>
          <w:szCs w:val="24"/>
        </w:rPr>
      </w:pPr>
      <w:r w:rsidRPr="0052707B">
        <w:rPr>
          <w:rFonts w:ascii="Arial" w:hAnsi="Arial" w:cs="Arial"/>
          <w:b/>
          <w:bCs/>
          <w:sz w:val="24"/>
          <w:szCs w:val="24"/>
        </w:rPr>
        <w:t>1.3. Pretensiones y argumentos</w:t>
      </w:r>
    </w:p>
    <w:p w14:paraId="15A3CAA9" w14:textId="77777777" w:rsidR="0052707B" w:rsidRPr="0052707B" w:rsidRDefault="0052707B" w:rsidP="00E76F32">
      <w:pPr>
        <w:widowControl w:val="0"/>
        <w:tabs>
          <w:tab w:val="left" w:pos="1985"/>
        </w:tabs>
        <w:spacing w:before="240" w:after="240" w:line="240" w:lineRule="auto"/>
        <w:jc w:val="both"/>
        <w:rPr>
          <w:rFonts w:ascii="Arial" w:hAnsi="Arial" w:cs="Arial"/>
          <w:bCs/>
          <w:sz w:val="24"/>
          <w:szCs w:val="24"/>
        </w:rPr>
      </w:pPr>
      <w:r>
        <w:rPr>
          <w:rFonts w:ascii="Arial" w:hAnsi="Arial" w:cs="Arial"/>
          <w:sz w:val="24"/>
          <w:szCs w:val="24"/>
        </w:rPr>
        <w:t xml:space="preserve">1.3.1. Nelson Julián Valencia Zamora </w:t>
      </w:r>
      <w:r w:rsidRPr="0052707B">
        <w:rPr>
          <w:rFonts w:ascii="Arial" w:hAnsi="Arial" w:cs="Arial"/>
          <w:bCs/>
          <w:sz w:val="24"/>
          <w:szCs w:val="24"/>
        </w:rPr>
        <w:t>pidió la protección de los derechos fundamentales que invocó en su escrito y, en consecuencia, formuló las siguientes peticiones:</w:t>
      </w:r>
    </w:p>
    <w:p w14:paraId="6285DA99" w14:textId="12EE9664" w:rsidR="0052707B" w:rsidRPr="00B8405B" w:rsidRDefault="00B8405B" w:rsidP="00E76F32">
      <w:pPr>
        <w:widowControl w:val="0"/>
        <w:tabs>
          <w:tab w:val="left" w:pos="709"/>
        </w:tabs>
        <w:spacing w:before="240" w:after="240" w:line="240" w:lineRule="auto"/>
        <w:jc w:val="both"/>
        <w:rPr>
          <w:rFonts w:ascii="Arial" w:hAnsi="Arial" w:cs="Arial"/>
        </w:rPr>
      </w:pPr>
      <w:r>
        <w:rPr>
          <w:rFonts w:ascii="Arial" w:hAnsi="Arial" w:cs="Arial"/>
          <w:sz w:val="24"/>
          <w:szCs w:val="24"/>
        </w:rPr>
        <w:tab/>
      </w:r>
      <w:r w:rsidR="0052707B" w:rsidRPr="00B8405B">
        <w:rPr>
          <w:rFonts w:ascii="Arial" w:hAnsi="Arial" w:cs="Arial"/>
        </w:rPr>
        <w:t>“PRINCIPALES</w:t>
      </w:r>
    </w:p>
    <w:p w14:paraId="2F8CA3F4" w14:textId="77777777" w:rsidR="00B8405B" w:rsidRPr="00B8405B" w:rsidRDefault="00B8405B" w:rsidP="00E76F32">
      <w:pPr>
        <w:widowControl w:val="0"/>
        <w:tabs>
          <w:tab w:val="left" w:pos="851"/>
        </w:tabs>
        <w:spacing w:before="240" w:after="240" w:line="240" w:lineRule="auto"/>
        <w:ind w:left="708"/>
        <w:jc w:val="both"/>
        <w:rPr>
          <w:rFonts w:ascii="Arial" w:hAnsi="Arial" w:cs="Arial"/>
        </w:rPr>
      </w:pPr>
      <w:r w:rsidRPr="00B8405B">
        <w:rPr>
          <w:rFonts w:ascii="Arial" w:hAnsi="Arial" w:cs="Arial"/>
        </w:rPr>
        <w:t xml:space="preserve">1. Se me aplique la misma justicia que se ha aplicado a otros participantes en los procesos de selección y se apliquen los mismos parámetros que la Directora de la Unidad de Carrera aplica en sus actos administrativos pero que ahora de forma arbitraria y contra la ley pretende omitir. </w:t>
      </w:r>
    </w:p>
    <w:p w14:paraId="16C0124F" w14:textId="77777777" w:rsidR="00B8405B" w:rsidRPr="00B8405B" w:rsidRDefault="00B8405B" w:rsidP="00E76F32">
      <w:pPr>
        <w:widowControl w:val="0"/>
        <w:tabs>
          <w:tab w:val="left" w:pos="851"/>
        </w:tabs>
        <w:spacing w:before="240" w:after="240" w:line="240" w:lineRule="auto"/>
        <w:ind w:left="708"/>
        <w:jc w:val="both"/>
        <w:rPr>
          <w:rFonts w:ascii="Arial" w:hAnsi="Arial" w:cs="Arial"/>
        </w:rPr>
      </w:pPr>
      <w:r w:rsidRPr="00B8405B">
        <w:rPr>
          <w:rFonts w:ascii="Arial" w:hAnsi="Arial" w:cs="Arial"/>
        </w:rPr>
        <w:t xml:space="preserve">2. Se tutelen mis derechos fundamentales al debido proceso y a la igualdad y se apliquen las mismas consideraciones y argumentos con los cuales anteriormente por casos análogos se han protegido los derechos de los accionantes. </w:t>
      </w:r>
    </w:p>
    <w:p w14:paraId="31D0BA28" w14:textId="77777777" w:rsidR="00B8405B" w:rsidRPr="00B8405B" w:rsidRDefault="00B8405B" w:rsidP="00E76F32">
      <w:pPr>
        <w:widowControl w:val="0"/>
        <w:tabs>
          <w:tab w:val="left" w:pos="851"/>
        </w:tabs>
        <w:spacing w:before="240" w:after="240" w:line="240" w:lineRule="auto"/>
        <w:ind w:left="708"/>
        <w:jc w:val="both"/>
        <w:rPr>
          <w:rFonts w:ascii="Arial" w:hAnsi="Arial" w:cs="Arial"/>
        </w:rPr>
      </w:pPr>
      <w:r w:rsidRPr="00B8405B">
        <w:rPr>
          <w:rFonts w:ascii="Arial" w:hAnsi="Arial" w:cs="Arial"/>
        </w:rPr>
        <w:t xml:space="preserve">3. Se ordene al Consejo Superior de la Judicatura que por presentarse mayores equivocaciones a las que llevaron a repetir la prueba de conocimientos en la primera oportunidad, repetir la prueba de conocimientos de la convocatoria 27 fue practicada el 24 de julio de 2022. </w:t>
      </w:r>
    </w:p>
    <w:p w14:paraId="365D7109" w14:textId="77777777" w:rsidR="00B8405B" w:rsidRPr="00B8405B" w:rsidRDefault="00B8405B" w:rsidP="00E76F32">
      <w:pPr>
        <w:widowControl w:val="0"/>
        <w:tabs>
          <w:tab w:val="left" w:pos="851"/>
        </w:tabs>
        <w:spacing w:before="240" w:after="240" w:line="240" w:lineRule="auto"/>
        <w:ind w:left="708"/>
        <w:jc w:val="both"/>
        <w:rPr>
          <w:rFonts w:ascii="Arial" w:hAnsi="Arial" w:cs="Arial"/>
        </w:rPr>
      </w:pPr>
      <w:r w:rsidRPr="00B8405B">
        <w:rPr>
          <w:rFonts w:ascii="Arial" w:hAnsi="Arial" w:cs="Arial"/>
        </w:rPr>
        <w:t xml:space="preserve">4. Se vincule al presente tramite a todos los participantes del grupo Jueces Promiscuos Municipales de la Convocatoria 27 para que aporten los demás errores que fueron encontrados. </w:t>
      </w:r>
    </w:p>
    <w:p w14:paraId="0168F3F5" w14:textId="77777777" w:rsidR="00B8405B" w:rsidRPr="00B8405B" w:rsidRDefault="00B8405B" w:rsidP="00E76F32">
      <w:pPr>
        <w:widowControl w:val="0"/>
        <w:tabs>
          <w:tab w:val="left" w:pos="851"/>
        </w:tabs>
        <w:spacing w:before="240" w:after="240" w:line="240" w:lineRule="auto"/>
        <w:ind w:left="708"/>
        <w:jc w:val="both"/>
        <w:rPr>
          <w:rFonts w:ascii="Arial" w:hAnsi="Arial" w:cs="Arial"/>
        </w:rPr>
      </w:pPr>
      <w:r w:rsidRPr="00B8405B">
        <w:rPr>
          <w:rFonts w:ascii="Arial" w:hAnsi="Arial" w:cs="Arial"/>
        </w:rPr>
        <w:t xml:space="preserve">5. Que se ordene al Consejo Superior de la Judicatura que responda de forma congruente los argumentos que le fueron puestos de presente en los recursos de reposición respetando así el principio de congruencia. </w:t>
      </w:r>
    </w:p>
    <w:p w14:paraId="3551D0B8" w14:textId="77777777" w:rsidR="00B8405B" w:rsidRPr="00B8405B" w:rsidRDefault="00B8405B" w:rsidP="00E76F32">
      <w:pPr>
        <w:widowControl w:val="0"/>
        <w:tabs>
          <w:tab w:val="left" w:pos="851"/>
        </w:tabs>
        <w:spacing w:before="240" w:after="240" w:line="240" w:lineRule="auto"/>
        <w:ind w:left="708"/>
        <w:jc w:val="both"/>
        <w:rPr>
          <w:rFonts w:ascii="Arial" w:hAnsi="Arial" w:cs="Arial"/>
        </w:rPr>
      </w:pPr>
      <w:r w:rsidRPr="00B8405B">
        <w:rPr>
          <w:rFonts w:ascii="Arial" w:hAnsi="Arial" w:cs="Arial"/>
        </w:rPr>
        <w:t xml:space="preserve">6. Se compulsen copias a la Fiscalía General de la Nación para que se estudie la posible comisión de las conductas prevaricadoras de la Doctora Claudia Marcela Granados Romero - Directora de la Unidad de Administración de Carrera Judicial del Consejo Superior de la Judicatura. </w:t>
      </w:r>
    </w:p>
    <w:p w14:paraId="6FEBFBAB" w14:textId="382C9A47" w:rsidR="0052707B" w:rsidRPr="00B8405B" w:rsidRDefault="00B8405B" w:rsidP="00E76F32">
      <w:pPr>
        <w:widowControl w:val="0"/>
        <w:tabs>
          <w:tab w:val="left" w:pos="851"/>
        </w:tabs>
        <w:spacing w:before="240" w:after="240" w:line="240" w:lineRule="auto"/>
        <w:ind w:left="708"/>
        <w:jc w:val="both"/>
        <w:rPr>
          <w:rFonts w:ascii="Arial" w:hAnsi="Arial" w:cs="Arial"/>
        </w:rPr>
      </w:pPr>
      <w:r w:rsidRPr="00B8405B">
        <w:rPr>
          <w:rFonts w:ascii="Arial" w:hAnsi="Arial" w:cs="Arial"/>
        </w:rPr>
        <w:t>7. Se compulsen copias a la Comisión Judicial de Disciplina Nación</w:t>
      </w:r>
      <w:r w:rsidR="00BD7349">
        <w:rPr>
          <w:rStyle w:val="Refdenotaalpie"/>
          <w:rFonts w:ascii="Arial" w:hAnsi="Arial" w:cs="Arial"/>
        </w:rPr>
        <w:footnoteReference w:id="19"/>
      </w:r>
      <w:r w:rsidR="00BD7349">
        <w:rPr>
          <w:rFonts w:ascii="Arial" w:hAnsi="Arial" w:cs="Arial"/>
        </w:rPr>
        <w:t xml:space="preserve"> (sic)</w:t>
      </w:r>
      <w:r w:rsidRPr="00B8405B">
        <w:rPr>
          <w:rFonts w:ascii="Arial" w:hAnsi="Arial" w:cs="Arial"/>
        </w:rPr>
        <w:t xml:space="preserve"> para que se estudie la posible comisión de faltas disciplina en que incurre la Doctora Claudia Marcela Granados Romero - Directora de la Unidad de Administración de Carrera Judicial del Consejo Superior de la Judicatura.</w:t>
      </w:r>
    </w:p>
    <w:p w14:paraId="6D21E1E0" w14:textId="79F3CD14" w:rsidR="00B8405B" w:rsidRPr="00B8405B" w:rsidRDefault="00B8405B" w:rsidP="00E76F32">
      <w:pPr>
        <w:widowControl w:val="0"/>
        <w:tabs>
          <w:tab w:val="left" w:pos="851"/>
        </w:tabs>
        <w:spacing w:before="240" w:after="240" w:line="240" w:lineRule="auto"/>
        <w:ind w:left="708"/>
        <w:jc w:val="both"/>
        <w:rPr>
          <w:rFonts w:ascii="Arial" w:hAnsi="Arial" w:cs="Arial"/>
        </w:rPr>
      </w:pPr>
      <w:r w:rsidRPr="00B8405B">
        <w:rPr>
          <w:rFonts w:ascii="Arial" w:hAnsi="Arial" w:cs="Arial"/>
        </w:rPr>
        <w:t>SUBSIDIARIAS</w:t>
      </w:r>
    </w:p>
    <w:p w14:paraId="0B48D1D0" w14:textId="28582C8B" w:rsidR="00B8405B" w:rsidRPr="00B8405B" w:rsidRDefault="00B8405B" w:rsidP="00E76F32">
      <w:pPr>
        <w:widowControl w:val="0"/>
        <w:tabs>
          <w:tab w:val="left" w:pos="851"/>
        </w:tabs>
        <w:spacing w:before="240" w:after="240" w:line="240" w:lineRule="auto"/>
        <w:ind w:left="708"/>
        <w:jc w:val="both"/>
        <w:rPr>
          <w:rFonts w:ascii="Arial" w:hAnsi="Arial" w:cs="Arial"/>
        </w:rPr>
      </w:pPr>
      <w:r w:rsidRPr="00B8405B">
        <w:rPr>
          <w:rFonts w:ascii="Arial" w:hAnsi="Arial" w:cs="Arial"/>
        </w:rPr>
        <w:t>1. Que se orden</w:t>
      </w:r>
      <w:r w:rsidR="00863C21">
        <w:rPr>
          <w:rFonts w:ascii="Arial" w:hAnsi="Arial" w:cs="Arial"/>
        </w:rPr>
        <w:t xml:space="preserve"> (sic)</w:t>
      </w:r>
      <w:r w:rsidRPr="00B8405B">
        <w:rPr>
          <w:rFonts w:ascii="Arial" w:hAnsi="Arial" w:cs="Arial"/>
        </w:rPr>
        <w:t xml:space="preserve"> al Consejo Superior de la Judicatura que corrija las preguntas cuyas respuestas consideradas correctas por la universidad no coinciden con el ordenamiento legal, la jurisprudencia y el orden constitucional. </w:t>
      </w:r>
    </w:p>
    <w:p w14:paraId="0BC4FF78" w14:textId="2CF54E9A" w:rsidR="00B8405B" w:rsidRPr="00B8405B" w:rsidRDefault="00B8405B" w:rsidP="00E76F32">
      <w:pPr>
        <w:widowControl w:val="0"/>
        <w:tabs>
          <w:tab w:val="left" w:pos="851"/>
        </w:tabs>
        <w:spacing w:before="240" w:after="240" w:line="240" w:lineRule="auto"/>
        <w:ind w:left="708"/>
        <w:jc w:val="both"/>
        <w:rPr>
          <w:rFonts w:ascii="Arial" w:hAnsi="Arial" w:cs="Arial"/>
        </w:rPr>
      </w:pPr>
      <w:r w:rsidRPr="00B8405B">
        <w:rPr>
          <w:rFonts w:ascii="Arial" w:hAnsi="Arial" w:cs="Arial"/>
        </w:rPr>
        <w:t>2. Que se ordene al Consejo Superior de la Judicatura que las preguntas que fueron incluidas en la prueba de conocimientos que le fueron formuladas a los participantes para el cargo de Juez Promiscuo Municipal y que no corresponden a su competencia, sean tenidas en cuenta como validas</w:t>
      </w:r>
      <w:r w:rsidR="00155049">
        <w:rPr>
          <w:rFonts w:ascii="Arial" w:hAnsi="Arial" w:cs="Arial"/>
        </w:rPr>
        <w:t xml:space="preserve"> </w:t>
      </w:r>
      <w:r w:rsidRPr="00B8405B">
        <w:rPr>
          <w:rFonts w:ascii="Arial" w:hAnsi="Arial" w:cs="Arial"/>
        </w:rPr>
        <w:t>parta</w:t>
      </w:r>
      <w:r w:rsidR="00BD7349">
        <w:rPr>
          <w:rFonts w:ascii="Arial" w:hAnsi="Arial" w:cs="Arial"/>
        </w:rPr>
        <w:t xml:space="preserve"> (sic)</w:t>
      </w:r>
      <w:r w:rsidRPr="00B8405B">
        <w:rPr>
          <w:rFonts w:ascii="Arial" w:hAnsi="Arial" w:cs="Arial"/>
        </w:rPr>
        <w:t xml:space="preserve"> todos los participantes. </w:t>
      </w:r>
    </w:p>
    <w:p w14:paraId="190F8369" w14:textId="2F014316" w:rsidR="00B8405B" w:rsidRDefault="00B8405B" w:rsidP="00E76F32">
      <w:pPr>
        <w:widowControl w:val="0"/>
        <w:tabs>
          <w:tab w:val="left" w:pos="851"/>
        </w:tabs>
        <w:spacing w:before="240" w:after="240" w:line="240" w:lineRule="auto"/>
        <w:ind w:left="708"/>
        <w:jc w:val="both"/>
        <w:rPr>
          <w:rFonts w:ascii="Arial" w:hAnsi="Arial" w:cs="Arial"/>
        </w:rPr>
      </w:pPr>
      <w:r w:rsidRPr="00B8405B">
        <w:rPr>
          <w:rFonts w:ascii="Arial" w:hAnsi="Arial" w:cs="Arial"/>
        </w:rPr>
        <w:t>3. Que se ordene al Consejo Superior de la Judicatura que dado que el resultado de la prueba corresponde a una valoración general de todos los participantes (curva geométrica) se realice una corrección de las preguntas formuladas y se emita una nueva calificación para todos los participantes”</w:t>
      </w:r>
      <w:r>
        <w:rPr>
          <w:rStyle w:val="Refdenotaalpie"/>
          <w:rFonts w:ascii="Arial" w:hAnsi="Arial" w:cs="Arial"/>
        </w:rPr>
        <w:footnoteReference w:id="20"/>
      </w:r>
      <w:r w:rsidRPr="00B8405B">
        <w:rPr>
          <w:rFonts w:ascii="Arial" w:hAnsi="Arial" w:cs="Arial"/>
        </w:rPr>
        <w:t>.</w:t>
      </w:r>
    </w:p>
    <w:p w14:paraId="6EC07D47" w14:textId="718E4E15" w:rsidR="00B8405B" w:rsidRPr="00863C21" w:rsidRDefault="00B8405B" w:rsidP="00E76F32">
      <w:pPr>
        <w:widowControl w:val="0"/>
        <w:tabs>
          <w:tab w:val="left" w:pos="1985"/>
        </w:tabs>
        <w:spacing w:before="240" w:after="240" w:line="240" w:lineRule="auto"/>
        <w:jc w:val="both"/>
        <w:rPr>
          <w:rFonts w:ascii="Arial" w:hAnsi="Arial" w:cs="Arial"/>
          <w:sz w:val="24"/>
          <w:szCs w:val="24"/>
        </w:rPr>
      </w:pPr>
      <w:r w:rsidRPr="00863C21">
        <w:rPr>
          <w:rFonts w:ascii="Arial" w:hAnsi="Arial" w:cs="Arial"/>
          <w:sz w:val="24"/>
          <w:szCs w:val="24"/>
        </w:rPr>
        <w:t xml:space="preserve">1.3.2. El señor Valencia Zamora afirmó que la prueba </w:t>
      </w:r>
      <w:r w:rsidR="00B33B4E">
        <w:rPr>
          <w:rFonts w:ascii="Arial" w:hAnsi="Arial" w:cs="Arial"/>
          <w:sz w:val="24"/>
          <w:szCs w:val="24"/>
        </w:rPr>
        <w:t>d</w:t>
      </w:r>
      <w:r w:rsidRPr="00863C21">
        <w:rPr>
          <w:rFonts w:ascii="Arial" w:hAnsi="Arial" w:cs="Arial"/>
          <w:sz w:val="24"/>
          <w:szCs w:val="24"/>
        </w:rPr>
        <w:t>el 24 de julio de 2022 contiene errores</w:t>
      </w:r>
      <w:r w:rsidR="00645E00">
        <w:rPr>
          <w:rFonts w:ascii="Arial" w:hAnsi="Arial" w:cs="Arial"/>
          <w:sz w:val="24"/>
          <w:szCs w:val="24"/>
        </w:rPr>
        <w:t>,</w:t>
      </w:r>
      <w:r w:rsidRPr="00863C21">
        <w:rPr>
          <w:rFonts w:ascii="Arial" w:hAnsi="Arial" w:cs="Arial"/>
          <w:sz w:val="24"/>
          <w:szCs w:val="24"/>
        </w:rPr>
        <w:t xml:space="preserve"> </w:t>
      </w:r>
      <w:r w:rsidR="00B33B4E">
        <w:rPr>
          <w:rFonts w:ascii="Arial" w:hAnsi="Arial" w:cs="Arial"/>
          <w:sz w:val="24"/>
          <w:szCs w:val="24"/>
        </w:rPr>
        <w:t>razón por la que</w:t>
      </w:r>
      <w:r w:rsidRPr="00863C21">
        <w:rPr>
          <w:rFonts w:ascii="Arial" w:hAnsi="Arial" w:cs="Arial"/>
          <w:sz w:val="24"/>
          <w:szCs w:val="24"/>
        </w:rPr>
        <w:t xml:space="preserve"> el juez constitucional debe ordenar al Consejo Superior de la Judicatura, entre otras cosas, que </w:t>
      </w:r>
      <w:r w:rsidR="00645E00">
        <w:rPr>
          <w:rFonts w:ascii="Arial" w:hAnsi="Arial" w:cs="Arial"/>
          <w:sz w:val="24"/>
          <w:szCs w:val="24"/>
        </w:rPr>
        <w:t>disponga su repetición</w:t>
      </w:r>
      <w:r w:rsidRPr="00863C21">
        <w:rPr>
          <w:rFonts w:ascii="Arial" w:hAnsi="Arial" w:cs="Arial"/>
          <w:sz w:val="24"/>
          <w:szCs w:val="24"/>
        </w:rPr>
        <w:t>, con el fin de garantizar los derechos invocados.</w:t>
      </w:r>
    </w:p>
    <w:p w14:paraId="1EB672F2" w14:textId="2A2BA89E" w:rsidR="007238F0" w:rsidRDefault="00FB5B2B" w:rsidP="00406B8A">
      <w:pPr>
        <w:widowControl w:val="0"/>
        <w:tabs>
          <w:tab w:val="left" w:pos="0"/>
        </w:tabs>
        <w:spacing w:before="240" w:after="240" w:line="240" w:lineRule="auto"/>
        <w:jc w:val="both"/>
        <w:rPr>
          <w:rFonts w:ascii="Arial" w:hAnsi="Arial" w:cs="Arial"/>
          <w:sz w:val="24"/>
          <w:szCs w:val="24"/>
        </w:rPr>
      </w:pPr>
      <w:r w:rsidRPr="00FB5B2B">
        <w:rPr>
          <w:rFonts w:ascii="Arial" w:hAnsi="Arial" w:cs="Arial"/>
          <w:sz w:val="24"/>
          <w:szCs w:val="24"/>
        </w:rPr>
        <w:t>Manifestó que cuando se publicaron los componentes temáticos relacionados con el instructivo</w:t>
      </w:r>
      <w:r w:rsidR="00406B8A">
        <w:rPr>
          <w:rFonts w:ascii="Arial" w:hAnsi="Arial" w:cs="Arial"/>
          <w:sz w:val="24"/>
          <w:szCs w:val="24"/>
        </w:rPr>
        <w:t>,</w:t>
      </w:r>
      <w:r w:rsidRPr="00FB5B2B">
        <w:rPr>
          <w:rFonts w:ascii="Arial" w:hAnsi="Arial" w:cs="Arial"/>
          <w:sz w:val="24"/>
          <w:szCs w:val="24"/>
        </w:rPr>
        <w:t xml:space="preserve"> se incluyeron competencias que por ley no corresponden al cargo de Juez Promiscuo Municipal</w:t>
      </w:r>
      <w:r>
        <w:rPr>
          <w:rFonts w:ascii="Arial" w:hAnsi="Arial" w:cs="Arial"/>
          <w:sz w:val="24"/>
          <w:szCs w:val="24"/>
        </w:rPr>
        <w:t xml:space="preserve">, </w:t>
      </w:r>
      <w:r w:rsidR="00B33B4E">
        <w:rPr>
          <w:rFonts w:ascii="Arial" w:hAnsi="Arial" w:cs="Arial"/>
          <w:sz w:val="24"/>
          <w:szCs w:val="24"/>
        </w:rPr>
        <w:t>situación que, a su juicio,</w:t>
      </w:r>
      <w:r>
        <w:rPr>
          <w:rFonts w:ascii="Arial" w:hAnsi="Arial" w:cs="Arial"/>
          <w:sz w:val="24"/>
          <w:szCs w:val="24"/>
        </w:rPr>
        <w:t xml:space="preserve"> demuestra </w:t>
      </w:r>
      <w:r w:rsidR="00B33B4E">
        <w:rPr>
          <w:rFonts w:ascii="Arial" w:hAnsi="Arial" w:cs="Arial"/>
          <w:sz w:val="24"/>
          <w:szCs w:val="24"/>
        </w:rPr>
        <w:t xml:space="preserve">la </w:t>
      </w:r>
      <w:r>
        <w:rPr>
          <w:rFonts w:ascii="Arial" w:hAnsi="Arial" w:cs="Arial"/>
          <w:sz w:val="24"/>
          <w:szCs w:val="24"/>
        </w:rPr>
        <w:t xml:space="preserve">ausencia de facultades técnicas para la correcta calificación de las pruebas. </w:t>
      </w:r>
      <w:r w:rsidR="00B33B4E">
        <w:rPr>
          <w:rFonts w:ascii="Arial" w:hAnsi="Arial" w:cs="Arial"/>
          <w:sz w:val="24"/>
          <w:szCs w:val="24"/>
        </w:rPr>
        <w:t>Indicó que esta situación fue puesta en conocimiento de la autoridad encargada por medio de peticiones y de los recursos de reposición, y que</w:t>
      </w:r>
      <w:r w:rsidR="00406B8A">
        <w:rPr>
          <w:rFonts w:ascii="Arial" w:hAnsi="Arial" w:cs="Arial"/>
          <w:sz w:val="24"/>
          <w:szCs w:val="24"/>
        </w:rPr>
        <w:t>,</w:t>
      </w:r>
      <w:r w:rsidR="00B33B4E">
        <w:rPr>
          <w:rFonts w:ascii="Arial" w:hAnsi="Arial" w:cs="Arial"/>
          <w:sz w:val="24"/>
          <w:szCs w:val="24"/>
        </w:rPr>
        <w:t xml:space="preserve"> pese a ello, </w:t>
      </w:r>
      <w:r w:rsidR="00B33B4E">
        <w:rPr>
          <w:rFonts w:ascii="Arial" w:hAnsi="Arial" w:cs="Arial"/>
          <w:sz w:val="24"/>
          <w:szCs w:val="24"/>
          <w14:ligatures w14:val="standardContextual"/>
        </w:rPr>
        <w:t>la Unidad de Administración de Carrera Judicial del Consejo Superior de la Judicatura se ha negado de forma “arbitraria” a repetir la prueba de conocimientos y aptitudes, situación que implica un desconocimiento de la Constitución, la ley, y del precedente administrativo de dicha dependencia.</w:t>
      </w:r>
      <w:r w:rsidR="005F66CB">
        <w:rPr>
          <w:rFonts w:ascii="Arial" w:hAnsi="Arial" w:cs="Arial"/>
          <w:sz w:val="24"/>
          <w:szCs w:val="24"/>
          <w14:ligatures w14:val="standardContextual"/>
        </w:rPr>
        <w:t xml:space="preserve"> </w:t>
      </w:r>
    </w:p>
    <w:p w14:paraId="27B0257E" w14:textId="552A7EF9" w:rsidR="00B8405B" w:rsidRPr="00B33B4E" w:rsidRDefault="00D02A0A" w:rsidP="005F66CB">
      <w:pPr>
        <w:autoSpaceDE w:val="0"/>
        <w:autoSpaceDN w:val="0"/>
        <w:adjustRightInd w:val="0"/>
        <w:spacing w:line="240" w:lineRule="auto"/>
        <w:jc w:val="both"/>
        <w:rPr>
          <w:rFonts w:ascii="Arial" w:hAnsi="Arial" w:cs="Arial"/>
          <w:sz w:val="24"/>
          <w:szCs w:val="24"/>
        </w:rPr>
      </w:pPr>
      <w:r>
        <w:rPr>
          <w:rFonts w:ascii="Arial" w:hAnsi="Arial" w:cs="Arial"/>
          <w:sz w:val="24"/>
          <w:szCs w:val="24"/>
        </w:rPr>
        <w:t>A</w:t>
      </w:r>
      <w:r w:rsidR="00CC1307">
        <w:rPr>
          <w:rFonts w:ascii="Arial" w:hAnsi="Arial" w:cs="Arial"/>
          <w:sz w:val="24"/>
          <w:szCs w:val="24"/>
        </w:rPr>
        <w:t>d</w:t>
      </w:r>
      <w:r>
        <w:rPr>
          <w:rFonts w:ascii="Arial" w:hAnsi="Arial" w:cs="Arial"/>
          <w:sz w:val="24"/>
          <w:szCs w:val="24"/>
        </w:rPr>
        <w:t>ujo</w:t>
      </w:r>
      <w:r w:rsidR="00404D0D">
        <w:rPr>
          <w:rFonts w:ascii="Arial" w:hAnsi="Arial" w:cs="Arial"/>
          <w:sz w:val="24"/>
          <w:szCs w:val="24"/>
        </w:rPr>
        <w:t xml:space="preserve"> que la </w:t>
      </w:r>
      <w:r w:rsidR="00404D0D" w:rsidRPr="00404D0D">
        <w:rPr>
          <w:rFonts w:ascii="Arial" w:hAnsi="Arial" w:cs="Arial"/>
          <w:sz w:val="24"/>
          <w:szCs w:val="24"/>
          <w14:ligatures w14:val="standardContextual"/>
        </w:rPr>
        <w:t>Resolución CJR23-0042 de 16 de enero de 2023</w:t>
      </w:r>
      <w:r w:rsidR="00404D0D">
        <w:rPr>
          <w:rFonts w:ascii="Arial" w:hAnsi="Arial" w:cs="Arial"/>
          <w:sz w:val="24"/>
          <w:szCs w:val="24"/>
          <w14:ligatures w14:val="standardContextual"/>
        </w:rPr>
        <w:t>, en la que se resolvió el recurso de reposición que presentó en contra del que acto que publicó los resultados</w:t>
      </w:r>
      <w:r w:rsidR="00B33B4E">
        <w:rPr>
          <w:rFonts w:ascii="Arial" w:hAnsi="Arial" w:cs="Arial"/>
          <w:sz w:val="24"/>
          <w:szCs w:val="24"/>
          <w14:ligatures w14:val="standardContextual"/>
        </w:rPr>
        <w:t>,</w:t>
      </w:r>
      <w:r w:rsidR="00404D0D">
        <w:rPr>
          <w:rFonts w:ascii="Arial" w:hAnsi="Arial" w:cs="Arial"/>
          <w:sz w:val="24"/>
          <w:szCs w:val="24"/>
          <w14:ligatures w14:val="standardContextual"/>
        </w:rPr>
        <w:t xml:space="preserve"> no resolvió de</w:t>
      </w:r>
      <w:r w:rsidR="00B33B4E">
        <w:rPr>
          <w:rFonts w:ascii="Arial" w:hAnsi="Arial" w:cs="Arial"/>
          <w:sz w:val="24"/>
          <w:szCs w:val="24"/>
          <w14:ligatures w14:val="standardContextual"/>
        </w:rPr>
        <w:t xml:space="preserve"> forma congruente ni de</w:t>
      </w:r>
      <w:r w:rsidR="00404D0D">
        <w:rPr>
          <w:rFonts w:ascii="Arial" w:hAnsi="Arial" w:cs="Arial"/>
          <w:sz w:val="24"/>
          <w:szCs w:val="24"/>
          <w14:ligatures w14:val="standardContextual"/>
        </w:rPr>
        <w:t xml:space="preserve"> fondo</w:t>
      </w:r>
      <w:r w:rsidR="00B33B4E">
        <w:rPr>
          <w:rFonts w:ascii="Arial" w:hAnsi="Arial" w:cs="Arial"/>
          <w:sz w:val="24"/>
          <w:szCs w:val="24"/>
          <w14:ligatures w14:val="standardContextual"/>
        </w:rPr>
        <w:t xml:space="preserve"> </w:t>
      </w:r>
      <w:r w:rsidR="00404D0D">
        <w:rPr>
          <w:rFonts w:ascii="Arial" w:hAnsi="Arial" w:cs="Arial"/>
          <w:sz w:val="24"/>
          <w:szCs w:val="24"/>
          <w14:ligatures w14:val="standardContextual"/>
        </w:rPr>
        <w:t>los reparos que planteó</w:t>
      </w:r>
      <w:r w:rsidR="005F66CB">
        <w:rPr>
          <w:rFonts w:ascii="Arial" w:hAnsi="Arial" w:cs="Arial"/>
          <w:sz w:val="24"/>
          <w:szCs w:val="24"/>
          <w14:ligatures w14:val="standardContextual"/>
        </w:rPr>
        <w:t>, pues no se tuvo en cuenta que</w:t>
      </w:r>
      <w:r w:rsidR="00DB44F4">
        <w:rPr>
          <w:rFonts w:ascii="Arial" w:hAnsi="Arial" w:cs="Arial"/>
          <w:sz w:val="24"/>
          <w:szCs w:val="24"/>
        </w:rPr>
        <w:t xml:space="preserve"> los puntos </w:t>
      </w:r>
      <w:r w:rsidR="00B33B4E" w:rsidRPr="00B33B4E">
        <w:rPr>
          <w:rFonts w:ascii="Arial" w:hAnsi="Arial" w:cs="Arial"/>
          <w:sz w:val="24"/>
          <w:szCs w:val="24"/>
        </w:rPr>
        <w:t>100,101,102,103</w:t>
      </w:r>
      <w:r w:rsidR="00B33B4E">
        <w:rPr>
          <w:rFonts w:ascii="Arial" w:hAnsi="Arial" w:cs="Arial"/>
          <w:sz w:val="24"/>
          <w:szCs w:val="24"/>
        </w:rPr>
        <w:t xml:space="preserve"> del examen contenían </w:t>
      </w:r>
      <w:r w:rsidR="00DB44F4">
        <w:rPr>
          <w:rFonts w:ascii="Arial" w:hAnsi="Arial" w:cs="Arial"/>
          <w:sz w:val="24"/>
          <w:szCs w:val="24"/>
        </w:rPr>
        <w:t>temáticas</w:t>
      </w:r>
      <w:r w:rsidR="00B33B4E">
        <w:rPr>
          <w:rFonts w:ascii="Arial" w:hAnsi="Arial" w:cs="Arial"/>
          <w:sz w:val="24"/>
          <w:szCs w:val="24"/>
        </w:rPr>
        <w:t xml:space="preserve"> que no correspondían al cargo por el que optó, que la</w:t>
      </w:r>
      <w:r w:rsidR="00FB5B2B">
        <w:t xml:space="preserve"> </w:t>
      </w:r>
      <w:r w:rsidR="00DB44F4">
        <w:rPr>
          <w:rFonts w:ascii="Arial" w:hAnsi="Arial" w:cs="Arial"/>
          <w:sz w:val="24"/>
          <w:szCs w:val="24"/>
        </w:rPr>
        <w:t>pregunta</w:t>
      </w:r>
      <w:r w:rsidR="00FB5B2B" w:rsidRPr="00B33B4E">
        <w:rPr>
          <w:rFonts w:ascii="Arial" w:hAnsi="Arial" w:cs="Arial"/>
          <w:sz w:val="24"/>
          <w:szCs w:val="24"/>
        </w:rPr>
        <w:t xml:space="preserve"> 32 </w:t>
      </w:r>
      <w:r w:rsidR="00B33B4E" w:rsidRPr="00B33B4E">
        <w:rPr>
          <w:rFonts w:ascii="Arial" w:hAnsi="Arial" w:cs="Arial"/>
          <w:sz w:val="24"/>
          <w:szCs w:val="24"/>
        </w:rPr>
        <w:t xml:space="preserve">tenía errores </w:t>
      </w:r>
      <w:r w:rsidR="00FB5B2B" w:rsidRPr="00B33B4E">
        <w:rPr>
          <w:rFonts w:ascii="Arial" w:hAnsi="Arial" w:cs="Arial"/>
          <w:sz w:val="24"/>
          <w:szCs w:val="24"/>
        </w:rPr>
        <w:t xml:space="preserve">de redacción, </w:t>
      </w:r>
      <w:r w:rsidR="00B33B4E" w:rsidRPr="00B33B4E">
        <w:rPr>
          <w:rFonts w:ascii="Arial" w:hAnsi="Arial" w:cs="Arial"/>
          <w:sz w:val="24"/>
          <w:szCs w:val="24"/>
        </w:rPr>
        <w:t xml:space="preserve">que </w:t>
      </w:r>
      <w:r w:rsidR="00FB5B2B" w:rsidRPr="00B33B4E">
        <w:rPr>
          <w:rFonts w:ascii="Arial" w:hAnsi="Arial" w:cs="Arial"/>
          <w:sz w:val="24"/>
          <w:szCs w:val="24"/>
        </w:rPr>
        <w:t xml:space="preserve">la 126 </w:t>
      </w:r>
      <w:r w:rsidR="00B33B4E" w:rsidRPr="00B33B4E">
        <w:rPr>
          <w:rFonts w:ascii="Arial" w:hAnsi="Arial" w:cs="Arial"/>
          <w:sz w:val="24"/>
          <w:szCs w:val="24"/>
        </w:rPr>
        <w:t>no atendía a lo dispuesto</w:t>
      </w:r>
      <w:r w:rsidR="00FB5B2B" w:rsidRPr="00B33B4E">
        <w:rPr>
          <w:rFonts w:ascii="Arial" w:hAnsi="Arial" w:cs="Arial"/>
          <w:sz w:val="24"/>
          <w:szCs w:val="24"/>
        </w:rPr>
        <w:t xml:space="preserve"> en la ley</w:t>
      </w:r>
      <w:r w:rsidR="00B33B4E" w:rsidRPr="00B33B4E">
        <w:rPr>
          <w:rFonts w:ascii="Arial" w:hAnsi="Arial" w:cs="Arial"/>
          <w:sz w:val="24"/>
          <w:szCs w:val="24"/>
        </w:rPr>
        <w:t>,</w:t>
      </w:r>
      <w:r w:rsidR="00FB5B2B" w:rsidRPr="00B33B4E">
        <w:rPr>
          <w:rFonts w:ascii="Arial" w:hAnsi="Arial" w:cs="Arial"/>
          <w:sz w:val="24"/>
          <w:szCs w:val="24"/>
        </w:rPr>
        <w:t xml:space="preserve"> y</w:t>
      </w:r>
      <w:r w:rsidR="00B33B4E" w:rsidRPr="00B33B4E">
        <w:rPr>
          <w:rFonts w:ascii="Arial" w:hAnsi="Arial" w:cs="Arial"/>
          <w:sz w:val="24"/>
          <w:szCs w:val="24"/>
        </w:rPr>
        <w:t xml:space="preserve"> que</w:t>
      </w:r>
      <w:r w:rsidR="00FB5B2B" w:rsidRPr="00B33B4E">
        <w:rPr>
          <w:rFonts w:ascii="Arial" w:hAnsi="Arial" w:cs="Arial"/>
          <w:sz w:val="24"/>
          <w:szCs w:val="24"/>
        </w:rPr>
        <w:t xml:space="preserve"> la 129 </w:t>
      </w:r>
      <w:r w:rsidR="00B33B4E" w:rsidRPr="00B33B4E">
        <w:rPr>
          <w:rFonts w:ascii="Arial" w:hAnsi="Arial" w:cs="Arial"/>
          <w:sz w:val="24"/>
          <w:szCs w:val="24"/>
        </w:rPr>
        <w:t xml:space="preserve">no </w:t>
      </w:r>
      <w:r w:rsidR="00DB44F4">
        <w:rPr>
          <w:rFonts w:ascii="Arial" w:hAnsi="Arial" w:cs="Arial"/>
          <w:sz w:val="24"/>
          <w:szCs w:val="24"/>
        </w:rPr>
        <w:t>correspondía</w:t>
      </w:r>
      <w:r w:rsidR="00B33B4E" w:rsidRPr="00B33B4E">
        <w:rPr>
          <w:rFonts w:ascii="Arial" w:hAnsi="Arial" w:cs="Arial"/>
          <w:sz w:val="24"/>
          <w:szCs w:val="24"/>
        </w:rPr>
        <w:t xml:space="preserve"> a lo establecido en</w:t>
      </w:r>
      <w:r w:rsidR="00FB5B2B" w:rsidRPr="00B33B4E">
        <w:rPr>
          <w:rFonts w:ascii="Arial" w:hAnsi="Arial" w:cs="Arial"/>
          <w:sz w:val="24"/>
          <w:szCs w:val="24"/>
        </w:rPr>
        <w:t xml:space="preserve"> la Constitución.</w:t>
      </w:r>
    </w:p>
    <w:p w14:paraId="11CFC546" w14:textId="28302D99" w:rsidR="008B7B13" w:rsidRPr="00B33B4E" w:rsidRDefault="0052707B" w:rsidP="00E76F32">
      <w:pPr>
        <w:widowControl w:val="0"/>
        <w:tabs>
          <w:tab w:val="left" w:pos="1985"/>
        </w:tabs>
        <w:spacing w:before="240" w:after="240" w:line="240" w:lineRule="auto"/>
        <w:jc w:val="both"/>
        <w:rPr>
          <w:rFonts w:ascii="Arial" w:hAnsi="Arial" w:cs="Arial"/>
          <w:b/>
          <w:bCs/>
          <w:sz w:val="24"/>
          <w:szCs w:val="24"/>
        </w:rPr>
      </w:pPr>
      <w:r w:rsidRPr="00B33B4E">
        <w:rPr>
          <w:rFonts w:ascii="Arial" w:hAnsi="Arial" w:cs="Arial"/>
          <w:b/>
          <w:bCs/>
          <w:sz w:val="24"/>
          <w:szCs w:val="24"/>
        </w:rPr>
        <w:t xml:space="preserve">1.4. Trámite </w:t>
      </w:r>
      <w:r w:rsidR="008B7B13" w:rsidRPr="00B33B4E">
        <w:rPr>
          <w:rFonts w:ascii="Arial" w:hAnsi="Arial" w:cs="Arial"/>
          <w:b/>
          <w:bCs/>
          <w:sz w:val="24"/>
          <w:szCs w:val="24"/>
        </w:rPr>
        <w:t>en primera instancia</w:t>
      </w:r>
    </w:p>
    <w:p w14:paraId="5E9AA73D" w14:textId="08815E86" w:rsidR="008B7B13" w:rsidRDefault="008B7B13" w:rsidP="008B7B13">
      <w:pPr>
        <w:pStyle w:val="Prrafodelista"/>
        <w:widowControl w:val="0"/>
        <w:spacing w:before="240" w:after="240"/>
        <w:ind w:left="0"/>
        <w:contextualSpacing w:val="0"/>
        <w:rPr>
          <w:bCs/>
          <w:sz w:val="24"/>
          <w:szCs w:val="24"/>
        </w:rPr>
      </w:pPr>
      <w:r w:rsidRPr="00B8405B">
        <w:rPr>
          <w:sz w:val="24"/>
          <w:szCs w:val="24"/>
        </w:rPr>
        <w:t xml:space="preserve">1.4.1. </w:t>
      </w:r>
      <w:r>
        <w:rPr>
          <w:sz w:val="24"/>
          <w:szCs w:val="24"/>
        </w:rPr>
        <w:t>El despacho del magistrado ponente admitió la acción de tutela en auto del 27 de enero de 2023</w:t>
      </w:r>
      <w:r>
        <w:rPr>
          <w:rStyle w:val="Refdenotaalpie"/>
          <w:sz w:val="24"/>
          <w:szCs w:val="24"/>
        </w:rPr>
        <w:footnoteReference w:id="21"/>
      </w:r>
      <w:r>
        <w:rPr>
          <w:sz w:val="24"/>
          <w:szCs w:val="24"/>
        </w:rPr>
        <w:t xml:space="preserve"> y ordenó notificar a la </w:t>
      </w:r>
      <w:r>
        <w:rPr>
          <w:bCs/>
          <w:sz w:val="24"/>
          <w:szCs w:val="24"/>
        </w:rPr>
        <w:t xml:space="preserve">Unidad de Administración de Carrera Judicial del Consejo Superior de la Judicatura, como parte accionada, y vincular a la Universidad Nacional de Colombia, como tercera con interés. Así mismo, solicitó al </w:t>
      </w:r>
      <w:r>
        <w:rPr>
          <w:bCs/>
          <w:color w:val="000000"/>
          <w:sz w:val="24"/>
          <w:szCs w:val="24"/>
        </w:rPr>
        <w:t xml:space="preserve">Consejo Superior de la Judicatura, informar los nombres de las personas que </w:t>
      </w:r>
      <w:r>
        <w:rPr>
          <w:bCs/>
          <w:sz w:val="24"/>
          <w:szCs w:val="24"/>
        </w:rPr>
        <w:t xml:space="preserve">se encuentran inscritas en la Convocatoria 27, para optar por el cargo de Juez Promiscuo Municipal, para comunicarles la presente acción de tutela. Finalmente, negó la solicitud de medida provisional y ordenó la suspensión de términos mientras la Secretaría General antedía las </w:t>
      </w:r>
      <w:r w:rsidR="00406B8A">
        <w:rPr>
          <w:bCs/>
          <w:sz w:val="24"/>
          <w:szCs w:val="24"/>
        </w:rPr>
        <w:t>disposiciones</w:t>
      </w:r>
      <w:r>
        <w:rPr>
          <w:bCs/>
          <w:sz w:val="24"/>
          <w:szCs w:val="24"/>
        </w:rPr>
        <w:t xml:space="preserve"> del mencionado proveído.</w:t>
      </w:r>
    </w:p>
    <w:p w14:paraId="6E0EB43C" w14:textId="77777777" w:rsidR="008B7B13" w:rsidRDefault="008B7B13" w:rsidP="008B7B13">
      <w:pPr>
        <w:pStyle w:val="Prrafodelista"/>
        <w:widowControl w:val="0"/>
        <w:spacing w:before="240" w:after="240"/>
        <w:ind w:left="0"/>
        <w:contextualSpacing w:val="0"/>
        <w:rPr>
          <w:bCs/>
          <w:sz w:val="24"/>
          <w:szCs w:val="24"/>
        </w:rPr>
      </w:pPr>
      <w:r>
        <w:rPr>
          <w:bCs/>
          <w:sz w:val="24"/>
          <w:szCs w:val="24"/>
        </w:rPr>
        <w:t xml:space="preserve">1.4.2. La </w:t>
      </w:r>
      <w:r w:rsidRPr="00470D9E">
        <w:rPr>
          <w:b/>
          <w:sz w:val="24"/>
          <w:szCs w:val="24"/>
        </w:rPr>
        <w:t>Unidad de Administración de Carrera Judicial del Consejo Superior de la Judicatura</w:t>
      </w:r>
      <w:r>
        <w:rPr>
          <w:rStyle w:val="Refdenotaalpie"/>
          <w:bCs/>
          <w:sz w:val="24"/>
          <w:szCs w:val="24"/>
        </w:rPr>
        <w:footnoteReference w:id="22"/>
      </w:r>
      <w:r>
        <w:rPr>
          <w:bCs/>
          <w:sz w:val="24"/>
          <w:szCs w:val="24"/>
        </w:rPr>
        <w:t xml:space="preserve"> remitió los nombres y direcciones de las personas inscritas en la Convocatoria 27 para optar por el cargo de Juez Promiscuo Municipal</w:t>
      </w:r>
      <w:r>
        <w:rPr>
          <w:rStyle w:val="Refdenotaalpie"/>
          <w:bCs/>
          <w:sz w:val="24"/>
          <w:szCs w:val="24"/>
        </w:rPr>
        <w:footnoteReference w:id="23"/>
      </w:r>
      <w:r>
        <w:rPr>
          <w:bCs/>
          <w:sz w:val="24"/>
          <w:szCs w:val="24"/>
        </w:rPr>
        <w:t>.</w:t>
      </w:r>
    </w:p>
    <w:p w14:paraId="13269858" w14:textId="6613E037" w:rsidR="008B7B13" w:rsidRDefault="008B7B13" w:rsidP="00CC1307">
      <w:pPr>
        <w:widowControl w:val="0"/>
        <w:spacing w:before="240" w:after="240" w:line="240" w:lineRule="auto"/>
        <w:jc w:val="both"/>
        <w:rPr>
          <w:rFonts w:ascii="Arial" w:hAnsi="Arial" w:cs="Arial"/>
          <w:bCs/>
          <w:sz w:val="24"/>
          <w:szCs w:val="24"/>
        </w:rPr>
      </w:pPr>
      <w:r>
        <w:rPr>
          <w:rFonts w:ascii="Arial" w:hAnsi="Arial" w:cs="Arial"/>
          <w:bCs/>
          <w:sz w:val="24"/>
          <w:szCs w:val="24"/>
        </w:rPr>
        <w:t>1.4.3. La Secretaría General de esta Corporación requirió a la Unidad de Administración de Carrera Judicial del Consejo Superior de la Judicatura, para que notificara en la forma más expedita posible, el auto que admitió la presente acción a las personas que se encuentran inscritas en la Convocatoria 27 para optar por el cargo de Juez Promiscuo Municipal</w:t>
      </w:r>
      <w:r>
        <w:rPr>
          <w:rStyle w:val="Refdenotaalpie"/>
          <w:rFonts w:ascii="Arial" w:hAnsi="Arial" w:cs="Arial"/>
          <w:bCs/>
          <w:sz w:val="24"/>
          <w:szCs w:val="24"/>
        </w:rPr>
        <w:footnoteReference w:id="24"/>
      </w:r>
      <w:r>
        <w:rPr>
          <w:rFonts w:ascii="Arial" w:hAnsi="Arial" w:cs="Arial"/>
          <w:bCs/>
          <w:sz w:val="24"/>
          <w:szCs w:val="24"/>
        </w:rPr>
        <w:t>.</w:t>
      </w:r>
      <w:r w:rsidR="005F66CB">
        <w:rPr>
          <w:rFonts w:ascii="Arial" w:hAnsi="Arial" w:cs="Arial"/>
          <w:bCs/>
          <w:sz w:val="24"/>
          <w:szCs w:val="24"/>
        </w:rPr>
        <w:t xml:space="preserve"> </w:t>
      </w:r>
      <w:r>
        <w:rPr>
          <w:rFonts w:ascii="Arial" w:hAnsi="Arial" w:cs="Arial"/>
          <w:bCs/>
          <w:sz w:val="24"/>
          <w:szCs w:val="24"/>
        </w:rPr>
        <w:t>La referida autoridad, en cumplimiento de tal requerimiento, publicó la petición de amparo y el proveído que la admitió en la página web de la Rama Judicial</w:t>
      </w:r>
      <w:r>
        <w:rPr>
          <w:rStyle w:val="Refdenotaalpie"/>
          <w:rFonts w:ascii="Arial" w:hAnsi="Arial" w:cs="Arial"/>
          <w:bCs/>
          <w:sz w:val="24"/>
          <w:szCs w:val="24"/>
        </w:rPr>
        <w:footnoteReference w:id="25"/>
      </w:r>
      <w:r>
        <w:rPr>
          <w:rFonts w:ascii="Arial" w:hAnsi="Arial" w:cs="Arial"/>
          <w:bCs/>
          <w:sz w:val="24"/>
          <w:szCs w:val="24"/>
        </w:rPr>
        <w:t>.</w:t>
      </w:r>
    </w:p>
    <w:p w14:paraId="627A5CDF" w14:textId="08C78729" w:rsidR="008B7B13" w:rsidRPr="008B7B13" w:rsidRDefault="008B7B13" w:rsidP="00CC1307">
      <w:pPr>
        <w:pStyle w:val="Prrafodelista"/>
        <w:widowControl w:val="0"/>
        <w:spacing w:before="240" w:after="240"/>
        <w:ind w:left="0"/>
        <w:contextualSpacing w:val="0"/>
        <w:rPr>
          <w:b/>
          <w:sz w:val="24"/>
          <w:szCs w:val="24"/>
        </w:rPr>
      </w:pPr>
      <w:r w:rsidRPr="008B7B13">
        <w:rPr>
          <w:b/>
          <w:sz w:val="24"/>
          <w:szCs w:val="24"/>
        </w:rPr>
        <w:t>1.5. Intervenciones</w:t>
      </w:r>
    </w:p>
    <w:p w14:paraId="4A615330" w14:textId="5B0EF367" w:rsidR="00B16A8A" w:rsidRDefault="00C3513F" w:rsidP="005F66CB">
      <w:pPr>
        <w:pStyle w:val="Prrafodelista"/>
        <w:keepNext/>
        <w:widowControl w:val="0"/>
        <w:spacing w:before="240" w:after="240"/>
        <w:ind w:left="0"/>
        <w:contextualSpacing w:val="0"/>
        <w:rPr>
          <w:bCs/>
          <w:sz w:val="24"/>
          <w:szCs w:val="24"/>
        </w:rPr>
      </w:pPr>
      <w:r>
        <w:rPr>
          <w:bCs/>
          <w:sz w:val="24"/>
          <w:szCs w:val="24"/>
        </w:rPr>
        <w:t>1.</w:t>
      </w:r>
      <w:r w:rsidR="008B7B13">
        <w:rPr>
          <w:bCs/>
          <w:sz w:val="24"/>
          <w:szCs w:val="24"/>
        </w:rPr>
        <w:t>5</w:t>
      </w:r>
      <w:r>
        <w:rPr>
          <w:bCs/>
          <w:sz w:val="24"/>
          <w:szCs w:val="24"/>
        </w:rPr>
        <w:t>.</w:t>
      </w:r>
      <w:r w:rsidR="008B7B13">
        <w:rPr>
          <w:bCs/>
          <w:sz w:val="24"/>
          <w:szCs w:val="24"/>
        </w:rPr>
        <w:t>1</w:t>
      </w:r>
      <w:r>
        <w:rPr>
          <w:bCs/>
          <w:sz w:val="24"/>
          <w:szCs w:val="24"/>
        </w:rPr>
        <w:t xml:space="preserve">. </w:t>
      </w:r>
      <w:r w:rsidR="00EA07C4">
        <w:rPr>
          <w:bCs/>
          <w:sz w:val="24"/>
          <w:szCs w:val="24"/>
        </w:rPr>
        <w:t xml:space="preserve">La </w:t>
      </w:r>
      <w:r w:rsidR="00EA07C4" w:rsidRPr="003D47C3">
        <w:rPr>
          <w:b/>
          <w:sz w:val="24"/>
          <w:szCs w:val="24"/>
        </w:rPr>
        <w:t>Universidad Nacional de Colombia</w:t>
      </w:r>
      <w:r w:rsidR="003D47C3" w:rsidRPr="003D47C3">
        <w:rPr>
          <w:rStyle w:val="Refdenotaalpie"/>
          <w:bCs/>
          <w:sz w:val="24"/>
          <w:szCs w:val="24"/>
        </w:rPr>
        <w:footnoteReference w:id="26"/>
      </w:r>
      <w:r w:rsidR="00EA07C4">
        <w:rPr>
          <w:bCs/>
          <w:sz w:val="24"/>
          <w:szCs w:val="24"/>
        </w:rPr>
        <w:t xml:space="preserve">, </w:t>
      </w:r>
      <w:r w:rsidR="005D5DA2">
        <w:rPr>
          <w:bCs/>
          <w:sz w:val="24"/>
          <w:szCs w:val="24"/>
        </w:rPr>
        <w:t>representada por el</w:t>
      </w:r>
      <w:r w:rsidR="00EA07C4">
        <w:rPr>
          <w:bCs/>
          <w:sz w:val="24"/>
          <w:szCs w:val="24"/>
        </w:rPr>
        <w:t xml:space="preserve"> Director </w:t>
      </w:r>
      <w:r w:rsidR="005D5DA2">
        <w:rPr>
          <w:bCs/>
          <w:sz w:val="24"/>
          <w:szCs w:val="24"/>
        </w:rPr>
        <w:t xml:space="preserve">del Proyecto – </w:t>
      </w:r>
      <w:r w:rsidR="00EA07C4">
        <w:rPr>
          <w:bCs/>
          <w:sz w:val="24"/>
          <w:szCs w:val="24"/>
        </w:rPr>
        <w:t>Contrato 096 de 2018</w:t>
      </w:r>
      <w:r w:rsidR="003D47C3">
        <w:rPr>
          <w:rStyle w:val="Refdenotaalpie"/>
          <w:bCs/>
          <w:sz w:val="24"/>
          <w:szCs w:val="24"/>
        </w:rPr>
        <w:footnoteReference w:id="27"/>
      </w:r>
      <w:r w:rsidR="00EA07C4">
        <w:rPr>
          <w:bCs/>
          <w:sz w:val="24"/>
          <w:szCs w:val="24"/>
        </w:rPr>
        <w:t xml:space="preserve">, </w:t>
      </w:r>
      <w:r w:rsidR="00C90454">
        <w:rPr>
          <w:bCs/>
          <w:sz w:val="24"/>
          <w:szCs w:val="24"/>
        </w:rPr>
        <w:t xml:space="preserve">afirmó que </w:t>
      </w:r>
      <w:r w:rsidR="009E11A3">
        <w:rPr>
          <w:bCs/>
          <w:sz w:val="24"/>
          <w:szCs w:val="24"/>
        </w:rPr>
        <w:t>en</w:t>
      </w:r>
      <w:r w:rsidR="00C90454">
        <w:rPr>
          <w:bCs/>
          <w:sz w:val="24"/>
          <w:szCs w:val="24"/>
        </w:rPr>
        <w:t xml:space="preserve"> la Resolución CJR23-0042 del 16 de enero de 2023</w:t>
      </w:r>
      <w:r w:rsidR="009E11A3">
        <w:rPr>
          <w:bCs/>
          <w:sz w:val="24"/>
          <w:szCs w:val="24"/>
        </w:rPr>
        <w:t xml:space="preserve"> </w:t>
      </w:r>
      <w:r w:rsidR="00C90454">
        <w:rPr>
          <w:bCs/>
          <w:sz w:val="24"/>
          <w:szCs w:val="24"/>
        </w:rPr>
        <w:t xml:space="preserve">se atendieron los diferentes reparos formulados por el señor Valencia Zamora en el recurso de reposición y en el escrito de ampliación. Por otro lado, afirmó que las preguntas cuestionadas en el escrito de tutela, estaban debidamente justificadas en el Anexo 2 </w:t>
      </w:r>
      <w:r w:rsidR="00EF4229">
        <w:rPr>
          <w:bCs/>
          <w:sz w:val="24"/>
          <w:szCs w:val="24"/>
        </w:rPr>
        <w:t>del mencionado acto administrativo</w:t>
      </w:r>
      <w:r w:rsidR="00EF4229">
        <w:rPr>
          <w:rStyle w:val="Refdenotaalpie"/>
          <w:bCs/>
          <w:sz w:val="24"/>
          <w:szCs w:val="24"/>
        </w:rPr>
        <w:footnoteReference w:id="28"/>
      </w:r>
      <w:r w:rsidR="00EF4229">
        <w:rPr>
          <w:bCs/>
          <w:sz w:val="24"/>
          <w:szCs w:val="24"/>
        </w:rPr>
        <w:t xml:space="preserve">, razón por la que la referida resolución </w:t>
      </w:r>
      <w:r w:rsidR="00E74297">
        <w:rPr>
          <w:bCs/>
          <w:sz w:val="24"/>
          <w:szCs w:val="24"/>
        </w:rPr>
        <w:t>estaba debidamente motivada.</w:t>
      </w:r>
      <w:r w:rsidR="005D5DA2">
        <w:rPr>
          <w:bCs/>
          <w:sz w:val="24"/>
          <w:szCs w:val="24"/>
        </w:rPr>
        <w:t xml:space="preserve"> </w:t>
      </w:r>
    </w:p>
    <w:p w14:paraId="1EA8436F" w14:textId="3F77D10A" w:rsidR="00E74297" w:rsidRDefault="00E74297" w:rsidP="005F66CB">
      <w:pPr>
        <w:pStyle w:val="Prrafodelista"/>
        <w:keepNext/>
        <w:widowControl w:val="0"/>
        <w:spacing w:before="240" w:after="240"/>
        <w:ind w:left="0"/>
        <w:contextualSpacing w:val="0"/>
        <w:rPr>
          <w:bCs/>
          <w:sz w:val="24"/>
          <w:szCs w:val="24"/>
        </w:rPr>
      </w:pPr>
      <w:r>
        <w:rPr>
          <w:bCs/>
          <w:sz w:val="24"/>
          <w:szCs w:val="24"/>
        </w:rPr>
        <w:t xml:space="preserve">En relación con las preguntas de la prueba de conocimientos y aptitudes, indicó que fueron construidas teniendo en cuenta </w:t>
      </w:r>
      <w:r w:rsidRPr="00E74297">
        <w:rPr>
          <w:bCs/>
          <w:sz w:val="24"/>
          <w:szCs w:val="24"/>
        </w:rPr>
        <w:t>las áreas de conocimiento que son transversales a los cargos evaluados y que fueron previamente informados a los aspirantes, a través de</w:t>
      </w:r>
      <w:r>
        <w:rPr>
          <w:bCs/>
          <w:sz w:val="24"/>
          <w:szCs w:val="24"/>
        </w:rPr>
        <w:t xml:space="preserve"> su</w:t>
      </w:r>
      <w:r w:rsidRPr="00E74297">
        <w:rPr>
          <w:bCs/>
          <w:sz w:val="24"/>
          <w:szCs w:val="24"/>
        </w:rPr>
        <w:t xml:space="preserve"> instructivo</w:t>
      </w:r>
      <w:r>
        <w:rPr>
          <w:bCs/>
          <w:sz w:val="24"/>
          <w:szCs w:val="24"/>
        </w:rPr>
        <w:t>. Así, adujo que “</w:t>
      </w:r>
      <w:r w:rsidRPr="00E74297">
        <w:rPr>
          <w:bCs/>
          <w:sz w:val="24"/>
          <w:szCs w:val="24"/>
        </w:rPr>
        <w:t xml:space="preserve">la prueba de conocimientos debe contener asuntos que hacen parte tanto de las áreas específicas del conocimiento del cargo y que debe conocer </w:t>
      </w:r>
      <w:r w:rsidRPr="00DB44F4">
        <w:rPr>
          <w:bCs/>
          <w:sz w:val="24"/>
          <w:szCs w:val="24"/>
        </w:rPr>
        <w:t>cualquier aspirante que pretenda ser Juez Promiscuo Municipal, así como del área aptitudinal que debe ostentar cualquier aspirante que pretenda ser juez</w:t>
      </w:r>
      <w:r w:rsidRPr="00E74297">
        <w:rPr>
          <w:bCs/>
          <w:sz w:val="24"/>
          <w:szCs w:val="24"/>
        </w:rPr>
        <w:t xml:space="preserve"> de nuestra República en cualquier cargo</w:t>
      </w:r>
      <w:r>
        <w:rPr>
          <w:bCs/>
          <w:sz w:val="24"/>
          <w:szCs w:val="24"/>
        </w:rPr>
        <w:t>”</w:t>
      </w:r>
      <w:r>
        <w:rPr>
          <w:rStyle w:val="Refdenotaalpie"/>
          <w:bCs/>
          <w:sz w:val="24"/>
          <w:szCs w:val="24"/>
        </w:rPr>
        <w:footnoteReference w:id="29"/>
      </w:r>
      <w:r w:rsidRPr="00E74297">
        <w:rPr>
          <w:bCs/>
          <w:sz w:val="24"/>
          <w:szCs w:val="24"/>
        </w:rPr>
        <w:t>.</w:t>
      </w:r>
      <w:r>
        <w:rPr>
          <w:bCs/>
          <w:sz w:val="24"/>
          <w:szCs w:val="24"/>
        </w:rPr>
        <w:t xml:space="preserve"> Por lo anterior, explicó que el examen no podía versar únicamente sobre los temas relativos al cargo por el que se opta, sino que debe ir más allá “</w:t>
      </w:r>
      <w:r w:rsidRPr="00E74297">
        <w:rPr>
          <w:bCs/>
          <w:sz w:val="24"/>
          <w:szCs w:val="24"/>
        </w:rPr>
        <w:t>al conocimiento profundo de aspectos básicos, de nociones y conceptos que hacen parte de la órbita de unas áreas del conocimiento del derecho y del cual fueron previamente informados los aspirantes</w:t>
      </w:r>
      <w:r>
        <w:rPr>
          <w:bCs/>
          <w:sz w:val="24"/>
          <w:szCs w:val="24"/>
        </w:rPr>
        <w:t>”</w:t>
      </w:r>
      <w:r>
        <w:rPr>
          <w:rStyle w:val="Refdenotaalpie"/>
          <w:bCs/>
          <w:sz w:val="24"/>
          <w:szCs w:val="24"/>
        </w:rPr>
        <w:footnoteReference w:id="30"/>
      </w:r>
      <w:r>
        <w:rPr>
          <w:bCs/>
          <w:sz w:val="24"/>
          <w:szCs w:val="24"/>
        </w:rPr>
        <w:t>, pues la prueba fue diseñada conforme a los lineamientos establecidos por el Consejo Superior de la Judicatura, en relación con las áreas a evaluar.</w:t>
      </w:r>
    </w:p>
    <w:p w14:paraId="22FF195F" w14:textId="73CC2763" w:rsidR="00355BEA" w:rsidRDefault="00E74297" w:rsidP="00E76F32">
      <w:pPr>
        <w:pStyle w:val="Prrafodelista"/>
        <w:widowControl w:val="0"/>
        <w:spacing w:before="240" w:after="240"/>
        <w:ind w:left="0"/>
        <w:contextualSpacing w:val="0"/>
        <w:rPr>
          <w:bCs/>
          <w:sz w:val="24"/>
          <w:szCs w:val="24"/>
        </w:rPr>
      </w:pPr>
      <w:r>
        <w:rPr>
          <w:bCs/>
          <w:sz w:val="24"/>
          <w:szCs w:val="24"/>
        </w:rPr>
        <w:t xml:space="preserve">Finalmente, solicitó al juez de tutela que declare la improcedencia de la solicitud de amparo, </w:t>
      </w:r>
      <w:r w:rsidR="00DA6A09">
        <w:rPr>
          <w:bCs/>
          <w:sz w:val="24"/>
          <w:szCs w:val="24"/>
        </w:rPr>
        <w:t>pues</w:t>
      </w:r>
      <w:r>
        <w:rPr>
          <w:bCs/>
          <w:sz w:val="24"/>
          <w:szCs w:val="24"/>
        </w:rPr>
        <w:t xml:space="preserve"> el actor no demostró la configuración de un perjuicio irremediable, y </w:t>
      </w:r>
      <w:r w:rsidR="00DA6A09">
        <w:rPr>
          <w:bCs/>
          <w:sz w:val="24"/>
          <w:szCs w:val="24"/>
        </w:rPr>
        <w:t>tampoco</w:t>
      </w:r>
      <w:r>
        <w:rPr>
          <w:bCs/>
          <w:sz w:val="24"/>
          <w:szCs w:val="24"/>
        </w:rPr>
        <w:t xml:space="preserve"> cumplió con el requisito de subsidiariedad</w:t>
      </w:r>
      <w:r w:rsidR="00DA6A09">
        <w:rPr>
          <w:bCs/>
          <w:sz w:val="24"/>
          <w:szCs w:val="24"/>
        </w:rPr>
        <w:t>, en la medida en que, según indicó, el señor Valencia Zamora cuenta con otros mecanismos de protección de los derechos que invocó en su escrito.</w:t>
      </w:r>
    </w:p>
    <w:p w14:paraId="729B4425" w14:textId="2B056DA2" w:rsidR="00E74297" w:rsidRDefault="00355BEA" w:rsidP="00E76F32">
      <w:pPr>
        <w:pStyle w:val="Prrafodelista"/>
        <w:widowControl w:val="0"/>
        <w:spacing w:before="240" w:after="240"/>
        <w:ind w:left="0"/>
        <w:contextualSpacing w:val="0"/>
        <w:rPr>
          <w:bCs/>
          <w:sz w:val="24"/>
          <w:szCs w:val="24"/>
        </w:rPr>
      </w:pPr>
      <w:r>
        <w:rPr>
          <w:bCs/>
          <w:sz w:val="24"/>
          <w:szCs w:val="24"/>
        </w:rPr>
        <w:t>1.</w:t>
      </w:r>
      <w:r w:rsidR="008B7B13">
        <w:rPr>
          <w:bCs/>
          <w:sz w:val="24"/>
          <w:szCs w:val="24"/>
        </w:rPr>
        <w:t>5.2.</w:t>
      </w:r>
      <w:r>
        <w:rPr>
          <w:bCs/>
          <w:sz w:val="24"/>
          <w:szCs w:val="24"/>
        </w:rPr>
        <w:t xml:space="preserve"> La </w:t>
      </w:r>
      <w:r w:rsidRPr="00355BEA">
        <w:rPr>
          <w:b/>
          <w:sz w:val="24"/>
          <w:szCs w:val="24"/>
        </w:rPr>
        <w:t>Unidad de Administración de Carrera Judicial del Consejo Superior de la Judicatura</w:t>
      </w:r>
      <w:r w:rsidRPr="006860AF">
        <w:rPr>
          <w:rStyle w:val="Refdenotaalpie"/>
          <w:bCs/>
          <w:sz w:val="24"/>
          <w:szCs w:val="24"/>
        </w:rPr>
        <w:footnoteReference w:id="31"/>
      </w:r>
      <w:r w:rsidR="00FB5B2B">
        <w:rPr>
          <w:bCs/>
          <w:sz w:val="24"/>
          <w:szCs w:val="24"/>
        </w:rPr>
        <w:t>, expuso que, con anterioridad al 24 de julio de 2022, se realizó una prueba de conocimientos el 2 de diciembre de 2018, frente a la que se presentaron numerosas reclamaciones y solicitudes de revisión. Indicó que</w:t>
      </w:r>
      <w:r w:rsidR="00226525">
        <w:rPr>
          <w:bCs/>
          <w:sz w:val="24"/>
          <w:szCs w:val="24"/>
        </w:rPr>
        <w:t>,</w:t>
      </w:r>
      <w:r w:rsidR="00FB5B2B">
        <w:rPr>
          <w:bCs/>
          <w:sz w:val="24"/>
          <w:szCs w:val="24"/>
        </w:rPr>
        <w:t xml:space="preserve"> a partir de dicha situación, la Universidad Nacional de Colombia, en calidad de operador </w:t>
      </w:r>
      <w:r w:rsidR="00226525">
        <w:rPr>
          <w:bCs/>
          <w:sz w:val="24"/>
          <w:szCs w:val="24"/>
        </w:rPr>
        <w:t>técnico, advirtió:</w:t>
      </w:r>
    </w:p>
    <w:p w14:paraId="3AD0D2D3" w14:textId="736998C5" w:rsidR="00226525" w:rsidRDefault="00226525" w:rsidP="00E76F32">
      <w:pPr>
        <w:pStyle w:val="Prrafodelista"/>
        <w:widowControl w:val="0"/>
        <w:spacing w:before="240" w:after="240"/>
        <w:ind w:left="708"/>
        <w:contextualSpacing w:val="0"/>
        <w:rPr>
          <w:sz w:val="22"/>
          <w:szCs w:val="22"/>
        </w:rPr>
      </w:pPr>
      <w:r>
        <w:rPr>
          <w:sz w:val="22"/>
          <w:szCs w:val="22"/>
        </w:rPr>
        <w:t>“</w:t>
      </w:r>
      <w:r w:rsidR="00DB44F4">
        <w:rPr>
          <w:sz w:val="22"/>
          <w:szCs w:val="22"/>
        </w:rPr>
        <w:t>q</w:t>
      </w:r>
      <w:r>
        <w:rPr>
          <w:sz w:val="22"/>
          <w:szCs w:val="22"/>
        </w:rPr>
        <w:t>ue se presentó un error en la lectura óptica porque se intercambiaron las respuestas al momento de realizar la calificación, situación que obligó a revisar las preguntas objetadas por los concursantes, [comprobando], dentro de las etapas del proceso administrativo, muchas más inconsistencias, razón por la cual propuso al Consejo Superior de la Judicatura que elaborar y aplicar unas nuevas pruebas de aptitudes, de conocimientos y psicotécnica, económicamente a cargo de la Universidad Nacional de Colombia”</w:t>
      </w:r>
      <w:r>
        <w:rPr>
          <w:rStyle w:val="Refdenotaalpie"/>
          <w:sz w:val="22"/>
          <w:szCs w:val="22"/>
        </w:rPr>
        <w:footnoteReference w:id="32"/>
      </w:r>
      <w:r>
        <w:rPr>
          <w:sz w:val="22"/>
          <w:szCs w:val="22"/>
        </w:rPr>
        <w:t>.</w:t>
      </w:r>
    </w:p>
    <w:p w14:paraId="099F23BA" w14:textId="1C6FE99B" w:rsidR="00E3213E" w:rsidRDefault="00032CE0" w:rsidP="00E76F32">
      <w:pPr>
        <w:widowControl w:val="0"/>
        <w:spacing w:before="240" w:after="240" w:line="240" w:lineRule="auto"/>
        <w:jc w:val="both"/>
        <w:rPr>
          <w:rFonts w:ascii="Arial" w:hAnsi="Arial" w:cs="Arial"/>
          <w:sz w:val="24"/>
          <w:szCs w:val="24"/>
        </w:rPr>
      </w:pPr>
      <w:r>
        <w:rPr>
          <w:rFonts w:ascii="Arial" w:hAnsi="Arial" w:cs="Arial"/>
          <w:sz w:val="24"/>
          <w:szCs w:val="24"/>
        </w:rPr>
        <w:t>Afirmó que</w:t>
      </w:r>
      <w:r w:rsidR="005F66CB">
        <w:rPr>
          <w:rFonts w:ascii="Arial" w:hAnsi="Arial" w:cs="Arial"/>
          <w:sz w:val="24"/>
          <w:szCs w:val="24"/>
        </w:rPr>
        <w:t>,</w:t>
      </w:r>
      <w:r>
        <w:rPr>
          <w:rFonts w:ascii="Arial" w:hAnsi="Arial" w:cs="Arial"/>
          <w:sz w:val="24"/>
          <w:szCs w:val="24"/>
        </w:rPr>
        <w:t xml:space="preserve"> c</w:t>
      </w:r>
      <w:r w:rsidR="00E3213E">
        <w:rPr>
          <w:rFonts w:ascii="Arial" w:hAnsi="Arial" w:cs="Arial"/>
          <w:sz w:val="24"/>
          <w:szCs w:val="24"/>
        </w:rPr>
        <w:t xml:space="preserve">on ocasión de dicha situación, el ente educativo y la Dirección Ejecutiva de Administración Judicial suscribieron un acta de acuerdos en la que se dispuso la repetición de la prueba, con cargo a los recursos de la referida universidad. Luego, la Unidad de Administración de Carrera Judicial expidió la Resolución </w:t>
      </w:r>
      <w:r w:rsidR="00E3213E" w:rsidRPr="00E3213E">
        <w:rPr>
          <w:rFonts w:ascii="Arial" w:hAnsi="Arial" w:cs="Arial"/>
          <w:sz w:val="24"/>
          <w:szCs w:val="24"/>
        </w:rPr>
        <w:t>CJR20-0202 de 27 de octubre de 2020</w:t>
      </w:r>
      <w:r w:rsidR="00E3213E">
        <w:rPr>
          <w:rFonts w:ascii="Arial" w:hAnsi="Arial" w:cs="Arial"/>
          <w:sz w:val="24"/>
          <w:szCs w:val="24"/>
        </w:rPr>
        <w:t>, en aplicación del artículo 41 de la Ley 1437 de 2011</w:t>
      </w:r>
      <w:r w:rsidR="00E3213E">
        <w:rPr>
          <w:rStyle w:val="Refdenotaalpie"/>
          <w:rFonts w:ascii="Arial" w:hAnsi="Arial" w:cs="Arial"/>
          <w:sz w:val="24"/>
          <w:szCs w:val="24"/>
        </w:rPr>
        <w:footnoteReference w:id="33"/>
      </w:r>
      <w:r w:rsidR="0053752C">
        <w:rPr>
          <w:rFonts w:ascii="Arial" w:hAnsi="Arial" w:cs="Arial"/>
          <w:sz w:val="24"/>
          <w:szCs w:val="24"/>
        </w:rPr>
        <w:t>, en la que corrigió toda la actuación, con el fin de ajustar el trámite del concurso a derecho, y de conformidad con los principios que rigen la carrera administrativa.</w:t>
      </w:r>
    </w:p>
    <w:p w14:paraId="08C4E657" w14:textId="158A75C3" w:rsidR="0053752C" w:rsidRDefault="00032CE0" w:rsidP="00E76F32">
      <w:pPr>
        <w:widowControl w:val="0"/>
        <w:spacing w:before="240" w:after="240" w:line="240" w:lineRule="auto"/>
        <w:jc w:val="both"/>
        <w:rPr>
          <w:rFonts w:ascii="Arial" w:hAnsi="Arial" w:cs="Arial"/>
          <w:sz w:val="24"/>
          <w:szCs w:val="24"/>
        </w:rPr>
      </w:pPr>
      <w:r>
        <w:rPr>
          <w:rFonts w:ascii="Arial" w:hAnsi="Arial" w:cs="Arial"/>
          <w:sz w:val="24"/>
          <w:szCs w:val="24"/>
        </w:rPr>
        <w:t>Indicó que p</w:t>
      </w:r>
      <w:r w:rsidR="0053752C">
        <w:rPr>
          <w:rFonts w:ascii="Arial" w:hAnsi="Arial" w:cs="Arial"/>
          <w:sz w:val="24"/>
          <w:szCs w:val="24"/>
        </w:rPr>
        <w:t>osteriormente, la Corte Constitucional profirió la sentencia SU-067 de 2022</w:t>
      </w:r>
      <w:r w:rsidR="00BF3011">
        <w:rPr>
          <w:rFonts w:ascii="Arial" w:hAnsi="Arial" w:cs="Arial"/>
          <w:sz w:val="24"/>
          <w:szCs w:val="24"/>
        </w:rPr>
        <w:t xml:space="preserve">, en la que confirmó </w:t>
      </w:r>
      <w:r>
        <w:rPr>
          <w:rFonts w:ascii="Arial" w:hAnsi="Arial" w:cs="Arial"/>
          <w:sz w:val="24"/>
          <w:szCs w:val="24"/>
        </w:rPr>
        <w:t>los fallos</w:t>
      </w:r>
      <w:r w:rsidR="00BF3011">
        <w:rPr>
          <w:rFonts w:ascii="Arial" w:hAnsi="Arial" w:cs="Arial"/>
          <w:sz w:val="24"/>
          <w:szCs w:val="24"/>
        </w:rPr>
        <w:t xml:space="preserve"> de tutela que negaron las pretensiones dirigidas en contra del referido acto administrativo, y conminó al Consejo Superior de la Judicatura y a la Universidad Nacional de Colombia a que fijaran con prontitud un nuevo cronograma para continuar con el desarrollo de la Convocatoria 27.</w:t>
      </w:r>
    </w:p>
    <w:p w14:paraId="3BDACF69" w14:textId="091A6F65" w:rsidR="00BF3011" w:rsidRDefault="00BF3011" w:rsidP="00E76F32">
      <w:pPr>
        <w:widowControl w:val="0"/>
        <w:spacing w:before="240" w:after="240" w:line="240" w:lineRule="auto"/>
        <w:jc w:val="both"/>
        <w:rPr>
          <w:rFonts w:ascii="Arial" w:hAnsi="Arial" w:cs="Arial"/>
          <w:sz w:val="24"/>
          <w:szCs w:val="24"/>
        </w:rPr>
      </w:pPr>
      <w:r>
        <w:rPr>
          <w:rFonts w:ascii="Arial" w:hAnsi="Arial" w:cs="Arial"/>
          <w:sz w:val="24"/>
          <w:szCs w:val="24"/>
        </w:rPr>
        <w:t xml:space="preserve">Ahora bien, en relación con los hechos del escrito de tutela, </w:t>
      </w:r>
      <w:r w:rsidRPr="00DB44F4">
        <w:rPr>
          <w:rFonts w:ascii="Arial" w:hAnsi="Arial" w:cs="Arial"/>
          <w:sz w:val="24"/>
          <w:szCs w:val="24"/>
        </w:rPr>
        <w:t>resaltó</w:t>
      </w:r>
      <w:r>
        <w:rPr>
          <w:rFonts w:ascii="Arial" w:hAnsi="Arial" w:cs="Arial"/>
          <w:sz w:val="24"/>
          <w:szCs w:val="24"/>
        </w:rPr>
        <w:t xml:space="preserve"> que el actor presentó la prueba de conocimientos y aptitudes y obtuvo un puntaje con el que no logró aprobar el examen. Así mismo, </w:t>
      </w:r>
      <w:r w:rsidR="00DB44F4">
        <w:rPr>
          <w:rFonts w:ascii="Arial" w:hAnsi="Arial" w:cs="Arial"/>
          <w:sz w:val="24"/>
          <w:szCs w:val="24"/>
        </w:rPr>
        <w:t>destacó</w:t>
      </w:r>
      <w:r>
        <w:rPr>
          <w:rFonts w:ascii="Arial" w:hAnsi="Arial" w:cs="Arial"/>
          <w:sz w:val="24"/>
          <w:szCs w:val="24"/>
        </w:rPr>
        <w:t xml:space="preserve"> que por medio de la Resolución </w:t>
      </w:r>
      <w:r w:rsidRPr="00BF3011">
        <w:rPr>
          <w:rFonts w:ascii="Arial" w:hAnsi="Arial" w:cs="Arial"/>
          <w:sz w:val="24"/>
          <w:szCs w:val="24"/>
        </w:rPr>
        <w:t>CJR23-0042 de</w:t>
      </w:r>
      <w:r>
        <w:rPr>
          <w:rFonts w:ascii="Arial" w:hAnsi="Arial" w:cs="Arial"/>
          <w:sz w:val="24"/>
          <w:szCs w:val="24"/>
        </w:rPr>
        <w:t>l</w:t>
      </w:r>
      <w:r w:rsidRPr="00BF3011">
        <w:rPr>
          <w:rFonts w:ascii="Arial" w:hAnsi="Arial" w:cs="Arial"/>
          <w:sz w:val="24"/>
          <w:szCs w:val="24"/>
        </w:rPr>
        <w:t xml:space="preserve"> 16 de enero de 2023,</w:t>
      </w:r>
      <w:r>
        <w:rPr>
          <w:rFonts w:ascii="Arial" w:hAnsi="Arial" w:cs="Arial"/>
          <w:sz w:val="24"/>
          <w:szCs w:val="24"/>
        </w:rPr>
        <w:t xml:space="preserve"> se resolvieron los recursos de reposición que se presentaron contra los puntajes de las pruebas de conocimientos y aptitudes, y que los reparos planteados por el </w:t>
      </w:r>
      <w:r w:rsidR="00032CE0">
        <w:rPr>
          <w:rFonts w:ascii="Arial" w:hAnsi="Arial" w:cs="Arial"/>
          <w:sz w:val="24"/>
          <w:szCs w:val="24"/>
        </w:rPr>
        <w:t>señor Valencia Zamora</w:t>
      </w:r>
      <w:r>
        <w:rPr>
          <w:rFonts w:ascii="Arial" w:hAnsi="Arial" w:cs="Arial"/>
          <w:sz w:val="24"/>
          <w:szCs w:val="24"/>
        </w:rPr>
        <w:t xml:space="preserve"> fueron atendidos en los puntos 18 y 35 de dicho acto administrativo, con base en la información que fue proporcionada por el ente educativo.</w:t>
      </w:r>
    </w:p>
    <w:p w14:paraId="4B19D2B4" w14:textId="1B4260D6" w:rsidR="001C59CE" w:rsidRPr="00E3213E" w:rsidRDefault="001C59CE" w:rsidP="00E76F32">
      <w:pPr>
        <w:widowControl w:val="0"/>
        <w:spacing w:before="240" w:after="240" w:line="240" w:lineRule="auto"/>
        <w:jc w:val="both"/>
        <w:rPr>
          <w:rFonts w:ascii="Arial" w:hAnsi="Arial" w:cs="Arial"/>
          <w:sz w:val="24"/>
          <w:szCs w:val="24"/>
        </w:rPr>
      </w:pPr>
      <w:r>
        <w:rPr>
          <w:rFonts w:ascii="Arial" w:hAnsi="Arial" w:cs="Arial"/>
          <w:sz w:val="24"/>
          <w:szCs w:val="24"/>
        </w:rPr>
        <w:t>Por lo anterior, y teniendo en cuenta que “</w:t>
      </w:r>
      <w:r w:rsidRPr="001C59CE">
        <w:rPr>
          <w:rFonts w:ascii="Arial" w:hAnsi="Arial" w:cs="Arial"/>
          <w:sz w:val="24"/>
          <w:szCs w:val="24"/>
        </w:rPr>
        <w:t>dio respuesta clara, completa y de fondo, sobre la construcción de las preguntas, la justificación jurídica y la opción de repuesta correcta</w:t>
      </w:r>
      <w:r>
        <w:rPr>
          <w:rFonts w:ascii="Arial" w:hAnsi="Arial" w:cs="Arial"/>
          <w:sz w:val="24"/>
          <w:szCs w:val="24"/>
        </w:rPr>
        <w:t>”</w:t>
      </w:r>
      <w:r>
        <w:rPr>
          <w:rStyle w:val="Refdenotaalpie"/>
          <w:rFonts w:ascii="Arial" w:hAnsi="Arial" w:cs="Arial"/>
          <w:sz w:val="24"/>
          <w:szCs w:val="24"/>
        </w:rPr>
        <w:footnoteReference w:id="34"/>
      </w:r>
      <w:r>
        <w:rPr>
          <w:rFonts w:ascii="Arial" w:hAnsi="Arial" w:cs="Arial"/>
          <w:sz w:val="24"/>
          <w:szCs w:val="24"/>
        </w:rPr>
        <w:t>,</w:t>
      </w:r>
      <w:r w:rsidRPr="001C59CE">
        <w:rPr>
          <w:rFonts w:ascii="Arial" w:hAnsi="Arial" w:cs="Arial"/>
          <w:sz w:val="24"/>
          <w:szCs w:val="24"/>
        </w:rPr>
        <w:t xml:space="preserve"> </w:t>
      </w:r>
      <w:r>
        <w:rPr>
          <w:rFonts w:ascii="Arial" w:hAnsi="Arial" w:cs="Arial"/>
          <w:sz w:val="24"/>
          <w:szCs w:val="24"/>
        </w:rPr>
        <w:t>afirmó que no hay vulneración de los derechos invocados. También indicó que la acción de tutela no es el mecanismo idóneo para cuestionar actos administrativos.</w:t>
      </w:r>
    </w:p>
    <w:p w14:paraId="2A961ABF" w14:textId="107FEA1B" w:rsidR="00226525" w:rsidRDefault="00470D9E" w:rsidP="00E76F32">
      <w:pPr>
        <w:widowControl w:val="0"/>
        <w:spacing w:before="240" w:after="240" w:line="240" w:lineRule="auto"/>
        <w:jc w:val="both"/>
        <w:rPr>
          <w:rFonts w:ascii="Arial" w:hAnsi="Arial" w:cs="Arial"/>
          <w:bCs/>
          <w:sz w:val="24"/>
          <w:szCs w:val="24"/>
        </w:rPr>
      </w:pPr>
      <w:r w:rsidRPr="00470D9E">
        <w:rPr>
          <w:rFonts w:ascii="Arial" w:hAnsi="Arial" w:cs="Arial"/>
          <w:bCs/>
          <w:sz w:val="24"/>
          <w:szCs w:val="24"/>
        </w:rPr>
        <w:t>1.</w:t>
      </w:r>
      <w:r w:rsidR="008B7B13">
        <w:rPr>
          <w:rFonts w:ascii="Arial" w:hAnsi="Arial" w:cs="Arial"/>
          <w:bCs/>
          <w:sz w:val="24"/>
          <w:szCs w:val="24"/>
        </w:rPr>
        <w:t>5.3.</w:t>
      </w:r>
      <w:r w:rsidRPr="00470D9E">
        <w:rPr>
          <w:rFonts w:ascii="Arial" w:hAnsi="Arial" w:cs="Arial"/>
          <w:bCs/>
          <w:sz w:val="24"/>
          <w:szCs w:val="24"/>
        </w:rPr>
        <w:t xml:space="preserve"> </w:t>
      </w:r>
      <w:r w:rsidRPr="00470D9E">
        <w:rPr>
          <w:rFonts w:ascii="Arial" w:hAnsi="Arial" w:cs="Arial"/>
          <w:b/>
          <w:sz w:val="24"/>
          <w:szCs w:val="24"/>
        </w:rPr>
        <w:t>Nelson Julián Valencia Zamora</w:t>
      </w:r>
      <w:r>
        <w:rPr>
          <w:rFonts w:ascii="Arial" w:hAnsi="Arial" w:cs="Arial"/>
          <w:bCs/>
          <w:sz w:val="24"/>
          <w:szCs w:val="24"/>
        </w:rPr>
        <w:t>, en memorial enviado el 3 de febrero del año en curso</w:t>
      </w:r>
      <w:r>
        <w:rPr>
          <w:rStyle w:val="Refdenotaalpie"/>
          <w:rFonts w:ascii="Arial" w:hAnsi="Arial" w:cs="Arial"/>
          <w:bCs/>
          <w:sz w:val="24"/>
          <w:szCs w:val="24"/>
        </w:rPr>
        <w:footnoteReference w:id="35"/>
      </w:r>
      <w:r>
        <w:rPr>
          <w:rFonts w:ascii="Arial" w:hAnsi="Arial" w:cs="Arial"/>
          <w:bCs/>
          <w:sz w:val="24"/>
          <w:szCs w:val="24"/>
        </w:rPr>
        <w:t xml:space="preserve">, </w:t>
      </w:r>
      <w:r w:rsidR="000647AA">
        <w:rPr>
          <w:rFonts w:ascii="Arial" w:hAnsi="Arial" w:cs="Arial"/>
          <w:bCs/>
          <w:sz w:val="24"/>
          <w:szCs w:val="24"/>
        </w:rPr>
        <w:t>allegó copia de la queja disciplinaria que presentó en contra de Claudia</w:t>
      </w:r>
      <w:r>
        <w:rPr>
          <w:rFonts w:ascii="Arial" w:hAnsi="Arial" w:cs="Arial"/>
          <w:bCs/>
          <w:sz w:val="24"/>
          <w:szCs w:val="24"/>
        </w:rPr>
        <w:t xml:space="preserve"> </w:t>
      </w:r>
      <w:r w:rsidR="000647AA">
        <w:rPr>
          <w:rFonts w:ascii="Arial" w:hAnsi="Arial" w:cs="Arial"/>
          <w:bCs/>
          <w:sz w:val="24"/>
          <w:szCs w:val="24"/>
        </w:rPr>
        <w:t>Marcela Granados Romero</w:t>
      </w:r>
      <w:r w:rsidR="000647AA">
        <w:rPr>
          <w:rStyle w:val="Refdenotaalpie"/>
          <w:rFonts w:ascii="Arial" w:hAnsi="Arial" w:cs="Arial"/>
          <w:bCs/>
          <w:sz w:val="24"/>
          <w:szCs w:val="24"/>
        </w:rPr>
        <w:footnoteReference w:id="36"/>
      </w:r>
      <w:r w:rsidR="00DB44F4">
        <w:rPr>
          <w:rFonts w:ascii="Arial" w:hAnsi="Arial" w:cs="Arial"/>
          <w:bCs/>
          <w:sz w:val="24"/>
          <w:szCs w:val="24"/>
        </w:rPr>
        <w:t xml:space="preserve"> —Directora de la Unidad de Administración de Carrera Judicial del Consejo Superior de la Judicatura—</w:t>
      </w:r>
      <w:r w:rsidR="000647AA">
        <w:rPr>
          <w:rFonts w:ascii="Arial" w:hAnsi="Arial" w:cs="Arial"/>
          <w:bCs/>
          <w:sz w:val="24"/>
          <w:szCs w:val="24"/>
        </w:rPr>
        <w:t>, por los mismos hechos que narró en el escrito de tutela.</w:t>
      </w:r>
    </w:p>
    <w:p w14:paraId="7F163525" w14:textId="297F78E7" w:rsidR="000647AA" w:rsidRDefault="004527EA" w:rsidP="00E76F32">
      <w:pPr>
        <w:widowControl w:val="0"/>
        <w:spacing w:before="240" w:after="240" w:line="240" w:lineRule="auto"/>
        <w:jc w:val="both"/>
        <w:rPr>
          <w:rFonts w:ascii="Arial" w:hAnsi="Arial" w:cs="Arial"/>
          <w:bCs/>
          <w:sz w:val="24"/>
          <w:szCs w:val="24"/>
        </w:rPr>
      </w:pPr>
      <w:r>
        <w:rPr>
          <w:rFonts w:ascii="Arial" w:hAnsi="Arial" w:cs="Arial"/>
          <w:bCs/>
          <w:sz w:val="24"/>
          <w:szCs w:val="24"/>
        </w:rPr>
        <w:t>También</w:t>
      </w:r>
      <w:r w:rsidR="000647AA">
        <w:rPr>
          <w:rFonts w:ascii="Arial" w:hAnsi="Arial" w:cs="Arial"/>
          <w:bCs/>
          <w:sz w:val="24"/>
          <w:szCs w:val="24"/>
        </w:rPr>
        <w:t xml:space="preserve"> </w:t>
      </w:r>
      <w:r>
        <w:rPr>
          <w:rFonts w:ascii="Arial" w:hAnsi="Arial" w:cs="Arial"/>
          <w:bCs/>
          <w:sz w:val="24"/>
          <w:szCs w:val="24"/>
        </w:rPr>
        <w:t>remitió escrito en el que anexó “confesión y elementos de prueba de la entidad accionada [que] acreditan y corroboran la vulneración [de] los derechos fundamentales invocados”</w:t>
      </w:r>
      <w:r>
        <w:rPr>
          <w:rStyle w:val="Refdenotaalpie"/>
          <w:rFonts w:ascii="Arial" w:hAnsi="Arial" w:cs="Arial"/>
          <w:bCs/>
          <w:sz w:val="24"/>
          <w:szCs w:val="24"/>
        </w:rPr>
        <w:footnoteReference w:id="37"/>
      </w:r>
      <w:r>
        <w:rPr>
          <w:rFonts w:ascii="Arial" w:hAnsi="Arial" w:cs="Arial"/>
          <w:bCs/>
          <w:sz w:val="24"/>
          <w:szCs w:val="24"/>
        </w:rPr>
        <w:t>. En dicho documento, solicitó al juez de tutela que tenga en cuenta</w:t>
      </w:r>
      <w:r w:rsidR="00BE18F4">
        <w:rPr>
          <w:rFonts w:ascii="Arial" w:hAnsi="Arial" w:cs="Arial"/>
          <w:bCs/>
          <w:sz w:val="24"/>
          <w:szCs w:val="24"/>
        </w:rPr>
        <w:t xml:space="preserve"> </w:t>
      </w:r>
      <w:r w:rsidR="00406B8A">
        <w:rPr>
          <w:rFonts w:ascii="Arial" w:hAnsi="Arial" w:cs="Arial"/>
          <w:bCs/>
          <w:sz w:val="24"/>
          <w:szCs w:val="24"/>
        </w:rPr>
        <w:t xml:space="preserve">los siguientes documentos </w:t>
      </w:r>
      <w:r w:rsidR="00BE18F4">
        <w:rPr>
          <w:rFonts w:ascii="Arial" w:hAnsi="Arial" w:cs="Arial"/>
          <w:bCs/>
          <w:sz w:val="24"/>
          <w:szCs w:val="24"/>
        </w:rPr>
        <w:t xml:space="preserve">como prueba de sus pretensiones: </w:t>
      </w:r>
    </w:p>
    <w:p w14:paraId="22572081" w14:textId="1644D42B" w:rsidR="00BE18F4" w:rsidRDefault="00BE18F4" w:rsidP="00E76F32">
      <w:pPr>
        <w:widowControl w:val="0"/>
        <w:spacing w:before="240" w:after="240" w:line="240" w:lineRule="auto"/>
        <w:jc w:val="both"/>
        <w:rPr>
          <w:rFonts w:ascii="Arial" w:hAnsi="Arial" w:cs="Arial"/>
          <w:bCs/>
          <w:sz w:val="24"/>
          <w:szCs w:val="24"/>
        </w:rPr>
      </w:pPr>
      <w:r>
        <w:rPr>
          <w:rFonts w:ascii="Arial" w:hAnsi="Arial" w:cs="Arial"/>
          <w:bCs/>
          <w:sz w:val="24"/>
          <w:szCs w:val="24"/>
        </w:rPr>
        <w:t xml:space="preserve">(i) Resolución </w:t>
      </w:r>
      <w:r w:rsidRPr="00BE18F4">
        <w:rPr>
          <w:rFonts w:ascii="Arial" w:hAnsi="Arial" w:cs="Arial"/>
          <w:bCs/>
          <w:sz w:val="24"/>
          <w:szCs w:val="24"/>
        </w:rPr>
        <w:t>CJR23-0019 del 16 de enero de 2023</w:t>
      </w:r>
      <w:r>
        <w:rPr>
          <w:rFonts w:ascii="Arial" w:hAnsi="Arial" w:cs="Arial"/>
          <w:bCs/>
          <w:sz w:val="24"/>
          <w:szCs w:val="24"/>
        </w:rPr>
        <w:t>, “[p]</w:t>
      </w:r>
      <w:proofErr w:type="spellStart"/>
      <w:r w:rsidRPr="00BE18F4">
        <w:rPr>
          <w:rFonts w:ascii="Arial" w:hAnsi="Arial" w:cs="Arial"/>
          <w:bCs/>
          <w:sz w:val="24"/>
          <w:szCs w:val="24"/>
        </w:rPr>
        <w:t>or</w:t>
      </w:r>
      <w:proofErr w:type="spellEnd"/>
      <w:r w:rsidRPr="00BE18F4">
        <w:rPr>
          <w:rFonts w:ascii="Arial" w:hAnsi="Arial" w:cs="Arial"/>
          <w:bCs/>
          <w:sz w:val="24"/>
          <w:szCs w:val="24"/>
        </w:rPr>
        <w:t xml:space="preserve"> medio de la cual se resuelve un recurso de reposición interpuesto en contra de la Resolución CJR19-0680 de 7 de junio de 2019</w:t>
      </w:r>
      <w:r w:rsidR="00EF0DC5">
        <w:rPr>
          <w:rStyle w:val="Refdenotaalpie"/>
          <w:rFonts w:ascii="Arial" w:hAnsi="Arial" w:cs="Arial"/>
          <w:bCs/>
          <w:sz w:val="24"/>
          <w:szCs w:val="24"/>
        </w:rPr>
        <w:footnoteReference w:id="38"/>
      </w:r>
      <w:r w:rsidRPr="00BE18F4">
        <w:rPr>
          <w:rFonts w:ascii="Arial" w:hAnsi="Arial" w:cs="Arial"/>
          <w:bCs/>
          <w:sz w:val="24"/>
          <w:szCs w:val="24"/>
        </w:rPr>
        <w:t>, con la cual se publicaron los resultados de la prueba de aptitudes y conocimientos supletoria correspondiente al concurso de méritos para la provisión de los cargos de Funcionarios de la Rama Judicia</w:t>
      </w:r>
      <w:r>
        <w:rPr>
          <w:rFonts w:ascii="Arial" w:hAnsi="Arial" w:cs="Arial"/>
          <w:bCs/>
          <w:sz w:val="24"/>
          <w:szCs w:val="24"/>
        </w:rPr>
        <w:t>l”</w:t>
      </w:r>
      <w:r>
        <w:rPr>
          <w:rStyle w:val="Refdenotaalpie"/>
          <w:rFonts w:ascii="Arial" w:hAnsi="Arial" w:cs="Arial"/>
          <w:bCs/>
          <w:sz w:val="24"/>
          <w:szCs w:val="24"/>
        </w:rPr>
        <w:footnoteReference w:id="39"/>
      </w:r>
      <w:r>
        <w:rPr>
          <w:rFonts w:ascii="Arial" w:hAnsi="Arial" w:cs="Arial"/>
          <w:bCs/>
          <w:sz w:val="24"/>
          <w:szCs w:val="24"/>
        </w:rPr>
        <w:t xml:space="preserve">. </w:t>
      </w:r>
    </w:p>
    <w:p w14:paraId="4DBEBE9D" w14:textId="444A70A3" w:rsidR="007B1271" w:rsidRDefault="00BE18F4" w:rsidP="00E76F32">
      <w:pPr>
        <w:widowControl w:val="0"/>
        <w:spacing w:before="240" w:after="240" w:line="240" w:lineRule="auto"/>
        <w:jc w:val="both"/>
        <w:rPr>
          <w:bCs/>
          <w:sz w:val="24"/>
          <w:szCs w:val="24"/>
        </w:rPr>
      </w:pPr>
      <w:r>
        <w:rPr>
          <w:rFonts w:ascii="Arial" w:hAnsi="Arial" w:cs="Arial"/>
          <w:bCs/>
          <w:sz w:val="24"/>
          <w:szCs w:val="24"/>
        </w:rPr>
        <w:t xml:space="preserve">(ii) Oficio </w:t>
      </w:r>
      <w:r w:rsidRPr="00BE18F4">
        <w:rPr>
          <w:rFonts w:ascii="Arial" w:hAnsi="Arial" w:cs="Arial"/>
          <w:bCs/>
          <w:sz w:val="24"/>
          <w:szCs w:val="24"/>
        </w:rPr>
        <w:t>PCSJO23-94</w:t>
      </w:r>
      <w:r>
        <w:rPr>
          <w:rFonts w:ascii="Arial" w:hAnsi="Arial" w:cs="Arial"/>
          <w:bCs/>
          <w:sz w:val="24"/>
          <w:szCs w:val="24"/>
        </w:rPr>
        <w:t xml:space="preserve"> del 2 de febrero de 2023</w:t>
      </w:r>
      <w:r w:rsidR="0015118E">
        <w:rPr>
          <w:rStyle w:val="Refdenotaalpie"/>
          <w:rFonts w:ascii="Arial" w:hAnsi="Arial" w:cs="Arial"/>
          <w:bCs/>
          <w:sz w:val="24"/>
          <w:szCs w:val="24"/>
        </w:rPr>
        <w:footnoteReference w:id="40"/>
      </w:r>
      <w:r w:rsidR="0015118E">
        <w:rPr>
          <w:rFonts w:ascii="Arial" w:hAnsi="Arial" w:cs="Arial"/>
          <w:bCs/>
          <w:sz w:val="24"/>
          <w:szCs w:val="24"/>
        </w:rPr>
        <w:t xml:space="preserve">, en el que la Presidencia del Consejo Superior de la Judicatura dio respuesta a una petición de información que radicó ante dicha entidad el 20 de enero del mismo año. En </w:t>
      </w:r>
      <w:r w:rsidR="00032CE0">
        <w:rPr>
          <w:rFonts w:ascii="Arial" w:hAnsi="Arial" w:cs="Arial"/>
          <w:bCs/>
          <w:sz w:val="24"/>
          <w:szCs w:val="24"/>
        </w:rPr>
        <w:t>el</w:t>
      </w:r>
      <w:r w:rsidR="0015118E">
        <w:rPr>
          <w:rFonts w:ascii="Arial" w:hAnsi="Arial" w:cs="Arial"/>
          <w:bCs/>
          <w:sz w:val="24"/>
          <w:szCs w:val="24"/>
        </w:rPr>
        <w:t xml:space="preserve"> escrito, la mencionada autoridad </w:t>
      </w:r>
      <w:r w:rsidR="00094938">
        <w:rPr>
          <w:rFonts w:ascii="Arial" w:hAnsi="Arial" w:cs="Arial"/>
          <w:bCs/>
          <w:sz w:val="24"/>
          <w:szCs w:val="24"/>
        </w:rPr>
        <w:t>indicó</w:t>
      </w:r>
      <w:r w:rsidR="00531A83">
        <w:rPr>
          <w:rFonts w:ascii="Arial" w:hAnsi="Arial" w:cs="Arial"/>
          <w:bCs/>
          <w:sz w:val="24"/>
          <w:szCs w:val="24"/>
        </w:rPr>
        <w:t>, por un lado, que la</w:t>
      </w:r>
      <w:r w:rsidR="00094938" w:rsidRPr="00094938">
        <w:rPr>
          <w:rFonts w:ascii="Arial" w:hAnsi="Arial" w:cs="Arial"/>
          <w:bCs/>
          <w:sz w:val="24"/>
          <w:szCs w:val="24"/>
        </w:rPr>
        <w:t xml:space="preserve"> eventual </w:t>
      </w:r>
      <w:r w:rsidR="00094938" w:rsidRPr="00531A83">
        <w:rPr>
          <w:rFonts w:ascii="Arial" w:hAnsi="Arial" w:cs="Arial"/>
          <w:bCs/>
          <w:sz w:val="24"/>
          <w:szCs w:val="24"/>
        </w:rPr>
        <w:t>responsabil</w:t>
      </w:r>
      <w:r w:rsidR="00DB44F4">
        <w:rPr>
          <w:rFonts w:ascii="Arial" w:hAnsi="Arial" w:cs="Arial"/>
          <w:bCs/>
          <w:sz w:val="24"/>
          <w:szCs w:val="24"/>
        </w:rPr>
        <w:t>idad que se genere</w:t>
      </w:r>
      <w:r w:rsidR="00094938" w:rsidRPr="00531A83">
        <w:rPr>
          <w:rFonts w:ascii="Arial" w:hAnsi="Arial" w:cs="Arial"/>
          <w:bCs/>
          <w:sz w:val="24"/>
          <w:szCs w:val="24"/>
        </w:rPr>
        <w:t xml:space="preserve"> por las acciones u omisiones de la Directora de la Unidad de Administración de Carrera Judicial, en ejercicio de sus funciones</w:t>
      </w:r>
      <w:r w:rsidR="00094938" w:rsidRPr="00531A83">
        <w:rPr>
          <w:rStyle w:val="Refdenotaalpie"/>
          <w:rFonts w:ascii="Arial" w:hAnsi="Arial" w:cs="Arial"/>
          <w:bCs/>
          <w:sz w:val="24"/>
          <w:szCs w:val="24"/>
        </w:rPr>
        <w:footnoteReference w:id="41"/>
      </w:r>
      <w:r w:rsidR="007B1271" w:rsidRPr="00531A83">
        <w:rPr>
          <w:rFonts w:ascii="Arial" w:hAnsi="Arial" w:cs="Arial"/>
          <w:bCs/>
          <w:sz w:val="24"/>
          <w:szCs w:val="24"/>
        </w:rPr>
        <w:t>, es ajena a la presidencia del Consejo Superior de la Judicatura.</w:t>
      </w:r>
      <w:r w:rsidR="00EF0DC5">
        <w:rPr>
          <w:rFonts w:ascii="Arial" w:hAnsi="Arial" w:cs="Arial"/>
          <w:bCs/>
          <w:sz w:val="24"/>
          <w:szCs w:val="24"/>
        </w:rPr>
        <w:t xml:space="preserve"> Por otro, que de acuerdo </w:t>
      </w:r>
      <w:r w:rsidR="007B1271" w:rsidRPr="00EF0DC5">
        <w:rPr>
          <w:rFonts w:ascii="Arial" w:hAnsi="Arial" w:cs="Arial"/>
          <w:bCs/>
          <w:sz w:val="24"/>
          <w:szCs w:val="24"/>
        </w:rPr>
        <w:t>con lo dispuesto en el artículo 217 de la Ley 1952 de 2019</w:t>
      </w:r>
      <w:r w:rsidR="007B1271" w:rsidRPr="00EF0DC5">
        <w:rPr>
          <w:rStyle w:val="Refdenotaalpie"/>
          <w:rFonts w:ascii="Arial" w:hAnsi="Arial" w:cs="Arial"/>
          <w:bCs/>
          <w:sz w:val="24"/>
          <w:szCs w:val="24"/>
        </w:rPr>
        <w:footnoteReference w:id="42"/>
      </w:r>
      <w:r w:rsidR="007B1271" w:rsidRPr="00EF0DC5">
        <w:rPr>
          <w:rFonts w:ascii="Arial" w:hAnsi="Arial" w:cs="Arial"/>
          <w:bCs/>
          <w:sz w:val="24"/>
          <w:szCs w:val="24"/>
        </w:rPr>
        <w:t>, corresponde al juez disciplinario “tomar las decisiones que se consideren pertinentes, en caso de llevar a cabo investigaciones disciplinarias”</w:t>
      </w:r>
      <w:r w:rsidR="007B1271" w:rsidRPr="00EF0DC5">
        <w:rPr>
          <w:rStyle w:val="Refdenotaalpie"/>
          <w:rFonts w:ascii="Arial" w:hAnsi="Arial" w:cs="Arial"/>
          <w:bCs/>
          <w:sz w:val="24"/>
          <w:szCs w:val="24"/>
        </w:rPr>
        <w:footnoteReference w:id="43"/>
      </w:r>
      <w:r w:rsidR="007B1271" w:rsidRPr="00EF0DC5">
        <w:rPr>
          <w:rFonts w:ascii="Arial" w:hAnsi="Arial" w:cs="Arial"/>
          <w:bCs/>
          <w:sz w:val="24"/>
          <w:szCs w:val="24"/>
        </w:rPr>
        <w:t>.</w:t>
      </w:r>
      <w:r w:rsidR="00EF0DC5">
        <w:rPr>
          <w:rFonts w:ascii="Arial" w:hAnsi="Arial" w:cs="Arial"/>
          <w:bCs/>
          <w:sz w:val="24"/>
          <w:szCs w:val="24"/>
        </w:rPr>
        <w:t xml:space="preserve"> Finalmente in</w:t>
      </w:r>
      <w:r w:rsidR="00CC1307">
        <w:rPr>
          <w:rFonts w:ascii="Arial" w:hAnsi="Arial" w:cs="Arial"/>
          <w:bCs/>
          <w:sz w:val="24"/>
          <w:szCs w:val="24"/>
        </w:rPr>
        <w:t>form</w:t>
      </w:r>
      <w:r w:rsidR="00EF0DC5">
        <w:rPr>
          <w:rFonts w:ascii="Arial" w:hAnsi="Arial" w:cs="Arial"/>
          <w:bCs/>
          <w:sz w:val="24"/>
          <w:szCs w:val="24"/>
        </w:rPr>
        <w:t xml:space="preserve">ó que </w:t>
      </w:r>
      <w:r w:rsidR="00EF0DC5" w:rsidRPr="00EF0DC5">
        <w:rPr>
          <w:rFonts w:ascii="Arial" w:hAnsi="Arial" w:cs="Arial"/>
          <w:bCs/>
          <w:sz w:val="24"/>
          <w:szCs w:val="24"/>
        </w:rPr>
        <w:t>e</w:t>
      </w:r>
      <w:r w:rsidR="006318FB" w:rsidRPr="00EF0DC5">
        <w:rPr>
          <w:rFonts w:ascii="Arial" w:hAnsi="Arial" w:cs="Arial"/>
          <w:bCs/>
          <w:sz w:val="24"/>
          <w:szCs w:val="24"/>
        </w:rPr>
        <w:t>l vicerrector de la Universidad Nacional de Colombia, Jaime Franky Rodríguez, fue quien suscribió el Contrato 096 de 2018.</w:t>
      </w:r>
      <w:r w:rsidR="006318FB">
        <w:rPr>
          <w:bCs/>
          <w:sz w:val="24"/>
          <w:szCs w:val="24"/>
        </w:rPr>
        <w:t xml:space="preserve"> </w:t>
      </w:r>
    </w:p>
    <w:p w14:paraId="4405579B" w14:textId="16ABAA6C" w:rsidR="00531A83" w:rsidRDefault="006318FB" w:rsidP="008B7B13">
      <w:pPr>
        <w:pStyle w:val="Prrafodelista"/>
        <w:widowControl w:val="0"/>
        <w:spacing w:before="240" w:after="240"/>
        <w:ind w:left="0"/>
        <w:contextualSpacing w:val="0"/>
        <w:rPr>
          <w:bCs/>
          <w:sz w:val="22"/>
          <w:szCs w:val="22"/>
        </w:rPr>
      </w:pPr>
      <w:r>
        <w:rPr>
          <w:bCs/>
          <w:sz w:val="24"/>
          <w:szCs w:val="24"/>
        </w:rPr>
        <w:t xml:space="preserve">(iii) Oficio </w:t>
      </w:r>
      <w:r w:rsidRPr="006318FB">
        <w:rPr>
          <w:bCs/>
          <w:sz w:val="24"/>
          <w:szCs w:val="24"/>
        </w:rPr>
        <w:t>CJO23-332</w:t>
      </w:r>
      <w:r>
        <w:rPr>
          <w:bCs/>
          <w:sz w:val="24"/>
          <w:szCs w:val="24"/>
        </w:rPr>
        <w:t xml:space="preserve"> del 31 de enero de 2023</w:t>
      </w:r>
      <w:r>
        <w:rPr>
          <w:rStyle w:val="Refdenotaalpie"/>
          <w:bCs/>
          <w:sz w:val="24"/>
          <w:szCs w:val="24"/>
        </w:rPr>
        <w:footnoteReference w:id="44"/>
      </w:r>
      <w:r>
        <w:rPr>
          <w:bCs/>
          <w:sz w:val="24"/>
          <w:szCs w:val="24"/>
        </w:rPr>
        <w:t xml:space="preserve">, en el que </w:t>
      </w:r>
      <w:r w:rsidR="00531A83">
        <w:rPr>
          <w:bCs/>
          <w:sz w:val="24"/>
          <w:szCs w:val="24"/>
        </w:rPr>
        <w:t>la Directora de la Unidad de Administración de Carrera Judicial solicitó a Eduardo Aguirre, Director del Proyecto – Contrato 096 de 2018</w:t>
      </w:r>
      <w:r w:rsidR="00EF0DC5">
        <w:rPr>
          <w:bCs/>
          <w:sz w:val="24"/>
          <w:szCs w:val="24"/>
        </w:rPr>
        <w:t xml:space="preserve">, </w:t>
      </w:r>
      <w:r w:rsidR="008B7B13">
        <w:rPr>
          <w:bCs/>
          <w:sz w:val="24"/>
          <w:szCs w:val="24"/>
        </w:rPr>
        <w:t xml:space="preserve">que tuviera </w:t>
      </w:r>
      <w:r w:rsidR="00531A83" w:rsidRPr="008B7B13">
        <w:rPr>
          <w:bCs/>
          <w:sz w:val="24"/>
          <w:szCs w:val="24"/>
        </w:rPr>
        <w:t>“más dil</w:t>
      </w:r>
      <w:bookmarkStart w:id="1" w:name="_GoBack"/>
      <w:bookmarkEnd w:id="1"/>
      <w:r w:rsidR="00531A83" w:rsidRPr="008B7B13">
        <w:rPr>
          <w:bCs/>
          <w:sz w:val="24"/>
          <w:szCs w:val="24"/>
        </w:rPr>
        <w:t>igencia y cuidado, así como la respuesta completa, correcta y confiable a los interrogantes planteados por los recurrentes</w:t>
      </w:r>
      <w:r w:rsidR="008B7B13" w:rsidRPr="008B7B13">
        <w:rPr>
          <w:bCs/>
          <w:sz w:val="24"/>
          <w:szCs w:val="24"/>
        </w:rPr>
        <w:t>”</w:t>
      </w:r>
      <w:r w:rsidR="008B7B13">
        <w:rPr>
          <w:rStyle w:val="Refdenotaalpie"/>
          <w:bCs/>
          <w:sz w:val="24"/>
          <w:szCs w:val="24"/>
        </w:rPr>
        <w:footnoteReference w:id="45"/>
      </w:r>
      <w:r w:rsidR="008B7B13">
        <w:rPr>
          <w:bCs/>
          <w:sz w:val="24"/>
          <w:szCs w:val="24"/>
        </w:rPr>
        <w:t>, toda vez que:</w:t>
      </w:r>
    </w:p>
    <w:p w14:paraId="700A09C9" w14:textId="7A7D70A9" w:rsidR="00531A83" w:rsidRDefault="008B7B13" w:rsidP="00E76F32">
      <w:pPr>
        <w:pStyle w:val="Prrafodelista"/>
        <w:widowControl w:val="0"/>
        <w:spacing w:before="240" w:after="240"/>
        <w:ind w:left="708"/>
        <w:contextualSpacing w:val="0"/>
        <w:rPr>
          <w:bCs/>
          <w:sz w:val="22"/>
          <w:szCs w:val="22"/>
        </w:rPr>
      </w:pPr>
      <w:r>
        <w:rPr>
          <w:bCs/>
          <w:sz w:val="22"/>
          <w:szCs w:val="22"/>
        </w:rPr>
        <w:t>“</w:t>
      </w:r>
      <w:r w:rsidR="00DB44F4">
        <w:rPr>
          <w:bCs/>
          <w:sz w:val="22"/>
          <w:szCs w:val="22"/>
        </w:rPr>
        <w:t>en</w:t>
      </w:r>
      <w:r w:rsidR="00531A83" w:rsidRPr="00531A83">
        <w:rPr>
          <w:bCs/>
          <w:sz w:val="22"/>
          <w:szCs w:val="22"/>
        </w:rPr>
        <w:t xml:space="preserve"> caso de los aspirantes al cargo de juez promiscuo municipal, como se evidenció en el trámite de acciones de tutela, sólo se hizo referencia a la pertinencia de la opción de respuesta válida, respecto del contenido de la pregunta, dejando de lado el objeto del recurso.</w:t>
      </w:r>
    </w:p>
    <w:p w14:paraId="133EE5BD" w14:textId="16455CD7" w:rsidR="00531A83" w:rsidRPr="00531A83" w:rsidRDefault="00531A83" w:rsidP="00E76F32">
      <w:pPr>
        <w:pStyle w:val="Prrafodelista"/>
        <w:widowControl w:val="0"/>
        <w:spacing w:before="240" w:after="240"/>
        <w:ind w:left="708"/>
        <w:contextualSpacing w:val="0"/>
        <w:rPr>
          <w:bCs/>
          <w:sz w:val="22"/>
          <w:szCs w:val="22"/>
        </w:rPr>
      </w:pPr>
      <w:r w:rsidRPr="00531A83">
        <w:rPr>
          <w:bCs/>
          <w:sz w:val="22"/>
          <w:szCs w:val="22"/>
        </w:rPr>
        <w:t>Por tanto, se requiere a la Universidad para que en cumplimiento de los numerales 261 y 292 de las obligaciones generales y específicas del contratista, establecidas en el citado contrato, dé respuesta inmediata para poder complementar la Resolución CJR23-0042 de 2023</w:t>
      </w:r>
      <w:r>
        <w:rPr>
          <w:bCs/>
          <w:sz w:val="22"/>
          <w:szCs w:val="22"/>
        </w:rPr>
        <w:t>”</w:t>
      </w:r>
      <w:r>
        <w:rPr>
          <w:rStyle w:val="Refdenotaalpie"/>
          <w:bCs/>
          <w:sz w:val="22"/>
          <w:szCs w:val="22"/>
        </w:rPr>
        <w:footnoteReference w:id="46"/>
      </w:r>
      <w:r w:rsidRPr="00531A83">
        <w:rPr>
          <w:bCs/>
          <w:sz w:val="22"/>
          <w:szCs w:val="22"/>
        </w:rPr>
        <w:t>.</w:t>
      </w:r>
    </w:p>
    <w:p w14:paraId="0C53B8F2" w14:textId="7E35A8CF" w:rsidR="00BE18F4" w:rsidRDefault="00EF0DC5" w:rsidP="00E76F32">
      <w:pPr>
        <w:widowControl w:val="0"/>
        <w:spacing w:before="240" w:after="240" w:line="240" w:lineRule="auto"/>
        <w:jc w:val="both"/>
        <w:rPr>
          <w:rFonts w:ascii="Arial" w:hAnsi="Arial" w:cs="Arial"/>
          <w:bCs/>
          <w:sz w:val="24"/>
          <w:szCs w:val="24"/>
        </w:rPr>
      </w:pPr>
      <w:r>
        <w:rPr>
          <w:rFonts w:ascii="Arial" w:hAnsi="Arial" w:cs="Arial"/>
          <w:bCs/>
          <w:sz w:val="24"/>
          <w:szCs w:val="24"/>
        </w:rPr>
        <w:t>A juicio del señor Valencia Zamora</w:t>
      </w:r>
      <w:r w:rsidR="00052FAC">
        <w:rPr>
          <w:rFonts w:ascii="Arial" w:hAnsi="Arial" w:cs="Arial"/>
          <w:bCs/>
          <w:sz w:val="24"/>
          <w:szCs w:val="24"/>
        </w:rPr>
        <w:t>, en el primer documento indicado, la Unidad de Administración de Carrera Judicial “atendió de forma congruente”</w:t>
      </w:r>
      <w:r w:rsidR="00593D16">
        <w:rPr>
          <w:rStyle w:val="Refdenotaalpie"/>
          <w:rFonts w:ascii="Arial" w:hAnsi="Arial" w:cs="Arial"/>
          <w:bCs/>
          <w:sz w:val="24"/>
          <w:szCs w:val="24"/>
        </w:rPr>
        <w:footnoteReference w:id="47"/>
      </w:r>
      <w:r w:rsidR="00052FAC">
        <w:rPr>
          <w:rFonts w:ascii="Arial" w:hAnsi="Arial" w:cs="Arial"/>
          <w:bCs/>
          <w:sz w:val="24"/>
          <w:szCs w:val="24"/>
        </w:rPr>
        <w:t xml:space="preserve"> un recurso de reposición interpuesto por un participante, en contra del acto administrativo por medio del cual se publicaron los primeros resultados de la prueba; el segundo, pone de presente que la responsable de las resoluciones que resuelven los recursos de reposición es la Directora de la referida dependencia</w:t>
      </w:r>
      <w:r w:rsidR="008B7B13">
        <w:rPr>
          <w:rFonts w:ascii="Arial" w:hAnsi="Arial" w:cs="Arial"/>
          <w:bCs/>
          <w:sz w:val="24"/>
          <w:szCs w:val="24"/>
        </w:rPr>
        <w:t>,</w:t>
      </w:r>
      <w:r w:rsidR="00052FAC">
        <w:rPr>
          <w:rFonts w:ascii="Arial" w:hAnsi="Arial" w:cs="Arial"/>
          <w:bCs/>
          <w:sz w:val="24"/>
          <w:szCs w:val="24"/>
        </w:rPr>
        <w:t xml:space="preserve"> en tanto ella es quien los suscribe; y el tercero, deja en evidencia la “falta de atención congruente a los recursos”</w:t>
      </w:r>
      <w:r w:rsidR="00593D16">
        <w:rPr>
          <w:rStyle w:val="Refdenotaalpie"/>
          <w:rFonts w:ascii="Arial" w:hAnsi="Arial" w:cs="Arial"/>
          <w:bCs/>
          <w:sz w:val="24"/>
          <w:szCs w:val="24"/>
        </w:rPr>
        <w:footnoteReference w:id="48"/>
      </w:r>
      <w:r w:rsidR="00052FAC">
        <w:rPr>
          <w:rFonts w:ascii="Arial" w:hAnsi="Arial" w:cs="Arial"/>
          <w:bCs/>
          <w:sz w:val="24"/>
          <w:szCs w:val="24"/>
        </w:rPr>
        <w:t>.</w:t>
      </w:r>
    </w:p>
    <w:p w14:paraId="4F29090F" w14:textId="11C180D8" w:rsidR="00BE18F4" w:rsidRDefault="00593D16" w:rsidP="00E76F32">
      <w:pPr>
        <w:widowControl w:val="0"/>
        <w:spacing w:before="240" w:after="240" w:line="240" w:lineRule="auto"/>
        <w:jc w:val="both"/>
        <w:rPr>
          <w:rFonts w:ascii="Arial" w:hAnsi="Arial" w:cs="Arial"/>
          <w:bCs/>
          <w:sz w:val="24"/>
          <w:szCs w:val="24"/>
        </w:rPr>
      </w:pPr>
      <w:r>
        <w:rPr>
          <w:rFonts w:ascii="Arial" w:hAnsi="Arial" w:cs="Arial"/>
          <w:bCs/>
          <w:sz w:val="24"/>
          <w:szCs w:val="24"/>
        </w:rPr>
        <w:t>Posteriormente, el señor Valencia Zamora remitió nuevamente un memorial, el 6 de febrero de la presente anualidad</w:t>
      </w:r>
      <w:r>
        <w:rPr>
          <w:rStyle w:val="Refdenotaalpie"/>
          <w:rFonts w:ascii="Arial" w:hAnsi="Arial" w:cs="Arial"/>
          <w:bCs/>
          <w:sz w:val="24"/>
          <w:szCs w:val="24"/>
        </w:rPr>
        <w:footnoteReference w:id="49"/>
      </w:r>
      <w:r>
        <w:rPr>
          <w:rFonts w:ascii="Arial" w:hAnsi="Arial" w:cs="Arial"/>
          <w:bCs/>
          <w:sz w:val="24"/>
          <w:szCs w:val="24"/>
        </w:rPr>
        <w:t xml:space="preserve">, en el que adjuntó el Oficio </w:t>
      </w:r>
      <w:r w:rsidRPr="00593D16">
        <w:rPr>
          <w:rFonts w:ascii="Arial" w:hAnsi="Arial" w:cs="Arial"/>
          <w:bCs/>
          <w:sz w:val="24"/>
          <w:szCs w:val="24"/>
        </w:rPr>
        <w:t>CJO23-332</w:t>
      </w:r>
      <w:r>
        <w:rPr>
          <w:rFonts w:ascii="Arial" w:hAnsi="Arial" w:cs="Arial"/>
          <w:bCs/>
          <w:sz w:val="24"/>
          <w:szCs w:val="24"/>
        </w:rPr>
        <w:t xml:space="preserve"> </w:t>
      </w:r>
      <w:r w:rsidRPr="00593D16">
        <w:rPr>
          <w:rFonts w:ascii="Arial" w:hAnsi="Arial" w:cs="Arial"/>
          <w:bCs/>
          <w:sz w:val="24"/>
          <w:szCs w:val="24"/>
        </w:rPr>
        <w:t>del 31 de enero de 2023</w:t>
      </w:r>
      <w:r w:rsidR="00A1333D">
        <w:rPr>
          <w:rStyle w:val="Refdenotaalpie"/>
          <w:rFonts w:ascii="Arial" w:hAnsi="Arial" w:cs="Arial"/>
          <w:bCs/>
          <w:sz w:val="24"/>
          <w:szCs w:val="24"/>
        </w:rPr>
        <w:footnoteReference w:id="50"/>
      </w:r>
      <w:r>
        <w:rPr>
          <w:rFonts w:ascii="Arial" w:hAnsi="Arial" w:cs="Arial"/>
          <w:bCs/>
          <w:sz w:val="24"/>
          <w:szCs w:val="24"/>
        </w:rPr>
        <w:t xml:space="preserve"> y la respuesta a la acción de tutela que brindó a la Unidad de Administración de Carrera Judicial del Consejo Superior de la Judicatura</w:t>
      </w:r>
      <w:r w:rsidR="00A1333D">
        <w:rPr>
          <w:rFonts w:ascii="Arial" w:hAnsi="Arial" w:cs="Arial"/>
          <w:bCs/>
          <w:sz w:val="24"/>
          <w:szCs w:val="24"/>
        </w:rPr>
        <w:t xml:space="preserve"> en el trámite con número de radicado 1</w:t>
      </w:r>
      <w:r w:rsidR="00A1333D" w:rsidRPr="00A1333D">
        <w:rPr>
          <w:rFonts w:ascii="Arial" w:hAnsi="Arial" w:cs="Arial"/>
          <w:bCs/>
          <w:sz w:val="24"/>
          <w:szCs w:val="24"/>
        </w:rPr>
        <w:t>1001</w:t>
      </w:r>
      <w:r w:rsidR="00A1333D">
        <w:rPr>
          <w:rFonts w:ascii="Arial" w:hAnsi="Arial" w:cs="Arial"/>
          <w:bCs/>
          <w:sz w:val="24"/>
          <w:szCs w:val="24"/>
        </w:rPr>
        <w:t>-</w:t>
      </w:r>
      <w:r w:rsidR="00A1333D" w:rsidRPr="00A1333D">
        <w:rPr>
          <w:rFonts w:ascii="Arial" w:hAnsi="Arial" w:cs="Arial"/>
          <w:bCs/>
          <w:sz w:val="24"/>
          <w:szCs w:val="24"/>
        </w:rPr>
        <w:t>03</w:t>
      </w:r>
      <w:r w:rsidR="00A1333D">
        <w:rPr>
          <w:rFonts w:ascii="Arial" w:hAnsi="Arial" w:cs="Arial"/>
          <w:bCs/>
          <w:sz w:val="24"/>
          <w:szCs w:val="24"/>
        </w:rPr>
        <w:t>-</w:t>
      </w:r>
      <w:r w:rsidR="00A1333D" w:rsidRPr="00A1333D">
        <w:rPr>
          <w:rFonts w:ascii="Arial" w:hAnsi="Arial" w:cs="Arial"/>
          <w:bCs/>
          <w:sz w:val="24"/>
          <w:szCs w:val="24"/>
        </w:rPr>
        <w:t>15</w:t>
      </w:r>
      <w:r w:rsidR="00A1333D">
        <w:rPr>
          <w:rFonts w:ascii="Arial" w:hAnsi="Arial" w:cs="Arial"/>
          <w:bCs/>
          <w:sz w:val="24"/>
          <w:szCs w:val="24"/>
        </w:rPr>
        <w:t>-</w:t>
      </w:r>
      <w:r w:rsidR="00A1333D" w:rsidRPr="00A1333D">
        <w:rPr>
          <w:rFonts w:ascii="Arial" w:hAnsi="Arial" w:cs="Arial"/>
          <w:bCs/>
          <w:sz w:val="24"/>
          <w:szCs w:val="24"/>
        </w:rPr>
        <w:t>000</w:t>
      </w:r>
      <w:r w:rsidR="00A1333D">
        <w:rPr>
          <w:rFonts w:ascii="Arial" w:hAnsi="Arial" w:cs="Arial"/>
          <w:bCs/>
          <w:sz w:val="24"/>
          <w:szCs w:val="24"/>
        </w:rPr>
        <w:t>-</w:t>
      </w:r>
      <w:r w:rsidR="00A1333D" w:rsidRPr="00A1333D">
        <w:rPr>
          <w:rFonts w:ascii="Arial" w:hAnsi="Arial" w:cs="Arial"/>
          <w:bCs/>
          <w:sz w:val="24"/>
          <w:szCs w:val="24"/>
        </w:rPr>
        <w:t>2023</w:t>
      </w:r>
      <w:r w:rsidR="00A1333D">
        <w:rPr>
          <w:rFonts w:ascii="Arial" w:hAnsi="Arial" w:cs="Arial"/>
          <w:bCs/>
          <w:sz w:val="24"/>
          <w:szCs w:val="24"/>
        </w:rPr>
        <w:t>-</w:t>
      </w:r>
      <w:r w:rsidR="00A1333D" w:rsidRPr="00A1333D">
        <w:rPr>
          <w:rFonts w:ascii="Arial" w:hAnsi="Arial" w:cs="Arial"/>
          <w:bCs/>
          <w:sz w:val="24"/>
          <w:szCs w:val="24"/>
        </w:rPr>
        <w:t>00230</w:t>
      </w:r>
      <w:r w:rsidR="00A1333D">
        <w:rPr>
          <w:rFonts w:ascii="Arial" w:hAnsi="Arial" w:cs="Arial"/>
          <w:bCs/>
          <w:sz w:val="24"/>
          <w:szCs w:val="24"/>
        </w:rPr>
        <w:t>-</w:t>
      </w:r>
      <w:r w:rsidR="00A1333D" w:rsidRPr="00A1333D">
        <w:rPr>
          <w:rFonts w:ascii="Arial" w:hAnsi="Arial" w:cs="Arial"/>
          <w:bCs/>
          <w:sz w:val="24"/>
          <w:szCs w:val="24"/>
        </w:rPr>
        <w:t>00</w:t>
      </w:r>
      <w:r w:rsidR="00A1333D">
        <w:rPr>
          <w:rStyle w:val="Refdenotaalpie"/>
          <w:rFonts w:ascii="Arial" w:hAnsi="Arial" w:cs="Arial"/>
          <w:bCs/>
          <w:sz w:val="24"/>
          <w:szCs w:val="24"/>
        </w:rPr>
        <w:footnoteReference w:id="51"/>
      </w:r>
      <w:r>
        <w:rPr>
          <w:rFonts w:ascii="Arial" w:hAnsi="Arial" w:cs="Arial"/>
          <w:bCs/>
          <w:sz w:val="24"/>
          <w:szCs w:val="24"/>
        </w:rPr>
        <w:t>, con el fin de exponer la contradicción en la que, a su juicio, incurrió la Directora de dicha dependencia</w:t>
      </w:r>
      <w:r w:rsidR="00A1333D">
        <w:rPr>
          <w:rFonts w:ascii="Arial" w:hAnsi="Arial" w:cs="Arial"/>
          <w:bCs/>
          <w:sz w:val="24"/>
          <w:szCs w:val="24"/>
        </w:rPr>
        <w:t>. Según</w:t>
      </w:r>
      <w:r>
        <w:rPr>
          <w:rFonts w:ascii="Arial" w:hAnsi="Arial" w:cs="Arial"/>
          <w:bCs/>
          <w:sz w:val="24"/>
          <w:szCs w:val="24"/>
        </w:rPr>
        <w:t xml:space="preserve"> indicó el accionante, en un escrito concluyó que </w:t>
      </w:r>
      <w:r w:rsidR="00A1333D">
        <w:rPr>
          <w:rFonts w:ascii="Arial" w:hAnsi="Arial" w:cs="Arial"/>
          <w:bCs/>
          <w:sz w:val="24"/>
          <w:szCs w:val="24"/>
        </w:rPr>
        <w:t>los recursos de reposición no fueron atendidos de fondo, mientras que en el otro afirmó lo contrario.</w:t>
      </w:r>
    </w:p>
    <w:p w14:paraId="0E4FE156" w14:textId="3C51C31A" w:rsidR="00A1333D" w:rsidRDefault="00A1333D" w:rsidP="00E76F32">
      <w:pPr>
        <w:widowControl w:val="0"/>
        <w:spacing w:before="240" w:after="240" w:line="240" w:lineRule="auto"/>
        <w:jc w:val="both"/>
        <w:rPr>
          <w:rFonts w:ascii="Arial" w:hAnsi="Arial" w:cs="Arial"/>
          <w:bCs/>
          <w:sz w:val="24"/>
          <w:szCs w:val="24"/>
        </w:rPr>
      </w:pPr>
      <w:r>
        <w:rPr>
          <w:rFonts w:ascii="Arial" w:hAnsi="Arial" w:cs="Arial"/>
          <w:bCs/>
          <w:sz w:val="24"/>
          <w:szCs w:val="24"/>
        </w:rPr>
        <w:t xml:space="preserve">Luego, el señor Valencia Zamora envió un nuevo </w:t>
      </w:r>
      <w:r w:rsidR="00406B8A">
        <w:rPr>
          <w:rFonts w:ascii="Arial" w:hAnsi="Arial" w:cs="Arial"/>
          <w:bCs/>
          <w:sz w:val="24"/>
          <w:szCs w:val="24"/>
        </w:rPr>
        <w:t>memorial</w:t>
      </w:r>
      <w:r>
        <w:rPr>
          <w:rFonts w:ascii="Arial" w:hAnsi="Arial" w:cs="Arial"/>
          <w:bCs/>
          <w:sz w:val="24"/>
          <w:szCs w:val="24"/>
        </w:rPr>
        <w:t>, el 17 de febrero siguiente</w:t>
      </w:r>
      <w:r>
        <w:rPr>
          <w:rStyle w:val="Refdenotaalpie"/>
          <w:rFonts w:ascii="Arial" w:hAnsi="Arial" w:cs="Arial"/>
          <w:bCs/>
          <w:sz w:val="24"/>
          <w:szCs w:val="24"/>
        </w:rPr>
        <w:footnoteReference w:id="52"/>
      </w:r>
      <w:r>
        <w:rPr>
          <w:rFonts w:ascii="Arial" w:hAnsi="Arial" w:cs="Arial"/>
          <w:bCs/>
          <w:sz w:val="24"/>
          <w:szCs w:val="24"/>
        </w:rPr>
        <w:t xml:space="preserve">, en el que afirmó que Eduardo Aguirre, quien ejerce la función de </w:t>
      </w:r>
      <w:r w:rsidRPr="00A1333D">
        <w:rPr>
          <w:rFonts w:ascii="Arial" w:hAnsi="Arial" w:cs="Arial"/>
          <w:bCs/>
          <w:sz w:val="24"/>
          <w:szCs w:val="24"/>
        </w:rPr>
        <w:t>Director del Proyecto – Contrato 096 de 2018</w:t>
      </w:r>
      <w:r>
        <w:rPr>
          <w:rFonts w:ascii="Arial" w:hAnsi="Arial" w:cs="Arial"/>
          <w:bCs/>
          <w:sz w:val="24"/>
          <w:szCs w:val="24"/>
        </w:rPr>
        <w:t>, y quien diseñó la prueba de conocimientos y aptitudes, resolvió los recursos de reposición y ha dado respuesta a las acciones de tutela presentadas en el marco de la Convocatoria 27, es psicólogo</w:t>
      </w:r>
      <w:r w:rsidR="00406B8A">
        <w:rPr>
          <w:rFonts w:ascii="Arial" w:hAnsi="Arial" w:cs="Arial"/>
          <w:bCs/>
          <w:sz w:val="24"/>
          <w:szCs w:val="24"/>
        </w:rPr>
        <w:t xml:space="preserve"> de profesión</w:t>
      </w:r>
      <w:r>
        <w:rPr>
          <w:rFonts w:ascii="Arial" w:hAnsi="Arial" w:cs="Arial"/>
          <w:bCs/>
          <w:sz w:val="24"/>
          <w:szCs w:val="24"/>
        </w:rPr>
        <w:t xml:space="preserve">. A juicio del actor, dicha situación </w:t>
      </w:r>
      <w:r w:rsidR="00CC1307">
        <w:rPr>
          <w:rFonts w:ascii="Arial" w:hAnsi="Arial" w:cs="Arial"/>
          <w:bCs/>
          <w:sz w:val="24"/>
          <w:szCs w:val="24"/>
        </w:rPr>
        <w:t>deja</w:t>
      </w:r>
      <w:r>
        <w:rPr>
          <w:rFonts w:ascii="Arial" w:hAnsi="Arial" w:cs="Arial"/>
          <w:bCs/>
          <w:sz w:val="24"/>
          <w:szCs w:val="24"/>
        </w:rPr>
        <w:t xml:space="preserve"> en evidencia que mencionado funcionario no cuenta con los conocimientos jurídicos suficientes para el desarrollo de las mencionadas actividades.</w:t>
      </w:r>
    </w:p>
    <w:p w14:paraId="3D5B47BE" w14:textId="43910C9B" w:rsidR="0069317D" w:rsidRDefault="0069317D" w:rsidP="00E76F32">
      <w:pPr>
        <w:widowControl w:val="0"/>
        <w:spacing w:before="240" w:after="240" w:line="240" w:lineRule="auto"/>
        <w:jc w:val="both"/>
        <w:rPr>
          <w:rFonts w:ascii="Arial" w:hAnsi="Arial" w:cs="Arial"/>
          <w:bCs/>
          <w:sz w:val="24"/>
          <w:szCs w:val="24"/>
        </w:rPr>
      </w:pPr>
      <w:r>
        <w:rPr>
          <w:rFonts w:ascii="Arial" w:hAnsi="Arial" w:cs="Arial"/>
          <w:bCs/>
          <w:sz w:val="24"/>
          <w:szCs w:val="24"/>
        </w:rPr>
        <w:t>1.</w:t>
      </w:r>
      <w:r w:rsidR="008B7B13">
        <w:rPr>
          <w:rFonts w:ascii="Arial" w:hAnsi="Arial" w:cs="Arial"/>
          <w:bCs/>
          <w:sz w:val="24"/>
          <w:szCs w:val="24"/>
        </w:rPr>
        <w:t>5.4.</w:t>
      </w:r>
      <w:r>
        <w:rPr>
          <w:rFonts w:ascii="Arial" w:hAnsi="Arial" w:cs="Arial"/>
          <w:bCs/>
          <w:sz w:val="24"/>
          <w:szCs w:val="24"/>
        </w:rPr>
        <w:t xml:space="preserve"> La </w:t>
      </w:r>
      <w:r w:rsidRPr="00642246">
        <w:rPr>
          <w:rFonts w:ascii="Arial" w:hAnsi="Arial" w:cs="Arial"/>
          <w:b/>
          <w:sz w:val="24"/>
          <w:szCs w:val="24"/>
        </w:rPr>
        <w:t>Unidad de Administración de Carrera Judicial del Consejo Superior de la Judicatura</w:t>
      </w:r>
      <w:r>
        <w:rPr>
          <w:rFonts w:ascii="Arial" w:hAnsi="Arial" w:cs="Arial"/>
          <w:bCs/>
          <w:sz w:val="24"/>
          <w:szCs w:val="24"/>
        </w:rPr>
        <w:t xml:space="preserve">, en </w:t>
      </w:r>
      <w:r w:rsidRPr="0069317D">
        <w:rPr>
          <w:rFonts w:ascii="Arial" w:hAnsi="Arial" w:cs="Arial"/>
          <w:bCs/>
          <w:sz w:val="24"/>
          <w:szCs w:val="24"/>
        </w:rPr>
        <w:t>Oficio CJO23-766</w:t>
      </w:r>
      <w:r>
        <w:rPr>
          <w:rFonts w:ascii="Arial" w:hAnsi="Arial" w:cs="Arial"/>
          <w:bCs/>
          <w:sz w:val="24"/>
          <w:szCs w:val="24"/>
        </w:rPr>
        <w:t xml:space="preserve"> del 20 de febrero de 2023</w:t>
      </w:r>
      <w:r>
        <w:rPr>
          <w:rStyle w:val="Refdenotaalpie"/>
          <w:rFonts w:ascii="Arial" w:hAnsi="Arial" w:cs="Arial"/>
          <w:bCs/>
          <w:sz w:val="24"/>
          <w:szCs w:val="24"/>
        </w:rPr>
        <w:footnoteReference w:id="53"/>
      </w:r>
      <w:r>
        <w:rPr>
          <w:rFonts w:ascii="Arial" w:hAnsi="Arial" w:cs="Arial"/>
          <w:bCs/>
          <w:sz w:val="24"/>
          <w:szCs w:val="24"/>
        </w:rPr>
        <w:t>, se opuso a lo solicitado por el actor en los diferentes memoriales que radicó en este trámite. La mencionada autoridad consideró pertinente hacer las siguientes aclaraciones:</w:t>
      </w:r>
    </w:p>
    <w:p w14:paraId="463D9E7D" w14:textId="4DA01BAF" w:rsidR="0069317D" w:rsidRDefault="0069317D" w:rsidP="00E76F32">
      <w:pPr>
        <w:widowControl w:val="0"/>
        <w:spacing w:before="240" w:after="240" w:line="240" w:lineRule="auto"/>
        <w:jc w:val="both"/>
        <w:rPr>
          <w:rFonts w:ascii="Arial" w:hAnsi="Arial" w:cs="Arial"/>
          <w:bCs/>
          <w:sz w:val="24"/>
          <w:szCs w:val="24"/>
        </w:rPr>
      </w:pPr>
      <w:r>
        <w:rPr>
          <w:rFonts w:ascii="Arial" w:hAnsi="Arial" w:cs="Arial"/>
          <w:bCs/>
          <w:sz w:val="24"/>
          <w:szCs w:val="24"/>
        </w:rPr>
        <w:t xml:space="preserve">(i) La Universidad Nacional de Colombia </w:t>
      </w:r>
      <w:r w:rsidRPr="0069317D">
        <w:rPr>
          <w:rFonts w:ascii="Arial" w:hAnsi="Arial" w:cs="Arial"/>
          <w:bCs/>
          <w:sz w:val="24"/>
          <w:szCs w:val="24"/>
        </w:rPr>
        <w:t>“</w:t>
      </w:r>
      <w:r w:rsidRPr="0069317D">
        <w:rPr>
          <w:rFonts w:ascii="Arial" w:hAnsi="Arial" w:cs="Arial"/>
          <w:b/>
          <w:bCs/>
          <w:sz w:val="24"/>
          <w:szCs w:val="24"/>
        </w:rPr>
        <w:t>es la entidad contratada para est</w:t>
      </w:r>
      <w:r>
        <w:rPr>
          <w:rFonts w:ascii="Arial" w:hAnsi="Arial" w:cs="Arial"/>
          <w:b/>
          <w:bCs/>
          <w:sz w:val="24"/>
          <w:szCs w:val="24"/>
        </w:rPr>
        <w:t>r</w:t>
      </w:r>
      <w:r w:rsidRPr="0069317D">
        <w:rPr>
          <w:rFonts w:ascii="Arial" w:hAnsi="Arial" w:cs="Arial"/>
          <w:b/>
          <w:bCs/>
          <w:sz w:val="24"/>
          <w:szCs w:val="24"/>
        </w:rPr>
        <w:t>u</w:t>
      </w:r>
      <w:r>
        <w:rPr>
          <w:rFonts w:ascii="Arial" w:hAnsi="Arial" w:cs="Arial"/>
          <w:b/>
          <w:bCs/>
          <w:sz w:val="24"/>
          <w:szCs w:val="24"/>
        </w:rPr>
        <w:t>ctu</w:t>
      </w:r>
      <w:r w:rsidRPr="0069317D">
        <w:rPr>
          <w:rFonts w:ascii="Arial" w:hAnsi="Arial" w:cs="Arial"/>
          <w:b/>
          <w:bCs/>
          <w:sz w:val="24"/>
          <w:szCs w:val="24"/>
        </w:rPr>
        <w:t xml:space="preserve">rar, elaborar, imprimir, aplicar, calificar, </w:t>
      </w:r>
      <w:r w:rsidRPr="0069317D">
        <w:rPr>
          <w:rFonts w:ascii="Arial" w:hAnsi="Arial" w:cs="Arial"/>
          <w:bCs/>
          <w:sz w:val="24"/>
          <w:szCs w:val="24"/>
        </w:rPr>
        <w:t>y las demás actividades inherentes a este proceso de selección, cuya responsabilidad, según las cláusulas contractuales es del ente educativo, pues ni la Unidad de Administración de la Carrera Judicial ni esta Corporación, conocen ni califica las pruebas, por protocolo de transparencia</w:t>
      </w:r>
      <w:r>
        <w:rPr>
          <w:rFonts w:ascii="Arial" w:hAnsi="Arial" w:cs="Arial"/>
          <w:bCs/>
          <w:sz w:val="24"/>
          <w:szCs w:val="24"/>
        </w:rPr>
        <w:t>”</w:t>
      </w:r>
      <w:r>
        <w:rPr>
          <w:rStyle w:val="Refdenotaalpie"/>
          <w:rFonts w:ascii="Arial" w:hAnsi="Arial" w:cs="Arial"/>
          <w:bCs/>
          <w:sz w:val="24"/>
          <w:szCs w:val="24"/>
        </w:rPr>
        <w:footnoteReference w:id="54"/>
      </w:r>
      <w:r w:rsidRPr="0069317D">
        <w:rPr>
          <w:rFonts w:ascii="Arial" w:hAnsi="Arial" w:cs="Arial"/>
          <w:bCs/>
          <w:sz w:val="24"/>
          <w:szCs w:val="24"/>
        </w:rPr>
        <w:t>.</w:t>
      </w:r>
      <w:r w:rsidR="00406B8A">
        <w:rPr>
          <w:rFonts w:ascii="Arial" w:hAnsi="Arial" w:cs="Arial"/>
          <w:bCs/>
          <w:sz w:val="24"/>
          <w:szCs w:val="24"/>
        </w:rPr>
        <w:t xml:space="preserve"> (Negritas dentro de texto).</w:t>
      </w:r>
    </w:p>
    <w:p w14:paraId="5DCD738B" w14:textId="4539921F" w:rsidR="0069317D" w:rsidRDefault="0069317D" w:rsidP="00E76F32">
      <w:pPr>
        <w:widowControl w:val="0"/>
        <w:spacing w:before="240" w:after="240" w:line="240" w:lineRule="auto"/>
        <w:jc w:val="both"/>
        <w:rPr>
          <w:rFonts w:ascii="Arial" w:hAnsi="Arial" w:cs="Arial"/>
          <w:bCs/>
          <w:sz w:val="24"/>
          <w:szCs w:val="24"/>
        </w:rPr>
      </w:pPr>
      <w:r>
        <w:rPr>
          <w:rFonts w:ascii="Arial" w:hAnsi="Arial" w:cs="Arial"/>
          <w:bCs/>
          <w:sz w:val="24"/>
          <w:szCs w:val="24"/>
        </w:rPr>
        <w:t xml:space="preserve">(ii) Los recursos de reposición que se han presentado en contra de la Resolución </w:t>
      </w:r>
      <w:r w:rsidRPr="0069317D">
        <w:rPr>
          <w:rFonts w:ascii="Arial" w:hAnsi="Arial" w:cs="Arial"/>
          <w:bCs/>
          <w:sz w:val="24"/>
          <w:szCs w:val="24"/>
        </w:rPr>
        <w:t>CJR23-0042 de 2023</w:t>
      </w:r>
      <w:r>
        <w:rPr>
          <w:rFonts w:ascii="Arial" w:hAnsi="Arial" w:cs="Arial"/>
          <w:bCs/>
          <w:sz w:val="24"/>
          <w:szCs w:val="24"/>
        </w:rPr>
        <w:t xml:space="preserve"> se ha</w:t>
      </w:r>
      <w:r w:rsidR="00CC1307">
        <w:rPr>
          <w:rFonts w:ascii="Arial" w:hAnsi="Arial" w:cs="Arial"/>
          <w:bCs/>
          <w:sz w:val="24"/>
          <w:szCs w:val="24"/>
        </w:rPr>
        <w:t xml:space="preserve">n resuelto </w:t>
      </w:r>
      <w:r>
        <w:rPr>
          <w:rFonts w:ascii="Arial" w:hAnsi="Arial" w:cs="Arial"/>
          <w:bCs/>
          <w:sz w:val="24"/>
          <w:szCs w:val="24"/>
        </w:rPr>
        <w:t>con base en los insumos suministrados por la Universidad Nacional de Colombia que, como se indicó</w:t>
      </w:r>
      <w:r w:rsidR="00642246">
        <w:rPr>
          <w:rFonts w:ascii="Arial" w:hAnsi="Arial" w:cs="Arial"/>
          <w:bCs/>
          <w:sz w:val="24"/>
          <w:szCs w:val="24"/>
        </w:rPr>
        <w:t xml:space="preserve"> “</w:t>
      </w:r>
      <w:r w:rsidR="00642246" w:rsidRPr="00642246">
        <w:rPr>
          <w:rFonts w:ascii="Arial" w:hAnsi="Arial" w:cs="Arial"/>
          <w:bCs/>
          <w:sz w:val="24"/>
          <w:szCs w:val="24"/>
        </w:rPr>
        <w:t xml:space="preserve">es la que califica en consideración a las claves establecidas por </w:t>
      </w:r>
      <w:r w:rsidR="00642246">
        <w:rPr>
          <w:rFonts w:ascii="Arial" w:hAnsi="Arial" w:cs="Arial"/>
          <w:bCs/>
          <w:sz w:val="24"/>
          <w:szCs w:val="24"/>
        </w:rPr>
        <w:t>[el mismo ente educativo]</w:t>
      </w:r>
      <w:r w:rsidR="00642246" w:rsidRPr="00642246">
        <w:rPr>
          <w:rFonts w:ascii="Arial" w:hAnsi="Arial" w:cs="Arial"/>
          <w:bCs/>
          <w:sz w:val="24"/>
          <w:szCs w:val="24"/>
        </w:rPr>
        <w:t xml:space="preserve"> como correctas, a través de una máquina lectora de las hojas de respuesta</w:t>
      </w:r>
      <w:r w:rsidR="00642246">
        <w:rPr>
          <w:rFonts w:ascii="Arial" w:hAnsi="Arial" w:cs="Arial"/>
          <w:bCs/>
          <w:sz w:val="24"/>
          <w:szCs w:val="24"/>
        </w:rPr>
        <w:t>”</w:t>
      </w:r>
      <w:r w:rsidR="00642246">
        <w:rPr>
          <w:rStyle w:val="Refdenotaalpie"/>
          <w:rFonts w:ascii="Arial" w:hAnsi="Arial" w:cs="Arial"/>
          <w:bCs/>
          <w:sz w:val="24"/>
          <w:szCs w:val="24"/>
        </w:rPr>
        <w:footnoteReference w:id="55"/>
      </w:r>
      <w:r w:rsidR="00642246" w:rsidRPr="00642246">
        <w:rPr>
          <w:rFonts w:ascii="Arial" w:hAnsi="Arial" w:cs="Arial"/>
          <w:bCs/>
          <w:sz w:val="24"/>
          <w:szCs w:val="24"/>
        </w:rPr>
        <w:t>.</w:t>
      </w:r>
    </w:p>
    <w:p w14:paraId="79D02636" w14:textId="2111B095" w:rsidR="00642246" w:rsidRDefault="00642246" w:rsidP="00E76F32">
      <w:pPr>
        <w:widowControl w:val="0"/>
        <w:spacing w:before="240" w:after="240" w:line="240" w:lineRule="auto"/>
        <w:jc w:val="both"/>
        <w:rPr>
          <w:rFonts w:ascii="Arial" w:hAnsi="Arial" w:cs="Arial"/>
          <w:bCs/>
          <w:sz w:val="24"/>
          <w:szCs w:val="24"/>
        </w:rPr>
      </w:pPr>
      <w:r>
        <w:rPr>
          <w:rFonts w:ascii="Arial" w:hAnsi="Arial" w:cs="Arial"/>
          <w:bCs/>
          <w:sz w:val="24"/>
          <w:szCs w:val="24"/>
        </w:rPr>
        <w:t>Bajo tales consideraciones afirmó que “</w:t>
      </w:r>
      <w:r w:rsidRPr="00642246">
        <w:rPr>
          <w:rFonts w:ascii="Arial" w:hAnsi="Arial" w:cs="Arial"/>
          <w:bCs/>
          <w:sz w:val="24"/>
          <w:szCs w:val="24"/>
        </w:rPr>
        <w:t>no se advierte que pueda existir alguna actuación que no se encuentre debidamente soportada, jurídica y fácticamente con fundamento en los informes técnicos y demás documentos relacionados, provenientes de la Universidad Nacional de Colombia</w:t>
      </w:r>
      <w:r>
        <w:rPr>
          <w:rFonts w:ascii="Arial" w:hAnsi="Arial" w:cs="Arial"/>
          <w:bCs/>
          <w:sz w:val="24"/>
          <w:szCs w:val="24"/>
        </w:rPr>
        <w:t>”</w:t>
      </w:r>
      <w:r>
        <w:rPr>
          <w:rStyle w:val="Refdenotaalpie"/>
          <w:rFonts w:ascii="Arial" w:hAnsi="Arial" w:cs="Arial"/>
          <w:bCs/>
          <w:sz w:val="24"/>
          <w:szCs w:val="24"/>
        </w:rPr>
        <w:footnoteReference w:id="56"/>
      </w:r>
      <w:r w:rsidRPr="00642246">
        <w:rPr>
          <w:rFonts w:ascii="Arial" w:hAnsi="Arial" w:cs="Arial"/>
          <w:bCs/>
          <w:sz w:val="24"/>
          <w:szCs w:val="24"/>
        </w:rPr>
        <w:t>.</w:t>
      </w:r>
    </w:p>
    <w:p w14:paraId="73800204" w14:textId="2495FB2E" w:rsidR="00B067FA" w:rsidRDefault="00642246" w:rsidP="00E76F32">
      <w:pPr>
        <w:widowControl w:val="0"/>
        <w:spacing w:before="240" w:after="240" w:line="240" w:lineRule="auto"/>
        <w:jc w:val="both"/>
        <w:rPr>
          <w:rFonts w:ascii="Arial" w:hAnsi="Arial" w:cs="Arial"/>
          <w:bCs/>
          <w:sz w:val="24"/>
          <w:szCs w:val="24"/>
        </w:rPr>
      </w:pPr>
      <w:r>
        <w:rPr>
          <w:rFonts w:ascii="Arial" w:hAnsi="Arial" w:cs="Arial"/>
          <w:bCs/>
          <w:sz w:val="24"/>
          <w:szCs w:val="24"/>
        </w:rPr>
        <w:t xml:space="preserve">Posteriormente, la referida autoridad </w:t>
      </w:r>
      <w:r w:rsidRPr="005D5DA2">
        <w:rPr>
          <w:rFonts w:ascii="Arial" w:hAnsi="Arial" w:cs="Arial"/>
          <w:bCs/>
          <w:sz w:val="24"/>
          <w:szCs w:val="24"/>
        </w:rPr>
        <w:t>allegó</w:t>
      </w:r>
      <w:r>
        <w:rPr>
          <w:rFonts w:ascii="Arial" w:hAnsi="Arial" w:cs="Arial"/>
          <w:bCs/>
          <w:sz w:val="24"/>
          <w:szCs w:val="24"/>
        </w:rPr>
        <w:t xml:space="preserve"> un nuevo </w:t>
      </w:r>
      <w:r w:rsidR="00972258">
        <w:rPr>
          <w:rFonts w:ascii="Arial" w:hAnsi="Arial" w:cs="Arial"/>
          <w:bCs/>
          <w:sz w:val="24"/>
          <w:szCs w:val="24"/>
        </w:rPr>
        <w:t>escrito</w:t>
      </w:r>
      <w:r>
        <w:rPr>
          <w:rFonts w:ascii="Arial" w:hAnsi="Arial" w:cs="Arial"/>
          <w:bCs/>
          <w:sz w:val="24"/>
          <w:szCs w:val="24"/>
        </w:rPr>
        <w:t>, el 21 de febrero de 2023</w:t>
      </w:r>
      <w:r>
        <w:rPr>
          <w:rStyle w:val="Refdenotaalpie"/>
          <w:rFonts w:ascii="Arial" w:hAnsi="Arial" w:cs="Arial"/>
          <w:bCs/>
          <w:sz w:val="24"/>
          <w:szCs w:val="24"/>
        </w:rPr>
        <w:footnoteReference w:id="57"/>
      </w:r>
      <w:r>
        <w:rPr>
          <w:rFonts w:ascii="Arial" w:hAnsi="Arial" w:cs="Arial"/>
          <w:bCs/>
          <w:sz w:val="24"/>
          <w:szCs w:val="24"/>
        </w:rPr>
        <w:t xml:space="preserve">, en el que </w:t>
      </w:r>
      <w:r w:rsidR="001604CA">
        <w:rPr>
          <w:rFonts w:ascii="Arial" w:hAnsi="Arial" w:cs="Arial"/>
          <w:bCs/>
          <w:sz w:val="24"/>
          <w:szCs w:val="24"/>
        </w:rPr>
        <w:t xml:space="preserve">se opuso a las manifestaciones realizadas por el actor en los memoriales que </w:t>
      </w:r>
      <w:r w:rsidR="005D5DA2">
        <w:rPr>
          <w:rFonts w:ascii="Arial" w:hAnsi="Arial" w:cs="Arial"/>
          <w:bCs/>
          <w:sz w:val="24"/>
          <w:szCs w:val="24"/>
        </w:rPr>
        <w:t>aportó</w:t>
      </w:r>
      <w:r w:rsidR="001604CA">
        <w:rPr>
          <w:rFonts w:ascii="Arial" w:hAnsi="Arial" w:cs="Arial"/>
          <w:bCs/>
          <w:sz w:val="24"/>
          <w:szCs w:val="24"/>
        </w:rPr>
        <w:t xml:space="preserve"> al presente trámite, en la medida en que atienden a “consideraciones descontextualizadas </w:t>
      </w:r>
      <w:r w:rsidR="001604CA" w:rsidRPr="001604CA">
        <w:rPr>
          <w:rFonts w:ascii="Arial" w:hAnsi="Arial" w:cs="Arial"/>
          <w:bCs/>
          <w:sz w:val="24"/>
          <w:szCs w:val="24"/>
        </w:rPr>
        <w:t>y que carecen de sustento, poniendo en duda la estructura y pertinencia de unos ítems, por el solo hecho de no estar de acuerdo con preguntas que contestó de manera errada y respecto de las cuales solicita ser imputadas como correctas porque a su parecer no corresponden a las competencias del cargo al cual concursó</w:t>
      </w:r>
      <w:r w:rsidR="001604CA">
        <w:rPr>
          <w:rFonts w:ascii="Arial" w:hAnsi="Arial" w:cs="Arial"/>
          <w:bCs/>
          <w:sz w:val="24"/>
          <w:szCs w:val="24"/>
        </w:rPr>
        <w:t>”</w:t>
      </w:r>
      <w:r w:rsidR="001604CA">
        <w:rPr>
          <w:rStyle w:val="Refdenotaalpie"/>
          <w:rFonts w:ascii="Arial" w:hAnsi="Arial" w:cs="Arial"/>
          <w:bCs/>
          <w:sz w:val="24"/>
          <w:szCs w:val="24"/>
        </w:rPr>
        <w:footnoteReference w:id="58"/>
      </w:r>
      <w:r w:rsidR="001604CA">
        <w:rPr>
          <w:rFonts w:ascii="Arial" w:hAnsi="Arial" w:cs="Arial"/>
          <w:bCs/>
          <w:sz w:val="24"/>
          <w:szCs w:val="24"/>
        </w:rPr>
        <w:t>.</w:t>
      </w:r>
    </w:p>
    <w:p w14:paraId="03D9F527" w14:textId="7E09915B" w:rsidR="00D021AD" w:rsidRPr="007238F0" w:rsidRDefault="00D021AD" w:rsidP="00E76F32">
      <w:pPr>
        <w:pStyle w:val="Prrafodelista"/>
        <w:widowControl w:val="0"/>
        <w:spacing w:before="240" w:after="240"/>
        <w:ind w:left="0"/>
        <w:contextualSpacing w:val="0"/>
        <w:rPr>
          <w:bCs/>
          <w:sz w:val="24"/>
          <w:szCs w:val="24"/>
        </w:rPr>
      </w:pPr>
      <w:r w:rsidRPr="007238F0">
        <w:rPr>
          <w:bCs/>
          <w:sz w:val="24"/>
          <w:szCs w:val="24"/>
        </w:rPr>
        <w:t>1</w:t>
      </w:r>
      <w:r w:rsidR="007238F0" w:rsidRPr="007238F0">
        <w:rPr>
          <w:bCs/>
          <w:sz w:val="24"/>
          <w:szCs w:val="24"/>
        </w:rPr>
        <w:t>.5.4</w:t>
      </w:r>
      <w:r w:rsidRPr="007238F0">
        <w:rPr>
          <w:bCs/>
          <w:sz w:val="24"/>
          <w:szCs w:val="24"/>
        </w:rPr>
        <w:t>. Solicitudes de coadyuvancia</w:t>
      </w:r>
    </w:p>
    <w:p w14:paraId="44BD808B" w14:textId="3AC94EDE" w:rsidR="00926AB0" w:rsidRPr="00EC1BC4" w:rsidRDefault="00D021AD" w:rsidP="00E76F32">
      <w:pPr>
        <w:pStyle w:val="Prrafodelista"/>
        <w:widowControl w:val="0"/>
        <w:spacing w:before="240" w:after="240"/>
        <w:ind w:left="0"/>
        <w:contextualSpacing w:val="0"/>
        <w:rPr>
          <w:bCs/>
          <w:sz w:val="24"/>
          <w:szCs w:val="24"/>
        </w:rPr>
      </w:pPr>
      <w:r w:rsidRPr="007017B0">
        <w:rPr>
          <w:b/>
          <w:sz w:val="24"/>
          <w:szCs w:val="24"/>
        </w:rPr>
        <w:t>Miguel Ángel Uribe Becerra</w:t>
      </w:r>
      <w:r w:rsidR="007017B0" w:rsidRPr="007017B0">
        <w:rPr>
          <w:rStyle w:val="Refdenotaalpie"/>
          <w:bCs/>
          <w:sz w:val="24"/>
          <w:szCs w:val="24"/>
        </w:rPr>
        <w:footnoteReference w:id="59"/>
      </w:r>
      <w:r w:rsidR="009F59C9">
        <w:rPr>
          <w:bCs/>
          <w:sz w:val="24"/>
          <w:szCs w:val="24"/>
        </w:rPr>
        <w:t xml:space="preserve">, </w:t>
      </w:r>
      <w:r w:rsidR="009F59C9" w:rsidRPr="009F59C9">
        <w:rPr>
          <w:b/>
          <w:sz w:val="24"/>
          <w:szCs w:val="24"/>
        </w:rPr>
        <w:t>Claudia Tatiana Gutiérrez Moreno</w:t>
      </w:r>
      <w:r w:rsidR="009F59C9" w:rsidRPr="009F59C9">
        <w:rPr>
          <w:rStyle w:val="Refdenotaalpie"/>
          <w:bCs/>
          <w:sz w:val="24"/>
          <w:szCs w:val="24"/>
        </w:rPr>
        <w:footnoteReference w:id="60"/>
      </w:r>
      <w:r w:rsidR="009F59C9" w:rsidRPr="009F59C9">
        <w:rPr>
          <w:bCs/>
          <w:sz w:val="24"/>
          <w:szCs w:val="24"/>
        </w:rPr>
        <w:t xml:space="preserve">, </w:t>
      </w:r>
      <w:r w:rsidR="009F59C9" w:rsidRPr="009F59C9">
        <w:rPr>
          <w:b/>
          <w:sz w:val="24"/>
          <w:szCs w:val="24"/>
        </w:rPr>
        <w:t>Edwin Gonzalo Cano Arboleda</w:t>
      </w:r>
      <w:r w:rsidR="009F59C9" w:rsidRPr="009F59C9">
        <w:rPr>
          <w:rStyle w:val="Refdenotaalpie"/>
          <w:bCs/>
          <w:sz w:val="24"/>
          <w:szCs w:val="24"/>
        </w:rPr>
        <w:footnoteReference w:id="61"/>
      </w:r>
      <w:r w:rsidR="009F59C9">
        <w:rPr>
          <w:bCs/>
          <w:sz w:val="24"/>
          <w:szCs w:val="24"/>
        </w:rPr>
        <w:t xml:space="preserve">, </w:t>
      </w:r>
      <w:r w:rsidR="009F59C9" w:rsidRPr="00CF5AF3">
        <w:rPr>
          <w:b/>
          <w:sz w:val="24"/>
          <w:szCs w:val="24"/>
        </w:rPr>
        <w:t>Omar Julián Ríos Gómez</w:t>
      </w:r>
      <w:r w:rsidR="009F59C9">
        <w:rPr>
          <w:rStyle w:val="Refdenotaalpie"/>
          <w:bCs/>
          <w:sz w:val="24"/>
          <w:szCs w:val="24"/>
        </w:rPr>
        <w:footnoteReference w:id="62"/>
      </w:r>
      <w:r w:rsidR="00CF5AF3">
        <w:rPr>
          <w:b/>
          <w:sz w:val="24"/>
          <w:szCs w:val="24"/>
        </w:rPr>
        <w:t xml:space="preserve"> </w:t>
      </w:r>
      <w:r w:rsidR="00CF5AF3">
        <w:rPr>
          <w:bCs/>
          <w:sz w:val="24"/>
          <w:szCs w:val="24"/>
        </w:rPr>
        <w:t xml:space="preserve">y </w:t>
      </w:r>
      <w:r w:rsidR="00EC1BC4" w:rsidRPr="00EC1BC4">
        <w:rPr>
          <w:b/>
          <w:sz w:val="24"/>
          <w:szCs w:val="24"/>
        </w:rPr>
        <w:t>Dan Matías González García</w:t>
      </w:r>
      <w:r w:rsidR="00EC1BC4" w:rsidRPr="00EC1BC4">
        <w:rPr>
          <w:rStyle w:val="Refdenotaalpie"/>
          <w:bCs/>
          <w:sz w:val="24"/>
          <w:szCs w:val="24"/>
        </w:rPr>
        <w:footnoteReference w:id="63"/>
      </w:r>
      <w:r w:rsidR="00EC1BC4">
        <w:rPr>
          <w:bCs/>
          <w:sz w:val="24"/>
          <w:szCs w:val="24"/>
        </w:rPr>
        <w:t xml:space="preserve"> solicitaron</w:t>
      </w:r>
      <w:r w:rsidR="0031411A">
        <w:rPr>
          <w:bCs/>
          <w:sz w:val="24"/>
          <w:szCs w:val="24"/>
        </w:rPr>
        <w:t xml:space="preserve"> al juez constitucional que lo</w:t>
      </w:r>
      <w:r w:rsidR="00EC1BC4">
        <w:rPr>
          <w:bCs/>
          <w:sz w:val="24"/>
          <w:szCs w:val="24"/>
        </w:rPr>
        <w:t>s</w:t>
      </w:r>
      <w:r w:rsidR="0031411A">
        <w:rPr>
          <w:bCs/>
          <w:sz w:val="24"/>
          <w:szCs w:val="24"/>
        </w:rPr>
        <w:t xml:space="preserve"> reconozca como coadyuvante</w:t>
      </w:r>
      <w:r w:rsidR="00EC1BC4">
        <w:rPr>
          <w:bCs/>
          <w:sz w:val="24"/>
          <w:szCs w:val="24"/>
        </w:rPr>
        <w:t>s</w:t>
      </w:r>
      <w:r w:rsidR="0031411A">
        <w:rPr>
          <w:bCs/>
          <w:sz w:val="24"/>
          <w:szCs w:val="24"/>
        </w:rPr>
        <w:t xml:space="preserve">, </w:t>
      </w:r>
      <w:r w:rsidR="007238F0">
        <w:rPr>
          <w:bCs/>
          <w:sz w:val="24"/>
          <w:szCs w:val="24"/>
        </w:rPr>
        <w:t>pues,</w:t>
      </w:r>
      <w:r w:rsidR="00EC1BC4">
        <w:rPr>
          <w:bCs/>
          <w:sz w:val="24"/>
          <w:szCs w:val="24"/>
        </w:rPr>
        <w:t xml:space="preserve"> según</w:t>
      </w:r>
      <w:r w:rsidR="0031411A">
        <w:rPr>
          <w:bCs/>
          <w:sz w:val="24"/>
          <w:szCs w:val="24"/>
        </w:rPr>
        <w:t xml:space="preserve"> afirm</w:t>
      </w:r>
      <w:r w:rsidR="00EC1BC4">
        <w:rPr>
          <w:bCs/>
          <w:sz w:val="24"/>
          <w:szCs w:val="24"/>
        </w:rPr>
        <w:t>aron,</w:t>
      </w:r>
      <w:r w:rsidR="0031411A">
        <w:rPr>
          <w:bCs/>
          <w:sz w:val="24"/>
          <w:szCs w:val="24"/>
        </w:rPr>
        <w:t xml:space="preserve"> tiene</w:t>
      </w:r>
      <w:r w:rsidR="00EC1BC4">
        <w:rPr>
          <w:bCs/>
          <w:sz w:val="24"/>
          <w:szCs w:val="24"/>
        </w:rPr>
        <w:t>n</w:t>
      </w:r>
      <w:r w:rsidR="0031411A">
        <w:rPr>
          <w:bCs/>
          <w:sz w:val="24"/>
          <w:szCs w:val="24"/>
        </w:rPr>
        <w:t xml:space="preserve"> interés legítimo en el resultado de la acción de tutela, en tanto </w:t>
      </w:r>
      <w:r w:rsidR="00EC1BC4">
        <w:rPr>
          <w:bCs/>
          <w:sz w:val="24"/>
          <w:szCs w:val="24"/>
        </w:rPr>
        <w:t>son</w:t>
      </w:r>
      <w:r w:rsidR="0031411A">
        <w:rPr>
          <w:bCs/>
          <w:sz w:val="24"/>
          <w:szCs w:val="24"/>
        </w:rPr>
        <w:t xml:space="preserve"> aspirante</w:t>
      </w:r>
      <w:r w:rsidR="00EC1BC4">
        <w:rPr>
          <w:bCs/>
          <w:sz w:val="24"/>
          <w:szCs w:val="24"/>
        </w:rPr>
        <w:t>s</w:t>
      </w:r>
      <w:r w:rsidR="0031411A">
        <w:rPr>
          <w:bCs/>
          <w:sz w:val="24"/>
          <w:szCs w:val="24"/>
        </w:rPr>
        <w:t xml:space="preserve"> </w:t>
      </w:r>
      <w:r w:rsidR="00EC1BC4">
        <w:rPr>
          <w:bCs/>
          <w:sz w:val="24"/>
          <w:szCs w:val="24"/>
        </w:rPr>
        <w:t>al</w:t>
      </w:r>
      <w:r w:rsidR="0031411A">
        <w:rPr>
          <w:bCs/>
          <w:sz w:val="24"/>
          <w:szCs w:val="24"/>
        </w:rPr>
        <w:t xml:space="preserve"> cargo de Juez Promiscuo Municipal en la Convocatoria 27. También pidi</w:t>
      </w:r>
      <w:r w:rsidR="00EC1BC4">
        <w:rPr>
          <w:bCs/>
          <w:sz w:val="24"/>
          <w:szCs w:val="24"/>
        </w:rPr>
        <w:t>eron: (i)</w:t>
      </w:r>
      <w:r w:rsidR="0031411A">
        <w:rPr>
          <w:bCs/>
          <w:sz w:val="24"/>
          <w:szCs w:val="24"/>
        </w:rPr>
        <w:t xml:space="preserve"> que se concedan las pretensiones de la solicitud de amparo con efectos </w:t>
      </w:r>
      <w:r w:rsidR="0031411A" w:rsidRPr="0031411A">
        <w:rPr>
          <w:bCs/>
          <w:i/>
          <w:iCs/>
          <w:sz w:val="24"/>
          <w:szCs w:val="24"/>
        </w:rPr>
        <w:t xml:space="preserve">inter </w:t>
      </w:r>
      <w:proofErr w:type="spellStart"/>
      <w:r w:rsidR="0031411A" w:rsidRPr="0031411A">
        <w:rPr>
          <w:bCs/>
          <w:i/>
          <w:iCs/>
          <w:sz w:val="24"/>
          <w:szCs w:val="24"/>
        </w:rPr>
        <w:t>comunis</w:t>
      </w:r>
      <w:proofErr w:type="spellEnd"/>
      <w:r w:rsidR="00EC1BC4">
        <w:rPr>
          <w:bCs/>
          <w:sz w:val="24"/>
          <w:szCs w:val="24"/>
        </w:rPr>
        <w:t>; (</w:t>
      </w:r>
      <w:proofErr w:type="spellStart"/>
      <w:r w:rsidR="00EC1BC4">
        <w:rPr>
          <w:bCs/>
          <w:sz w:val="24"/>
          <w:szCs w:val="24"/>
        </w:rPr>
        <w:t>ii</w:t>
      </w:r>
      <w:proofErr w:type="spellEnd"/>
      <w:r w:rsidR="00EC1BC4">
        <w:rPr>
          <w:bCs/>
          <w:sz w:val="24"/>
          <w:szCs w:val="24"/>
        </w:rPr>
        <w:t xml:space="preserve">) </w:t>
      </w:r>
      <w:r w:rsidR="0031411A">
        <w:rPr>
          <w:bCs/>
          <w:sz w:val="24"/>
          <w:szCs w:val="24"/>
        </w:rPr>
        <w:t xml:space="preserve">que </w:t>
      </w:r>
      <w:r w:rsidR="00EC1BC4">
        <w:rPr>
          <w:bCs/>
          <w:sz w:val="24"/>
          <w:szCs w:val="24"/>
        </w:rPr>
        <w:t xml:space="preserve">se </w:t>
      </w:r>
      <w:r w:rsidR="0031411A">
        <w:rPr>
          <w:bCs/>
          <w:sz w:val="24"/>
          <w:szCs w:val="24"/>
        </w:rPr>
        <w:t xml:space="preserve">ordene a la autoridad contra la que se dirigió la acción, que resuelva de fondo las peticiones y los recursos de reposición presentados, y </w:t>
      </w:r>
      <w:r w:rsidR="00EC1BC4">
        <w:rPr>
          <w:bCs/>
          <w:sz w:val="24"/>
          <w:szCs w:val="24"/>
        </w:rPr>
        <w:t xml:space="preserve">(iii) </w:t>
      </w:r>
      <w:r w:rsidR="0031411A">
        <w:rPr>
          <w:bCs/>
          <w:sz w:val="24"/>
          <w:szCs w:val="24"/>
        </w:rPr>
        <w:t xml:space="preserve">que </w:t>
      </w:r>
      <w:r w:rsidR="00EC1BC4">
        <w:rPr>
          <w:bCs/>
          <w:sz w:val="24"/>
          <w:szCs w:val="24"/>
        </w:rPr>
        <w:t>se ordene repetir la prueba de conocimientos y aptitudes</w:t>
      </w:r>
      <w:r w:rsidR="0031411A">
        <w:rPr>
          <w:bCs/>
          <w:sz w:val="24"/>
          <w:szCs w:val="24"/>
        </w:rPr>
        <w:t>.</w:t>
      </w:r>
      <w:r w:rsidR="00EC1BC4">
        <w:rPr>
          <w:bCs/>
          <w:sz w:val="24"/>
          <w:szCs w:val="24"/>
        </w:rPr>
        <w:t xml:space="preserve"> Los interesados dirigieron la mayoría de sus argumentos </w:t>
      </w:r>
      <w:r w:rsidR="00E76F32">
        <w:rPr>
          <w:bCs/>
          <w:sz w:val="24"/>
          <w:szCs w:val="24"/>
        </w:rPr>
        <w:t>en contra de la Resolución</w:t>
      </w:r>
      <w:r w:rsidR="0031411A">
        <w:rPr>
          <w:bCs/>
          <w:sz w:val="24"/>
          <w:szCs w:val="24"/>
        </w:rPr>
        <w:t xml:space="preserve"> </w:t>
      </w:r>
      <w:r w:rsidR="00E76F32" w:rsidRPr="00E76F32">
        <w:rPr>
          <w:bCs/>
          <w:sz w:val="24"/>
          <w:szCs w:val="24"/>
        </w:rPr>
        <w:t>CJR23-0042 del 16 de enero de 2023,</w:t>
      </w:r>
      <w:r w:rsidR="00E76F32">
        <w:rPr>
          <w:bCs/>
          <w:sz w:val="24"/>
          <w:szCs w:val="24"/>
        </w:rPr>
        <w:t xml:space="preserve"> en la que se</w:t>
      </w:r>
      <w:r w:rsidR="00E76F32" w:rsidRPr="00E76F32">
        <w:rPr>
          <w:bCs/>
          <w:sz w:val="24"/>
          <w:szCs w:val="24"/>
        </w:rPr>
        <w:t xml:space="preserve"> resolvi</w:t>
      </w:r>
      <w:r w:rsidR="00E76F32">
        <w:rPr>
          <w:bCs/>
          <w:sz w:val="24"/>
          <w:szCs w:val="24"/>
        </w:rPr>
        <w:t>eron</w:t>
      </w:r>
      <w:r w:rsidR="00E76F32" w:rsidRPr="00E76F32">
        <w:rPr>
          <w:bCs/>
          <w:sz w:val="24"/>
          <w:szCs w:val="24"/>
        </w:rPr>
        <w:t xml:space="preserve"> los recursos de reposición que se presentaron en contra de la Resolución CJR22-0351 de 1º de septiembre de 2022</w:t>
      </w:r>
      <w:r w:rsidR="00E76F32">
        <w:rPr>
          <w:bCs/>
          <w:sz w:val="24"/>
          <w:szCs w:val="24"/>
        </w:rPr>
        <w:t>.</w:t>
      </w:r>
    </w:p>
    <w:p w14:paraId="0C310FF6" w14:textId="77777777" w:rsidR="00926AB0" w:rsidRDefault="00926AB0" w:rsidP="00E76F32">
      <w:pPr>
        <w:widowControl w:val="0"/>
        <w:tabs>
          <w:tab w:val="left" w:pos="851"/>
        </w:tabs>
        <w:spacing w:before="240" w:after="240" w:line="240" w:lineRule="auto"/>
        <w:ind w:right="51"/>
        <w:jc w:val="center"/>
        <w:rPr>
          <w:rFonts w:ascii="Arial" w:hAnsi="Arial" w:cs="Arial"/>
          <w:b/>
          <w:bCs/>
          <w:sz w:val="24"/>
          <w:szCs w:val="24"/>
        </w:rPr>
      </w:pPr>
      <w:r w:rsidRPr="00950502">
        <w:rPr>
          <w:rFonts w:ascii="Arial" w:hAnsi="Arial" w:cs="Arial"/>
          <w:b/>
          <w:bCs/>
          <w:sz w:val="24"/>
          <w:szCs w:val="24"/>
        </w:rPr>
        <w:t>II. CONSIDERACIONES</w:t>
      </w:r>
    </w:p>
    <w:p w14:paraId="513E0232" w14:textId="57E37E3A" w:rsidR="00926AB0" w:rsidRDefault="00926AB0" w:rsidP="00E76F32">
      <w:pPr>
        <w:widowControl w:val="0"/>
        <w:tabs>
          <w:tab w:val="left" w:pos="851"/>
        </w:tabs>
        <w:spacing w:before="240" w:after="240" w:line="240" w:lineRule="auto"/>
        <w:ind w:right="51"/>
        <w:jc w:val="both"/>
        <w:rPr>
          <w:rFonts w:ascii="Arial" w:hAnsi="Arial" w:cs="Arial"/>
          <w:b/>
          <w:bCs/>
          <w:sz w:val="24"/>
          <w:szCs w:val="24"/>
        </w:rPr>
      </w:pPr>
      <w:r w:rsidRPr="00950502">
        <w:rPr>
          <w:rFonts w:ascii="Arial" w:hAnsi="Arial" w:cs="Arial"/>
          <w:b/>
          <w:bCs/>
          <w:sz w:val="24"/>
          <w:szCs w:val="24"/>
        </w:rPr>
        <w:t xml:space="preserve">2.1. </w:t>
      </w:r>
      <w:r w:rsidR="00B8405B">
        <w:rPr>
          <w:rFonts w:ascii="Arial" w:hAnsi="Arial" w:cs="Arial"/>
          <w:b/>
          <w:bCs/>
          <w:sz w:val="24"/>
          <w:szCs w:val="24"/>
        </w:rPr>
        <w:t>Competencia</w:t>
      </w:r>
    </w:p>
    <w:p w14:paraId="1C270D45" w14:textId="775C1C67" w:rsidR="007238F0" w:rsidRDefault="007238F0" w:rsidP="007238F0">
      <w:pPr>
        <w:widowControl w:val="0"/>
        <w:tabs>
          <w:tab w:val="left" w:pos="851"/>
        </w:tabs>
        <w:spacing w:before="240" w:after="240" w:line="240" w:lineRule="auto"/>
        <w:ind w:right="51"/>
        <w:jc w:val="both"/>
        <w:rPr>
          <w:rFonts w:ascii="Arial" w:hAnsi="Arial" w:cs="Arial"/>
          <w:sz w:val="24"/>
          <w:szCs w:val="24"/>
          <w:lang w:val="es-ES_tradnl"/>
        </w:rPr>
      </w:pPr>
      <w:r w:rsidRPr="007238F0">
        <w:rPr>
          <w:rFonts w:ascii="Arial" w:hAnsi="Arial" w:cs="Arial"/>
          <w:sz w:val="24"/>
          <w:szCs w:val="24"/>
          <w:lang w:val="es-ES_tradnl"/>
        </w:rPr>
        <w:t>La Sala es competente para conocer del amparo constitucional deprecado por la parte actora, en virtud de lo dispuesto en el artículo 86 de la Constitución Política de Colombia y en el artículo 37 del Decreto 2591 de 1991.</w:t>
      </w:r>
    </w:p>
    <w:p w14:paraId="23BA860B" w14:textId="0E4DEAB8" w:rsidR="005F66CB" w:rsidRDefault="005F66CB" w:rsidP="007238F0">
      <w:pPr>
        <w:widowControl w:val="0"/>
        <w:tabs>
          <w:tab w:val="left" w:pos="851"/>
        </w:tabs>
        <w:spacing w:before="240" w:after="240" w:line="240" w:lineRule="auto"/>
        <w:ind w:right="51"/>
        <w:jc w:val="both"/>
        <w:rPr>
          <w:rFonts w:ascii="Arial" w:hAnsi="Arial" w:cs="Arial"/>
          <w:b/>
          <w:bCs/>
          <w:sz w:val="24"/>
          <w:szCs w:val="24"/>
          <w:lang w:val="es-ES_tradnl"/>
        </w:rPr>
      </w:pPr>
      <w:r w:rsidRPr="005F66CB">
        <w:rPr>
          <w:rFonts w:ascii="Arial" w:hAnsi="Arial" w:cs="Arial"/>
          <w:b/>
          <w:bCs/>
          <w:sz w:val="24"/>
          <w:szCs w:val="24"/>
          <w:lang w:val="es-ES_tradnl"/>
        </w:rPr>
        <w:t>2.2. Procedibilidad de la acción</w:t>
      </w:r>
    </w:p>
    <w:p w14:paraId="367C4932" w14:textId="77777777" w:rsidR="00155049" w:rsidRDefault="009E58E8" w:rsidP="009E58E8">
      <w:pPr>
        <w:widowControl w:val="0"/>
        <w:tabs>
          <w:tab w:val="left" w:pos="851"/>
        </w:tabs>
        <w:spacing w:before="240" w:after="240" w:line="240" w:lineRule="auto"/>
        <w:ind w:right="51"/>
        <w:jc w:val="both"/>
        <w:rPr>
          <w:rFonts w:ascii="Arial" w:hAnsi="Arial" w:cs="Arial"/>
          <w:sz w:val="24"/>
          <w:szCs w:val="24"/>
        </w:rPr>
      </w:pPr>
      <w:r w:rsidRPr="009E58E8">
        <w:rPr>
          <w:rFonts w:ascii="Arial" w:hAnsi="Arial" w:cs="Arial"/>
          <w:sz w:val="24"/>
          <w:szCs w:val="24"/>
        </w:rPr>
        <w:t>La acción de tutela, dispuesta en el artículo 86 de la Constitución Política es un mecanismo preferente y sumario que toda persona tiene a su alcance para reclamar la protección inmediata de los derechos constitucionales vulnerados o amenazados por la acción u omisión de cualquier autoridad pública o de un particular, en los casos que establece la ley</w:t>
      </w:r>
      <w:r w:rsidRPr="009E58E8">
        <w:rPr>
          <w:rFonts w:ascii="Arial" w:hAnsi="Arial" w:cs="Arial"/>
          <w:sz w:val="24"/>
          <w:szCs w:val="24"/>
          <w:vertAlign w:val="superscript"/>
        </w:rPr>
        <w:footnoteReference w:id="64"/>
      </w:r>
      <w:r w:rsidRPr="009E58E8">
        <w:rPr>
          <w:rFonts w:ascii="Arial" w:hAnsi="Arial" w:cs="Arial"/>
          <w:sz w:val="24"/>
          <w:szCs w:val="24"/>
        </w:rPr>
        <w:t xml:space="preserve">.  </w:t>
      </w:r>
    </w:p>
    <w:p w14:paraId="69BE6176" w14:textId="7CB5E161" w:rsidR="009E58E8" w:rsidRPr="009E58E8" w:rsidRDefault="009E58E8" w:rsidP="009E58E8">
      <w:pPr>
        <w:widowControl w:val="0"/>
        <w:tabs>
          <w:tab w:val="left" w:pos="851"/>
        </w:tabs>
        <w:spacing w:before="240" w:after="240" w:line="240" w:lineRule="auto"/>
        <w:ind w:right="51"/>
        <w:jc w:val="both"/>
        <w:rPr>
          <w:rFonts w:ascii="Arial" w:hAnsi="Arial" w:cs="Arial"/>
          <w:sz w:val="24"/>
          <w:szCs w:val="24"/>
        </w:rPr>
      </w:pPr>
      <w:r w:rsidRPr="009E58E8">
        <w:rPr>
          <w:rFonts w:ascii="Arial" w:hAnsi="Arial" w:cs="Arial"/>
          <w:sz w:val="24"/>
          <w:szCs w:val="24"/>
        </w:rPr>
        <w:t xml:space="preserve">En ese orden, es preciso revisar si, en el caso </w:t>
      </w:r>
      <w:r w:rsidR="005D5DA2">
        <w:rPr>
          <w:rFonts w:ascii="Arial" w:hAnsi="Arial" w:cs="Arial"/>
          <w:i/>
          <w:iCs/>
          <w:sz w:val="24"/>
          <w:szCs w:val="24"/>
        </w:rPr>
        <w:t>sub j</w:t>
      </w:r>
      <w:r w:rsidRPr="009E58E8">
        <w:rPr>
          <w:rFonts w:ascii="Arial" w:hAnsi="Arial" w:cs="Arial"/>
          <w:i/>
          <w:iCs/>
          <w:sz w:val="24"/>
          <w:szCs w:val="24"/>
        </w:rPr>
        <w:t>udice</w:t>
      </w:r>
      <w:r w:rsidRPr="009E58E8">
        <w:rPr>
          <w:rFonts w:ascii="Arial" w:hAnsi="Arial" w:cs="Arial"/>
          <w:sz w:val="24"/>
          <w:szCs w:val="24"/>
        </w:rPr>
        <w:t xml:space="preserve">, se encuentran superados los requisitos de procedibilidad de la acción de tutela. </w:t>
      </w:r>
    </w:p>
    <w:p w14:paraId="5E325C79" w14:textId="3EC4AC92" w:rsidR="006D341D" w:rsidRDefault="009E58E8" w:rsidP="007238F0">
      <w:pPr>
        <w:widowControl w:val="0"/>
        <w:tabs>
          <w:tab w:val="left" w:pos="851"/>
        </w:tabs>
        <w:spacing w:before="240" w:after="240" w:line="240" w:lineRule="auto"/>
        <w:ind w:right="51"/>
        <w:jc w:val="both"/>
        <w:rPr>
          <w:rFonts w:ascii="Arial" w:hAnsi="Arial" w:cs="Arial"/>
          <w:sz w:val="24"/>
          <w:szCs w:val="24"/>
          <w:lang w:val="es-ES_tradnl"/>
        </w:rPr>
      </w:pPr>
      <w:r w:rsidRPr="009E58E8">
        <w:rPr>
          <w:rFonts w:ascii="Arial" w:hAnsi="Arial" w:cs="Arial"/>
          <w:sz w:val="24"/>
          <w:szCs w:val="24"/>
          <w:lang w:val="es-ES_tradnl"/>
        </w:rPr>
        <w:t>2.2.1.</w:t>
      </w:r>
      <w:r>
        <w:rPr>
          <w:rFonts w:ascii="Arial" w:hAnsi="Arial" w:cs="Arial"/>
          <w:sz w:val="24"/>
          <w:szCs w:val="24"/>
          <w:lang w:val="es-ES_tradnl"/>
        </w:rPr>
        <w:t xml:space="preserve"> En el presente asunto, Nelson Julián </w:t>
      </w:r>
      <w:r w:rsidR="007936D7">
        <w:rPr>
          <w:rFonts w:ascii="Arial" w:hAnsi="Arial" w:cs="Arial"/>
          <w:sz w:val="24"/>
          <w:szCs w:val="24"/>
          <w:lang w:val="es-ES_tradnl"/>
        </w:rPr>
        <w:t xml:space="preserve">Valencia </w:t>
      </w:r>
      <w:r>
        <w:rPr>
          <w:rFonts w:ascii="Arial" w:hAnsi="Arial" w:cs="Arial"/>
          <w:sz w:val="24"/>
          <w:szCs w:val="24"/>
          <w:lang w:val="es-ES_tradnl"/>
        </w:rPr>
        <w:t xml:space="preserve">Zamora </w:t>
      </w:r>
      <w:r w:rsidRPr="009E58E8">
        <w:rPr>
          <w:rFonts w:ascii="Arial" w:hAnsi="Arial" w:cs="Arial"/>
          <w:b/>
          <w:bCs/>
          <w:sz w:val="24"/>
          <w:szCs w:val="24"/>
          <w:lang w:val="es-ES_tradnl"/>
        </w:rPr>
        <w:t>está legitimado en la causa por activa</w:t>
      </w:r>
      <w:r>
        <w:rPr>
          <w:rFonts w:ascii="Arial" w:hAnsi="Arial" w:cs="Arial"/>
          <w:sz w:val="24"/>
          <w:szCs w:val="24"/>
          <w:lang w:val="es-ES_tradnl"/>
        </w:rPr>
        <w:t>, en la medida en que es el titular de los derechos fundamentales cuya protección solicitó en el escrito de tutela.</w:t>
      </w:r>
    </w:p>
    <w:p w14:paraId="3B324B22" w14:textId="4236D99A" w:rsidR="009E58E8" w:rsidRDefault="009E58E8" w:rsidP="007238F0">
      <w:pPr>
        <w:widowControl w:val="0"/>
        <w:tabs>
          <w:tab w:val="left" w:pos="851"/>
        </w:tabs>
        <w:spacing w:before="240" w:after="240" w:line="240" w:lineRule="auto"/>
        <w:ind w:right="51"/>
        <w:jc w:val="both"/>
        <w:rPr>
          <w:rFonts w:ascii="Arial" w:hAnsi="Arial" w:cs="Arial"/>
          <w:sz w:val="24"/>
          <w:szCs w:val="24"/>
          <w:lang w:val="es-ES_tradnl"/>
        </w:rPr>
      </w:pPr>
      <w:r>
        <w:rPr>
          <w:rFonts w:ascii="Arial" w:hAnsi="Arial" w:cs="Arial"/>
          <w:sz w:val="24"/>
          <w:szCs w:val="24"/>
          <w:lang w:val="es-ES_tradnl"/>
        </w:rPr>
        <w:t xml:space="preserve">Por su parte, la Unidad de Administración de Carrera Judicial del Consejo Superior de la Judicatura se encuentra </w:t>
      </w:r>
      <w:r w:rsidRPr="009E58E8">
        <w:rPr>
          <w:rFonts w:ascii="Arial" w:hAnsi="Arial" w:cs="Arial"/>
          <w:b/>
          <w:bCs/>
          <w:sz w:val="24"/>
          <w:szCs w:val="24"/>
          <w:lang w:val="es-ES_tradnl"/>
        </w:rPr>
        <w:t>legitimad</w:t>
      </w:r>
      <w:r w:rsidR="00155049">
        <w:rPr>
          <w:rFonts w:ascii="Arial" w:hAnsi="Arial" w:cs="Arial"/>
          <w:b/>
          <w:bCs/>
          <w:sz w:val="24"/>
          <w:szCs w:val="24"/>
          <w:lang w:val="es-ES_tradnl"/>
        </w:rPr>
        <w:t>a</w:t>
      </w:r>
      <w:r w:rsidRPr="009E58E8">
        <w:rPr>
          <w:rFonts w:ascii="Arial" w:hAnsi="Arial" w:cs="Arial"/>
          <w:b/>
          <w:bCs/>
          <w:sz w:val="24"/>
          <w:szCs w:val="24"/>
          <w:lang w:val="es-ES_tradnl"/>
        </w:rPr>
        <w:t xml:space="preserve"> en la causa por pasiva</w:t>
      </w:r>
      <w:r>
        <w:rPr>
          <w:rFonts w:ascii="Arial" w:hAnsi="Arial" w:cs="Arial"/>
          <w:sz w:val="24"/>
          <w:szCs w:val="24"/>
          <w:lang w:val="es-ES_tradnl"/>
        </w:rPr>
        <w:t xml:space="preserve">, en tanto es la autoridad que </w:t>
      </w:r>
      <w:r w:rsidR="00370F4B">
        <w:rPr>
          <w:rFonts w:ascii="Arial" w:hAnsi="Arial" w:cs="Arial"/>
          <w:sz w:val="24"/>
          <w:szCs w:val="24"/>
          <w:lang w:val="es-ES_tradnl"/>
        </w:rPr>
        <w:t>tiene a su</w:t>
      </w:r>
      <w:r>
        <w:rPr>
          <w:rFonts w:ascii="Arial" w:hAnsi="Arial" w:cs="Arial"/>
          <w:sz w:val="24"/>
          <w:szCs w:val="24"/>
          <w:lang w:val="es-ES_tradnl"/>
        </w:rPr>
        <w:t xml:space="preserve"> cargo </w:t>
      </w:r>
      <w:r w:rsidR="00370F4B">
        <w:rPr>
          <w:rFonts w:ascii="Arial" w:hAnsi="Arial" w:cs="Arial"/>
          <w:sz w:val="24"/>
          <w:szCs w:val="24"/>
          <w:lang w:val="es-ES_tradnl"/>
        </w:rPr>
        <w:t xml:space="preserve">el desarrollo y la ejecución </w:t>
      </w:r>
      <w:r>
        <w:rPr>
          <w:rFonts w:ascii="Arial" w:hAnsi="Arial" w:cs="Arial"/>
          <w:sz w:val="24"/>
          <w:szCs w:val="24"/>
          <w:lang w:val="es-ES_tradnl"/>
        </w:rPr>
        <w:t>de la Convocatoria 27</w:t>
      </w:r>
      <w:r w:rsidR="002A73DE">
        <w:rPr>
          <w:rFonts w:ascii="Arial" w:hAnsi="Arial" w:cs="Arial"/>
          <w:sz w:val="24"/>
          <w:szCs w:val="24"/>
          <w:lang w:val="es-ES_tradnl"/>
        </w:rPr>
        <w:t xml:space="preserve"> para proveer cargos de funcionarios de la Rama Judicial.</w:t>
      </w:r>
    </w:p>
    <w:p w14:paraId="3C05EAAC" w14:textId="182BF3BC" w:rsidR="002A73DE" w:rsidRPr="009E58E8" w:rsidRDefault="002A73DE" w:rsidP="007238F0">
      <w:pPr>
        <w:widowControl w:val="0"/>
        <w:tabs>
          <w:tab w:val="left" w:pos="851"/>
        </w:tabs>
        <w:spacing w:before="240" w:after="240" w:line="240" w:lineRule="auto"/>
        <w:ind w:right="51"/>
        <w:jc w:val="both"/>
        <w:rPr>
          <w:rFonts w:ascii="Arial" w:hAnsi="Arial" w:cs="Arial"/>
          <w:sz w:val="24"/>
          <w:szCs w:val="24"/>
          <w:lang w:val="es-ES_tradnl"/>
        </w:rPr>
      </w:pPr>
      <w:r>
        <w:rPr>
          <w:rFonts w:ascii="Arial" w:hAnsi="Arial" w:cs="Arial"/>
          <w:sz w:val="24"/>
          <w:szCs w:val="24"/>
          <w:lang w:val="es-ES_tradnl"/>
        </w:rPr>
        <w:t xml:space="preserve">2.2.2. </w:t>
      </w:r>
      <w:r>
        <w:rPr>
          <w:rFonts w:ascii="Arial" w:eastAsia="Calibri" w:hAnsi="Arial" w:cs="Arial"/>
          <w:sz w:val="24"/>
          <w:szCs w:val="24"/>
          <w:lang w:eastAsia="es-ES_tradnl"/>
        </w:rPr>
        <w:t xml:space="preserve">El requisito de </w:t>
      </w:r>
      <w:r>
        <w:rPr>
          <w:rFonts w:ascii="Arial" w:eastAsia="Calibri" w:hAnsi="Arial" w:cs="Arial"/>
          <w:b/>
          <w:bCs/>
          <w:sz w:val="24"/>
          <w:szCs w:val="24"/>
          <w:lang w:eastAsia="es-ES_tradnl"/>
        </w:rPr>
        <w:t>inmediatez</w:t>
      </w:r>
      <w:r>
        <w:rPr>
          <w:rFonts w:ascii="Arial" w:eastAsia="Calibri" w:hAnsi="Arial" w:cs="Arial"/>
          <w:sz w:val="24"/>
          <w:szCs w:val="24"/>
          <w:lang w:eastAsia="es-ES_tradnl"/>
        </w:rPr>
        <w:t xml:space="preserve"> también se encuentra satisfecho, toda vez que el mecanismo de amparo fue presentado dentro del plazo razonable. Esto es así, puesto que </w:t>
      </w:r>
      <w:r>
        <w:rPr>
          <w:rFonts w:ascii="Arial" w:eastAsia="Times New Roman" w:hAnsi="Arial" w:cs="Arial"/>
          <w:sz w:val="24"/>
          <w:szCs w:val="24"/>
          <w:lang w:eastAsia="es-CO"/>
        </w:rPr>
        <w:t xml:space="preserve">Nelson Julián </w:t>
      </w:r>
      <w:r w:rsidR="007936D7">
        <w:rPr>
          <w:rFonts w:ascii="Arial" w:eastAsia="Times New Roman" w:hAnsi="Arial" w:cs="Arial"/>
          <w:sz w:val="24"/>
          <w:szCs w:val="24"/>
          <w:lang w:eastAsia="es-CO"/>
        </w:rPr>
        <w:t xml:space="preserve">Valencia </w:t>
      </w:r>
      <w:r>
        <w:rPr>
          <w:rFonts w:ascii="Arial" w:eastAsia="Times New Roman" w:hAnsi="Arial" w:cs="Arial"/>
          <w:sz w:val="24"/>
          <w:szCs w:val="24"/>
          <w:lang w:eastAsia="es-CO"/>
        </w:rPr>
        <w:t xml:space="preserve">Zamora </w:t>
      </w:r>
      <w:r w:rsidR="005D5DA2">
        <w:rPr>
          <w:rFonts w:ascii="Arial" w:eastAsia="Times New Roman" w:hAnsi="Arial" w:cs="Arial"/>
          <w:sz w:val="24"/>
          <w:szCs w:val="24"/>
          <w:lang w:eastAsia="es-CO"/>
        </w:rPr>
        <w:t>instauró</w:t>
      </w:r>
      <w:r>
        <w:rPr>
          <w:rFonts w:ascii="Arial" w:eastAsia="Calibri" w:hAnsi="Arial" w:cs="Arial"/>
          <w:sz w:val="24"/>
          <w:szCs w:val="24"/>
          <w:lang w:eastAsia="es-ES_tradnl"/>
        </w:rPr>
        <w:t xml:space="preserve"> la acción de tutela el 23 de enero de 2023</w:t>
      </w:r>
      <w:r>
        <w:rPr>
          <w:rStyle w:val="Refdenotaalpie"/>
          <w:rFonts w:ascii="Arial" w:eastAsia="Calibri" w:hAnsi="Arial" w:cs="Arial"/>
          <w:sz w:val="24"/>
          <w:szCs w:val="24"/>
          <w:lang w:eastAsia="es-ES_tradnl"/>
        </w:rPr>
        <w:footnoteReference w:id="65"/>
      </w:r>
      <w:r>
        <w:rPr>
          <w:rFonts w:ascii="Arial" w:eastAsia="Calibri" w:hAnsi="Arial" w:cs="Arial"/>
          <w:sz w:val="24"/>
          <w:szCs w:val="24"/>
          <w:lang w:eastAsia="es-ES_tradnl"/>
        </w:rPr>
        <w:t>, en contra de</w:t>
      </w:r>
      <w:r w:rsidR="00101F40">
        <w:rPr>
          <w:rFonts w:ascii="Arial" w:eastAsia="Calibri" w:hAnsi="Arial" w:cs="Arial"/>
          <w:sz w:val="24"/>
          <w:szCs w:val="24"/>
          <w:lang w:eastAsia="es-ES_tradnl"/>
        </w:rPr>
        <w:t>l</w:t>
      </w:r>
      <w:r>
        <w:rPr>
          <w:rFonts w:ascii="Arial" w:eastAsia="Calibri" w:hAnsi="Arial" w:cs="Arial"/>
          <w:sz w:val="24"/>
          <w:szCs w:val="24"/>
          <w:lang w:eastAsia="es-ES_tradnl"/>
        </w:rPr>
        <w:t xml:space="preserve"> </w:t>
      </w:r>
      <w:r w:rsidR="00101F40">
        <w:rPr>
          <w:rFonts w:ascii="Arial" w:eastAsia="Calibri" w:hAnsi="Arial" w:cs="Arial"/>
          <w:sz w:val="24"/>
          <w:szCs w:val="24"/>
          <w:lang w:eastAsia="es-ES_tradnl"/>
        </w:rPr>
        <w:t>O</w:t>
      </w:r>
      <w:r>
        <w:rPr>
          <w:rFonts w:ascii="Arial" w:eastAsia="Calibri" w:hAnsi="Arial" w:cs="Arial"/>
          <w:sz w:val="24"/>
          <w:szCs w:val="24"/>
          <w:lang w:eastAsia="es-ES_tradnl"/>
        </w:rPr>
        <w:t>ficio</w:t>
      </w:r>
      <w:r w:rsidR="00101F40">
        <w:rPr>
          <w:rFonts w:ascii="Arial" w:eastAsia="Calibri" w:hAnsi="Arial" w:cs="Arial"/>
          <w:sz w:val="24"/>
          <w:szCs w:val="24"/>
          <w:lang w:eastAsia="es-ES_tradnl"/>
        </w:rPr>
        <w:t xml:space="preserve"> CJ022-5613 del 20 de diciembre de 2022</w:t>
      </w:r>
      <w:r>
        <w:rPr>
          <w:rFonts w:ascii="Arial" w:eastAsia="Calibri" w:hAnsi="Arial" w:cs="Arial"/>
          <w:sz w:val="24"/>
          <w:szCs w:val="24"/>
          <w:lang w:eastAsia="es-ES_tradnl"/>
        </w:rPr>
        <w:t xml:space="preserve"> </w:t>
      </w:r>
      <w:r w:rsidR="00101F40">
        <w:rPr>
          <w:rFonts w:ascii="Arial" w:eastAsia="Calibri" w:hAnsi="Arial" w:cs="Arial"/>
          <w:sz w:val="24"/>
          <w:szCs w:val="24"/>
          <w:lang w:eastAsia="es-ES_tradnl"/>
        </w:rPr>
        <w:t>y de la Resolución CJR23-0042 del 16 de enero de 2023,</w:t>
      </w:r>
      <w:r>
        <w:rPr>
          <w:rFonts w:ascii="Arial" w:eastAsia="Calibri" w:hAnsi="Arial" w:cs="Arial"/>
          <w:sz w:val="24"/>
          <w:szCs w:val="24"/>
          <w:lang w:eastAsia="es-ES_tradnl"/>
        </w:rPr>
        <w:t xml:space="preserve"> emitidos por la </w:t>
      </w:r>
      <w:r w:rsidR="00101F40">
        <w:rPr>
          <w:rFonts w:ascii="Arial" w:eastAsia="Calibri" w:hAnsi="Arial" w:cs="Arial"/>
          <w:sz w:val="24"/>
          <w:szCs w:val="24"/>
          <w:lang w:eastAsia="es-ES_tradnl"/>
        </w:rPr>
        <w:t>Unidad de Administración de Carrera Judicial del Consejo Superior de la Judicatura</w:t>
      </w:r>
      <w:r>
        <w:rPr>
          <w:rFonts w:ascii="Arial" w:eastAsia="Calibri" w:hAnsi="Arial" w:cs="Arial"/>
          <w:sz w:val="24"/>
          <w:szCs w:val="24"/>
          <w:lang w:eastAsia="es-ES_tradnl"/>
        </w:rPr>
        <w:t xml:space="preserve">.  </w:t>
      </w:r>
    </w:p>
    <w:p w14:paraId="4D6E6045" w14:textId="549B2C11" w:rsidR="007238F0" w:rsidRDefault="00101F40" w:rsidP="00E76F32">
      <w:pPr>
        <w:widowControl w:val="0"/>
        <w:tabs>
          <w:tab w:val="left" w:pos="851"/>
        </w:tabs>
        <w:spacing w:before="240" w:after="240" w:line="240" w:lineRule="auto"/>
        <w:ind w:right="51"/>
        <w:jc w:val="both"/>
        <w:rPr>
          <w:rFonts w:ascii="Arial" w:eastAsia="Times New Roman" w:hAnsi="Arial" w:cs="Arial"/>
          <w:bCs/>
          <w:sz w:val="24"/>
          <w:szCs w:val="24"/>
          <w:lang w:val="es-ES_tradnl" w:eastAsia="es-ES"/>
        </w:rPr>
      </w:pPr>
      <w:r w:rsidRPr="00101F40">
        <w:rPr>
          <w:rFonts w:ascii="Arial" w:hAnsi="Arial" w:cs="Arial"/>
          <w:sz w:val="24"/>
          <w:szCs w:val="24"/>
        </w:rPr>
        <w:t>2.2.3.</w:t>
      </w:r>
      <w:r>
        <w:rPr>
          <w:rFonts w:ascii="Arial" w:eastAsia="Times New Roman" w:hAnsi="Arial" w:cs="Arial"/>
          <w:b/>
          <w:sz w:val="24"/>
          <w:szCs w:val="24"/>
          <w:lang w:val="es-ES_tradnl" w:eastAsia="es-ES"/>
        </w:rPr>
        <w:t xml:space="preserve"> </w:t>
      </w:r>
      <w:r w:rsidRPr="00101F40">
        <w:rPr>
          <w:rFonts w:ascii="Arial" w:eastAsia="Times New Roman" w:hAnsi="Arial" w:cs="Arial"/>
          <w:bCs/>
          <w:sz w:val="24"/>
          <w:szCs w:val="24"/>
          <w:lang w:val="es-ES_tradnl" w:eastAsia="es-ES"/>
        </w:rPr>
        <w:t xml:space="preserve">En relación con el requisito de </w:t>
      </w:r>
      <w:r w:rsidRPr="00101F40">
        <w:rPr>
          <w:rFonts w:ascii="Arial" w:eastAsia="Times New Roman" w:hAnsi="Arial" w:cs="Arial"/>
          <w:b/>
          <w:sz w:val="24"/>
          <w:szCs w:val="24"/>
          <w:lang w:val="es-ES_tradnl" w:eastAsia="es-ES"/>
        </w:rPr>
        <w:t>subsidiariedad</w:t>
      </w:r>
      <w:r w:rsidRPr="00101F40">
        <w:rPr>
          <w:rFonts w:ascii="Arial" w:eastAsia="Times New Roman" w:hAnsi="Arial" w:cs="Arial"/>
          <w:bCs/>
          <w:sz w:val="24"/>
          <w:szCs w:val="24"/>
          <w:lang w:val="es-ES_tradnl" w:eastAsia="es-ES"/>
        </w:rPr>
        <w:t>, la Sala advierte que</w:t>
      </w:r>
      <w:r w:rsidR="00155049">
        <w:rPr>
          <w:rFonts w:ascii="Arial" w:eastAsia="Times New Roman" w:hAnsi="Arial" w:cs="Arial"/>
          <w:bCs/>
          <w:sz w:val="24"/>
          <w:szCs w:val="24"/>
          <w:lang w:val="es-ES_tradnl" w:eastAsia="es-ES"/>
        </w:rPr>
        <w:t xml:space="preserve"> este presupuesto</w:t>
      </w:r>
      <w:r w:rsidRPr="00101F40">
        <w:rPr>
          <w:rFonts w:ascii="Arial" w:eastAsia="Times New Roman" w:hAnsi="Arial" w:cs="Arial"/>
          <w:bCs/>
          <w:sz w:val="24"/>
          <w:szCs w:val="24"/>
          <w:lang w:val="es-ES_tradnl" w:eastAsia="es-ES"/>
        </w:rPr>
        <w:t xml:space="preserve"> no se encuentra satisfecho, </w:t>
      </w:r>
      <w:r w:rsidR="00155049">
        <w:rPr>
          <w:rFonts w:ascii="Arial" w:eastAsia="Times New Roman" w:hAnsi="Arial" w:cs="Arial"/>
          <w:bCs/>
          <w:sz w:val="24"/>
          <w:szCs w:val="24"/>
          <w:lang w:val="es-ES_tradnl" w:eastAsia="es-ES"/>
        </w:rPr>
        <w:t>pues</w:t>
      </w:r>
      <w:r w:rsidRPr="00101F40">
        <w:rPr>
          <w:rFonts w:ascii="Arial" w:eastAsia="Times New Roman" w:hAnsi="Arial" w:cs="Arial"/>
          <w:bCs/>
          <w:sz w:val="24"/>
          <w:szCs w:val="24"/>
          <w:lang w:val="es-ES_tradnl" w:eastAsia="es-ES"/>
        </w:rPr>
        <w:t xml:space="preserve"> Nelson Julián Valencia Zamora cuenta con otros mecanismos de defensa judicial para la protección de los derechos invocados, como se explicará. </w:t>
      </w:r>
    </w:p>
    <w:p w14:paraId="0B636D76" w14:textId="4231BB5F" w:rsidR="004F7703" w:rsidRDefault="0090724A" w:rsidP="00E76F32">
      <w:pPr>
        <w:widowControl w:val="0"/>
        <w:tabs>
          <w:tab w:val="left" w:pos="851"/>
        </w:tabs>
        <w:spacing w:before="240" w:after="240" w:line="240" w:lineRule="auto"/>
        <w:ind w:right="51"/>
        <w:jc w:val="both"/>
        <w:rPr>
          <w:rFonts w:ascii="Arial" w:eastAsia="Times New Roman" w:hAnsi="Arial" w:cs="Arial"/>
          <w:bCs/>
          <w:sz w:val="24"/>
          <w:szCs w:val="24"/>
          <w:lang w:eastAsia="es-ES"/>
        </w:rPr>
      </w:pPr>
      <w:r>
        <w:rPr>
          <w:rFonts w:ascii="Arial" w:eastAsia="Times New Roman" w:hAnsi="Arial" w:cs="Arial"/>
          <w:bCs/>
          <w:sz w:val="24"/>
          <w:szCs w:val="24"/>
          <w:lang w:val="es-ES_tradnl" w:eastAsia="es-ES"/>
        </w:rPr>
        <w:t xml:space="preserve">2.2.3.1. </w:t>
      </w:r>
      <w:r w:rsidR="0021367E">
        <w:rPr>
          <w:rFonts w:ascii="Arial" w:eastAsia="Times New Roman" w:hAnsi="Arial" w:cs="Arial"/>
          <w:bCs/>
          <w:sz w:val="24"/>
          <w:szCs w:val="24"/>
          <w:lang w:val="es-ES_tradnl" w:eastAsia="es-ES"/>
        </w:rPr>
        <w:t xml:space="preserve">El señor </w:t>
      </w:r>
      <w:r w:rsidR="007936D7">
        <w:rPr>
          <w:rFonts w:ascii="Arial" w:eastAsia="Times New Roman" w:hAnsi="Arial" w:cs="Arial"/>
          <w:bCs/>
          <w:sz w:val="24"/>
          <w:szCs w:val="24"/>
          <w:lang w:val="es-ES_tradnl" w:eastAsia="es-ES"/>
        </w:rPr>
        <w:t xml:space="preserve">Valencia </w:t>
      </w:r>
      <w:r w:rsidR="0021367E">
        <w:rPr>
          <w:rFonts w:ascii="Arial" w:eastAsia="Times New Roman" w:hAnsi="Arial" w:cs="Arial"/>
          <w:bCs/>
          <w:sz w:val="24"/>
          <w:szCs w:val="24"/>
          <w:lang w:val="es-ES_tradnl" w:eastAsia="es-ES"/>
        </w:rPr>
        <w:t xml:space="preserve">Zamora cuestionó en su solicitud de amparo, los actos por medio de los cuales, la Unidad de Administración de Carrera Judicial del Consejo Superior de la Judicatura (i) resolvió los recursos de reposición que se presentaron en contra de la Resolución </w:t>
      </w:r>
      <w:r w:rsidR="00FD2F22" w:rsidRPr="00FD2F22">
        <w:rPr>
          <w:rFonts w:ascii="Arial" w:eastAsia="Times New Roman" w:hAnsi="Arial" w:cs="Arial"/>
          <w:bCs/>
          <w:sz w:val="24"/>
          <w:szCs w:val="24"/>
          <w:lang w:eastAsia="es-ES"/>
        </w:rPr>
        <w:t>CJR22-0351</w:t>
      </w:r>
      <w:r w:rsidR="00FD2F22">
        <w:rPr>
          <w:rFonts w:ascii="Arial" w:eastAsia="Times New Roman" w:hAnsi="Arial" w:cs="Arial"/>
          <w:bCs/>
          <w:sz w:val="24"/>
          <w:szCs w:val="24"/>
          <w:lang w:eastAsia="es-ES"/>
        </w:rPr>
        <w:t xml:space="preserve"> del 1º de septiembre de 2022 —Resolución</w:t>
      </w:r>
      <w:r w:rsidR="00FD2F22" w:rsidRPr="00FD2F22">
        <w:t xml:space="preserve"> </w:t>
      </w:r>
      <w:r w:rsidR="00FD2F22" w:rsidRPr="00FD2F22">
        <w:rPr>
          <w:rFonts w:ascii="Arial" w:eastAsia="Times New Roman" w:hAnsi="Arial" w:cs="Arial"/>
          <w:bCs/>
          <w:sz w:val="24"/>
          <w:szCs w:val="24"/>
          <w:lang w:eastAsia="es-ES"/>
        </w:rPr>
        <w:t>CJR23-0042</w:t>
      </w:r>
      <w:r w:rsidR="00FD2F22">
        <w:rPr>
          <w:rFonts w:ascii="Arial" w:eastAsia="Times New Roman" w:hAnsi="Arial" w:cs="Arial"/>
          <w:bCs/>
          <w:sz w:val="24"/>
          <w:szCs w:val="24"/>
          <w:lang w:eastAsia="es-ES"/>
        </w:rPr>
        <w:t xml:space="preserve"> del 16 de enero de 2023—</w:t>
      </w:r>
      <w:r w:rsidR="009928F2">
        <w:rPr>
          <w:rFonts w:ascii="Arial" w:eastAsia="Times New Roman" w:hAnsi="Arial" w:cs="Arial"/>
          <w:bCs/>
          <w:sz w:val="24"/>
          <w:szCs w:val="24"/>
          <w:lang w:eastAsia="es-ES"/>
        </w:rPr>
        <w:t>,</w:t>
      </w:r>
      <w:r w:rsidR="006419FC">
        <w:rPr>
          <w:rFonts w:ascii="Arial" w:eastAsia="Times New Roman" w:hAnsi="Arial" w:cs="Arial"/>
          <w:bCs/>
          <w:sz w:val="24"/>
          <w:szCs w:val="24"/>
          <w:lang w:eastAsia="es-ES"/>
        </w:rPr>
        <w:t xml:space="preserve"> </w:t>
      </w:r>
      <w:r w:rsidR="009928F2">
        <w:rPr>
          <w:rFonts w:ascii="Arial" w:eastAsia="Times New Roman" w:hAnsi="Arial" w:cs="Arial"/>
          <w:bCs/>
          <w:sz w:val="24"/>
          <w:szCs w:val="24"/>
          <w:lang w:eastAsia="es-ES"/>
        </w:rPr>
        <w:t xml:space="preserve">y (ii) </w:t>
      </w:r>
      <w:r w:rsidR="006419FC">
        <w:rPr>
          <w:rFonts w:ascii="Arial" w:eastAsia="Times New Roman" w:hAnsi="Arial" w:cs="Arial"/>
          <w:bCs/>
          <w:sz w:val="24"/>
          <w:szCs w:val="24"/>
          <w:lang w:eastAsia="es-ES"/>
        </w:rPr>
        <w:t>dio respuesta a la petición que formuló el 16 de diciembre de 2022, con el fin de que se dejara sin efectos lo actuado y repitiera la prueba de conocimientos y aptitudes</w:t>
      </w:r>
      <w:r w:rsidR="004F7703">
        <w:rPr>
          <w:rFonts w:ascii="Arial" w:eastAsia="Times New Roman" w:hAnsi="Arial" w:cs="Arial"/>
          <w:bCs/>
          <w:sz w:val="24"/>
          <w:szCs w:val="24"/>
          <w:lang w:eastAsia="es-ES"/>
        </w:rPr>
        <w:t>, con un operador técnico diferente a la Universidad Nacional de Colombia</w:t>
      </w:r>
      <w:r w:rsidR="006419FC">
        <w:rPr>
          <w:rFonts w:ascii="Arial" w:eastAsia="Times New Roman" w:hAnsi="Arial" w:cs="Arial"/>
          <w:bCs/>
          <w:sz w:val="24"/>
          <w:szCs w:val="24"/>
          <w:lang w:eastAsia="es-ES"/>
        </w:rPr>
        <w:t xml:space="preserve"> —Oficio CJ022-5613 del 20 de diciembre de 2022—. </w:t>
      </w:r>
    </w:p>
    <w:p w14:paraId="2D47BF21" w14:textId="5F29E365" w:rsidR="00101F40" w:rsidRDefault="006419FC" w:rsidP="00E76F32">
      <w:pPr>
        <w:widowControl w:val="0"/>
        <w:tabs>
          <w:tab w:val="left" w:pos="851"/>
        </w:tabs>
        <w:spacing w:before="240" w:after="240" w:line="240" w:lineRule="auto"/>
        <w:ind w:right="51"/>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En su criterio, la referida </w:t>
      </w:r>
      <w:r w:rsidR="004F7703">
        <w:rPr>
          <w:rFonts w:ascii="Arial" w:eastAsia="Times New Roman" w:hAnsi="Arial" w:cs="Arial"/>
          <w:bCs/>
          <w:sz w:val="24"/>
          <w:szCs w:val="24"/>
          <w:lang w:eastAsia="es-ES"/>
        </w:rPr>
        <w:t>Unidad</w:t>
      </w:r>
      <w:r>
        <w:rPr>
          <w:rFonts w:ascii="Arial" w:eastAsia="Times New Roman" w:hAnsi="Arial" w:cs="Arial"/>
          <w:bCs/>
          <w:sz w:val="24"/>
          <w:szCs w:val="24"/>
          <w:lang w:eastAsia="es-ES"/>
        </w:rPr>
        <w:t xml:space="preserve"> vulneró los derechos invocados </w:t>
      </w:r>
      <w:r w:rsidR="005F4087">
        <w:rPr>
          <w:rFonts w:ascii="Arial" w:eastAsia="Times New Roman" w:hAnsi="Arial" w:cs="Arial"/>
          <w:bCs/>
          <w:sz w:val="24"/>
          <w:szCs w:val="24"/>
          <w:lang w:eastAsia="es-ES"/>
        </w:rPr>
        <w:t>en la medida en que,</w:t>
      </w:r>
      <w:r w:rsidR="009B2747">
        <w:rPr>
          <w:rFonts w:ascii="Arial" w:eastAsia="Times New Roman" w:hAnsi="Arial" w:cs="Arial"/>
          <w:bCs/>
          <w:sz w:val="24"/>
          <w:szCs w:val="24"/>
          <w:lang w:eastAsia="es-ES"/>
        </w:rPr>
        <w:t xml:space="preserve"> por un lado, no dio respuesta de “forma congruente y de fondo” a los argumentos planteados en el recurso de reposición; y, por otro,</w:t>
      </w:r>
      <w:r w:rsidR="005F4087">
        <w:rPr>
          <w:rFonts w:ascii="Arial" w:eastAsia="Times New Roman" w:hAnsi="Arial" w:cs="Arial"/>
          <w:bCs/>
          <w:sz w:val="24"/>
          <w:szCs w:val="24"/>
          <w:lang w:eastAsia="es-ES"/>
        </w:rPr>
        <w:t xml:space="preserve"> con tales decisiones, negó la posibilidad de repetir la prueba de conocimientos y aptitudes, y de llevar a cabo el concurso con un operador diferente a la Universidad Nacional de Colombia, a pesar de los numerosos errores que los aspirantes al cargo de Juez Promiscuo Municipal </w:t>
      </w:r>
      <w:r w:rsidR="00CC1307">
        <w:rPr>
          <w:rFonts w:ascii="Arial" w:eastAsia="Times New Roman" w:hAnsi="Arial" w:cs="Arial"/>
          <w:bCs/>
          <w:sz w:val="24"/>
          <w:szCs w:val="24"/>
          <w:lang w:eastAsia="es-ES"/>
        </w:rPr>
        <w:t>han expuesto</w:t>
      </w:r>
      <w:r w:rsidR="005F4087">
        <w:rPr>
          <w:rFonts w:ascii="Arial" w:eastAsia="Times New Roman" w:hAnsi="Arial" w:cs="Arial"/>
          <w:bCs/>
          <w:sz w:val="24"/>
          <w:szCs w:val="24"/>
          <w:lang w:eastAsia="es-ES"/>
        </w:rPr>
        <w:t xml:space="preserve"> en sus recursos de reposición</w:t>
      </w:r>
      <w:r w:rsidR="009B2747">
        <w:rPr>
          <w:rFonts w:ascii="Arial" w:eastAsia="Times New Roman" w:hAnsi="Arial" w:cs="Arial"/>
          <w:bCs/>
          <w:sz w:val="24"/>
          <w:szCs w:val="24"/>
          <w:lang w:eastAsia="es-ES"/>
        </w:rPr>
        <w:t xml:space="preserve">. </w:t>
      </w:r>
    </w:p>
    <w:p w14:paraId="7CD6F57D" w14:textId="4FEB11A4" w:rsidR="009B2747" w:rsidRDefault="009B2747" w:rsidP="00E76F32">
      <w:pPr>
        <w:widowControl w:val="0"/>
        <w:tabs>
          <w:tab w:val="left" w:pos="851"/>
        </w:tabs>
        <w:spacing w:before="240" w:after="240" w:line="240" w:lineRule="auto"/>
        <w:ind w:right="51"/>
        <w:jc w:val="both"/>
        <w:rPr>
          <w:rFonts w:ascii="Arial" w:eastAsia="Times New Roman" w:hAnsi="Arial" w:cs="Arial"/>
          <w:color w:val="000000"/>
          <w:sz w:val="24"/>
          <w:szCs w:val="24"/>
          <w:lang w:val="es-ES_tradnl" w:eastAsia="es-ES"/>
        </w:rPr>
      </w:pPr>
      <w:r>
        <w:rPr>
          <w:rFonts w:ascii="Arial" w:eastAsia="Times New Roman" w:hAnsi="Arial" w:cs="Arial"/>
          <w:bCs/>
          <w:sz w:val="24"/>
          <w:szCs w:val="24"/>
          <w:lang w:val="es-ES_tradnl" w:eastAsia="es-ES"/>
        </w:rPr>
        <w:t xml:space="preserve">Frente a lo anterior, </w:t>
      </w:r>
      <w:r w:rsidR="004F7703">
        <w:rPr>
          <w:rFonts w:ascii="Arial" w:eastAsia="Times New Roman" w:hAnsi="Arial" w:cs="Arial"/>
          <w:bCs/>
          <w:sz w:val="24"/>
          <w:szCs w:val="24"/>
          <w:lang w:val="es-ES_tradnl" w:eastAsia="es-ES"/>
        </w:rPr>
        <w:t>la Subsección resalta</w:t>
      </w:r>
      <w:r>
        <w:rPr>
          <w:rFonts w:ascii="Arial" w:eastAsia="Times New Roman" w:hAnsi="Arial" w:cs="Arial"/>
          <w:bCs/>
          <w:sz w:val="24"/>
          <w:szCs w:val="24"/>
          <w:lang w:val="es-ES_tradnl" w:eastAsia="es-ES"/>
        </w:rPr>
        <w:t xml:space="preserve"> que la Corte Constitucional </w:t>
      </w:r>
      <w:r w:rsidR="008E7D69">
        <w:rPr>
          <w:rFonts w:ascii="Arial" w:eastAsia="Times New Roman" w:hAnsi="Arial" w:cs="Arial"/>
          <w:bCs/>
          <w:sz w:val="24"/>
          <w:szCs w:val="24"/>
          <w:lang w:val="es-ES_tradnl" w:eastAsia="es-ES"/>
        </w:rPr>
        <w:t>ha indicado que, por regla general,</w:t>
      </w:r>
      <w:r w:rsidR="008E7D69" w:rsidRPr="008E7D69">
        <w:rPr>
          <w:rFonts w:ascii="Arial" w:eastAsia="Times New Roman" w:hAnsi="Arial" w:cs="Arial"/>
          <w:color w:val="000000"/>
          <w:sz w:val="24"/>
          <w:szCs w:val="24"/>
          <w:lang w:val="es-ES_tradnl" w:eastAsia="es-ES"/>
        </w:rPr>
        <w:t xml:space="preserve"> la acción de tutela no procede en contra de los actos administrativos que reglamentan o ejecutan un proceso de concurso de méritos</w:t>
      </w:r>
      <w:r w:rsidR="00022BDE">
        <w:rPr>
          <w:rFonts w:ascii="Arial" w:eastAsia="Times New Roman" w:hAnsi="Arial" w:cs="Arial"/>
          <w:color w:val="000000"/>
          <w:sz w:val="24"/>
          <w:szCs w:val="24"/>
          <w:lang w:val="es-ES_tradnl" w:eastAsia="es-ES"/>
        </w:rPr>
        <w:t>, salvo las siguientes excepciones:</w:t>
      </w:r>
    </w:p>
    <w:p w14:paraId="37753CAD" w14:textId="77777777" w:rsidR="00022BDE" w:rsidRPr="00703409" w:rsidRDefault="00022BDE" w:rsidP="00022BDE">
      <w:pPr>
        <w:overflowPunct w:val="0"/>
        <w:autoSpaceDE w:val="0"/>
        <w:autoSpaceDN w:val="0"/>
        <w:adjustRightInd w:val="0"/>
        <w:spacing w:line="240" w:lineRule="auto"/>
        <w:ind w:left="708"/>
        <w:contextualSpacing/>
        <w:jc w:val="both"/>
        <w:rPr>
          <w:rFonts w:ascii="Arial" w:eastAsia="Times New Roman" w:hAnsi="Arial" w:cs="Arial"/>
          <w:color w:val="000000" w:themeColor="text1"/>
          <w:lang w:eastAsia="es-ES"/>
        </w:rPr>
      </w:pPr>
      <w:r w:rsidRPr="00703409">
        <w:rPr>
          <w:rFonts w:ascii="Arial" w:eastAsia="Times New Roman" w:hAnsi="Arial" w:cs="Arial"/>
          <w:color w:val="000000" w:themeColor="text1"/>
          <w:lang w:eastAsia="es-ES"/>
        </w:rPr>
        <w:t>“- Cuando la persona afectada no tenga mecanismo distinto de la acción de tutela, para defender eficazmente sus derechos porque no está legitimada para impugnar los actos administrativos que los vulneran o porque la cuestión debatida es eminentemente constitucional.</w:t>
      </w:r>
    </w:p>
    <w:p w14:paraId="27A57A09" w14:textId="77777777" w:rsidR="00022BDE" w:rsidRPr="00703409" w:rsidRDefault="00022BDE" w:rsidP="00022BDE">
      <w:pPr>
        <w:overflowPunct w:val="0"/>
        <w:autoSpaceDE w:val="0"/>
        <w:autoSpaceDN w:val="0"/>
        <w:adjustRightInd w:val="0"/>
        <w:spacing w:line="240" w:lineRule="auto"/>
        <w:ind w:left="708"/>
        <w:contextualSpacing/>
        <w:jc w:val="both"/>
        <w:rPr>
          <w:rFonts w:ascii="Arial" w:eastAsia="Times New Roman" w:hAnsi="Arial" w:cs="Arial"/>
          <w:color w:val="000000" w:themeColor="text1"/>
          <w:lang w:eastAsia="es-ES"/>
        </w:rPr>
      </w:pPr>
      <w:r w:rsidRPr="00703409">
        <w:rPr>
          <w:rFonts w:ascii="Arial" w:eastAsia="Times New Roman" w:hAnsi="Arial" w:cs="Arial"/>
          <w:color w:val="000000" w:themeColor="text1"/>
          <w:lang w:eastAsia="es-ES"/>
        </w:rPr>
        <w:t xml:space="preserve"> </w:t>
      </w:r>
    </w:p>
    <w:p w14:paraId="12478629" w14:textId="6A54F1FA" w:rsidR="00022BDE" w:rsidRDefault="00022BDE" w:rsidP="00022BDE">
      <w:pPr>
        <w:overflowPunct w:val="0"/>
        <w:autoSpaceDE w:val="0"/>
        <w:autoSpaceDN w:val="0"/>
        <w:adjustRightInd w:val="0"/>
        <w:spacing w:line="240" w:lineRule="auto"/>
        <w:ind w:left="709"/>
        <w:jc w:val="both"/>
        <w:rPr>
          <w:rFonts w:ascii="Arial" w:eastAsia="Times New Roman" w:hAnsi="Arial" w:cs="Arial"/>
          <w:color w:val="000000" w:themeColor="text1"/>
          <w:lang w:eastAsia="es-ES"/>
        </w:rPr>
      </w:pPr>
      <w:r w:rsidRPr="00703409">
        <w:rPr>
          <w:rFonts w:ascii="Arial" w:eastAsia="Times New Roman" w:hAnsi="Arial" w:cs="Arial"/>
          <w:color w:val="000000" w:themeColor="text1"/>
          <w:lang w:eastAsia="es-ES"/>
        </w:rPr>
        <w:t>-  Cuando, por las circunstancias excepcionales del caso concreto, es posible afirmar que, de no producirse la orden de amparo, podrían resultar irremediablemente afectados los derechos fundamentales de la persona que interpone la acción”</w:t>
      </w:r>
      <w:r w:rsidRPr="00703409">
        <w:rPr>
          <w:rStyle w:val="Refdenotaalpie"/>
          <w:rFonts w:ascii="Arial" w:hAnsi="Arial" w:cs="Arial"/>
          <w:color w:val="000000" w:themeColor="text1"/>
        </w:rPr>
        <w:t xml:space="preserve"> </w:t>
      </w:r>
      <w:r w:rsidRPr="00703409">
        <w:rPr>
          <w:rStyle w:val="Refdenotaalpie"/>
          <w:rFonts w:ascii="Arial" w:hAnsi="Arial" w:cs="Arial"/>
          <w:color w:val="000000" w:themeColor="text1"/>
        </w:rPr>
        <w:footnoteReference w:id="66"/>
      </w:r>
      <w:r w:rsidRPr="00703409">
        <w:rPr>
          <w:rFonts w:ascii="Arial" w:eastAsia="Times New Roman" w:hAnsi="Arial" w:cs="Arial"/>
          <w:color w:val="000000" w:themeColor="text1"/>
          <w:lang w:eastAsia="es-ES"/>
        </w:rPr>
        <w:t>.</w:t>
      </w:r>
    </w:p>
    <w:p w14:paraId="05DE661B" w14:textId="6932257F" w:rsidR="002025D0" w:rsidRDefault="00022BDE" w:rsidP="004F7703">
      <w:pPr>
        <w:widowControl w:val="0"/>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Times New Roman" w:hAnsi="Arial" w:cs="Arial"/>
          <w:color w:val="000000" w:themeColor="text1"/>
          <w:sz w:val="24"/>
          <w:szCs w:val="24"/>
          <w:lang w:eastAsia="es-ES"/>
        </w:rPr>
        <w:t xml:space="preserve">Aunado a lo anterior, </w:t>
      </w:r>
      <w:r w:rsidR="00533B7F">
        <w:rPr>
          <w:rFonts w:ascii="Arial" w:eastAsia="Calibri" w:hAnsi="Arial" w:cs="Arial"/>
          <w:color w:val="000000"/>
          <w:sz w:val="24"/>
          <w:szCs w:val="24"/>
          <w:shd w:val="clear" w:color="auto" w:fill="FFFFFF"/>
          <w:lang w:eastAsia="es-ES_tradnl"/>
        </w:rPr>
        <w:t xml:space="preserve">para efectos de determinar la procedencia de la acción de tutela en </w:t>
      </w:r>
      <w:r w:rsidR="004F7703">
        <w:rPr>
          <w:rFonts w:ascii="Arial" w:eastAsia="Calibri" w:hAnsi="Arial" w:cs="Arial"/>
          <w:color w:val="000000"/>
          <w:sz w:val="24"/>
          <w:szCs w:val="24"/>
          <w:shd w:val="clear" w:color="auto" w:fill="FFFFFF"/>
          <w:lang w:eastAsia="es-ES_tradnl"/>
        </w:rPr>
        <w:t>el</w:t>
      </w:r>
      <w:r w:rsidR="00533B7F">
        <w:rPr>
          <w:rFonts w:ascii="Arial" w:eastAsia="Calibri" w:hAnsi="Arial" w:cs="Arial"/>
          <w:color w:val="000000"/>
          <w:sz w:val="24"/>
          <w:szCs w:val="24"/>
          <w:shd w:val="clear" w:color="auto" w:fill="FFFFFF"/>
          <w:lang w:eastAsia="es-ES_tradnl"/>
        </w:rPr>
        <w:t xml:space="preserve"> caso</w:t>
      </w:r>
      <w:r w:rsidR="004F7703">
        <w:rPr>
          <w:rFonts w:ascii="Arial" w:eastAsia="Calibri" w:hAnsi="Arial" w:cs="Arial"/>
          <w:color w:val="000000"/>
          <w:sz w:val="24"/>
          <w:szCs w:val="24"/>
          <w:shd w:val="clear" w:color="auto" w:fill="FFFFFF"/>
          <w:lang w:eastAsia="es-ES_tradnl"/>
        </w:rPr>
        <w:t xml:space="preserve"> bajo estudio</w:t>
      </w:r>
      <w:r w:rsidR="00533B7F">
        <w:rPr>
          <w:rFonts w:ascii="Arial" w:eastAsia="Calibri" w:hAnsi="Arial" w:cs="Arial"/>
          <w:color w:val="000000"/>
          <w:sz w:val="24"/>
          <w:szCs w:val="24"/>
          <w:shd w:val="clear" w:color="auto" w:fill="FFFFFF"/>
          <w:lang w:eastAsia="es-ES_tradnl"/>
        </w:rPr>
        <w:t xml:space="preserve">, es menester definir si los actos acusados son de trámite o definitivos. Para ello, </w:t>
      </w:r>
      <w:r w:rsidR="002B7A96">
        <w:rPr>
          <w:rFonts w:ascii="Arial" w:eastAsia="Calibri" w:hAnsi="Arial" w:cs="Arial"/>
          <w:color w:val="000000"/>
          <w:sz w:val="24"/>
          <w:szCs w:val="24"/>
          <w:shd w:val="clear" w:color="auto" w:fill="FFFFFF"/>
          <w:lang w:eastAsia="es-ES_tradnl"/>
        </w:rPr>
        <w:t>es necesario tener en cuenta que, de acuerdo con lo dispuesto en</w:t>
      </w:r>
      <w:r w:rsidR="00533B7F">
        <w:rPr>
          <w:rFonts w:ascii="Arial" w:eastAsia="Calibri" w:hAnsi="Arial" w:cs="Arial"/>
          <w:color w:val="000000"/>
          <w:sz w:val="24"/>
          <w:szCs w:val="24"/>
          <w:shd w:val="clear" w:color="auto" w:fill="FFFFFF"/>
          <w:lang w:eastAsia="es-ES_tradnl"/>
        </w:rPr>
        <w:t xml:space="preserve"> el artículo 43 de la Ley 1437 de 2011</w:t>
      </w:r>
      <w:r w:rsidR="002B7A96">
        <w:rPr>
          <w:rFonts w:ascii="Arial" w:eastAsia="Calibri" w:hAnsi="Arial" w:cs="Arial"/>
          <w:color w:val="000000"/>
          <w:sz w:val="24"/>
          <w:szCs w:val="24"/>
          <w:shd w:val="clear" w:color="auto" w:fill="FFFFFF"/>
          <w:lang w:eastAsia="es-ES_tradnl"/>
        </w:rPr>
        <w:t>,</w:t>
      </w:r>
      <w:r w:rsidR="00533B7F">
        <w:rPr>
          <w:rFonts w:ascii="Arial" w:eastAsia="Calibri" w:hAnsi="Arial" w:cs="Arial"/>
          <w:color w:val="000000"/>
          <w:sz w:val="24"/>
          <w:szCs w:val="24"/>
          <w:shd w:val="clear" w:color="auto" w:fill="FFFFFF"/>
          <w:lang w:eastAsia="es-ES_tradnl"/>
        </w:rPr>
        <w:t xml:space="preserve"> los actos administrativos definitivos son aquellos que deciden “directa o indirectamente el fondo del asunto o </w:t>
      </w:r>
      <w:r w:rsidR="002B7A96">
        <w:rPr>
          <w:rFonts w:ascii="Arial" w:eastAsia="Calibri" w:hAnsi="Arial" w:cs="Arial"/>
          <w:color w:val="000000"/>
          <w:sz w:val="24"/>
          <w:szCs w:val="24"/>
          <w:shd w:val="clear" w:color="auto" w:fill="FFFFFF"/>
          <w:lang w:eastAsia="es-ES_tradnl"/>
        </w:rPr>
        <w:t>[hacen]</w:t>
      </w:r>
      <w:r w:rsidR="00533B7F">
        <w:rPr>
          <w:rFonts w:ascii="Arial" w:eastAsia="Calibri" w:hAnsi="Arial" w:cs="Arial"/>
          <w:color w:val="000000"/>
          <w:sz w:val="24"/>
          <w:szCs w:val="24"/>
          <w:shd w:val="clear" w:color="auto" w:fill="FFFFFF"/>
          <w:lang w:eastAsia="es-ES_tradnl"/>
        </w:rPr>
        <w:t xml:space="preserve"> imposible continuar con la actuación”</w:t>
      </w:r>
      <w:r w:rsidR="00533B7F" w:rsidRPr="00533B7F">
        <w:rPr>
          <w:rStyle w:val="Refdenotaalpie"/>
          <w:rFonts w:ascii="Arial" w:hAnsi="Arial" w:cs="Arial"/>
          <w:sz w:val="24"/>
          <w:szCs w:val="28"/>
          <w:shd w:val="clear" w:color="auto" w:fill="FFFFFF"/>
        </w:rPr>
        <w:footnoteReference w:id="67"/>
      </w:r>
      <w:r w:rsidR="00533B7F">
        <w:rPr>
          <w:rFonts w:ascii="Arial" w:eastAsia="Calibri" w:hAnsi="Arial" w:cs="Arial"/>
          <w:color w:val="000000"/>
          <w:sz w:val="24"/>
          <w:szCs w:val="24"/>
          <w:shd w:val="clear" w:color="auto" w:fill="FFFFFF"/>
          <w:lang w:eastAsia="es-ES_tradnl"/>
        </w:rPr>
        <w:t>. Por el contrario, los de trámite son aquellos que se “</w:t>
      </w:r>
      <w:r w:rsidR="00533B7F" w:rsidRPr="00996FB7">
        <w:rPr>
          <w:rFonts w:ascii="Arial" w:eastAsia="Calibri" w:hAnsi="Arial" w:cs="Arial"/>
          <w:color w:val="000000"/>
          <w:sz w:val="24"/>
          <w:szCs w:val="24"/>
          <w:shd w:val="clear" w:color="auto" w:fill="FFFFFF"/>
          <w:lang w:eastAsia="es-ES_tradnl"/>
        </w:rPr>
        <w:t>encargan de dar impulso a la actuación o disponen organizar los elementos de juicio que se requieren para que la administración pueda adoptar la decisión de fondo sobre el asunto mediante el acto definitivo y, salvo contadas excepciones, no crean, modifican o extinguen situaciones jurídicas</w:t>
      </w:r>
      <w:r w:rsidR="00533B7F">
        <w:rPr>
          <w:rFonts w:ascii="Arial" w:eastAsia="Calibri" w:hAnsi="Arial" w:cs="Arial"/>
          <w:color w:val="000000"/>
          <w:sz w:val="24"/>
          <w:szCs w:val="24"/>
          <w:shd w:val="clear" w:color="auto" w:fill="FFFFFF"/>
          <w:lang w:eastAsia="es-ES_tradnl"/>
        </w:rPr>
        <w:t>”</w:t>
      </w:r>
      <w:r w:rsidR="00533B7F" w:rsidRPr="00533B7F">
        <w:rPr>
          <w:rStyle w:val="Refdenotaalpie"/>
          <w:rFonts w:ascii="Arial" w:hAnsi="Arial" w:cs="Arial"/>
          <w:sz w:val="24"/>
          <w:szCs w:val="28"/>
          <w:shd w:val="clear" w:color="auto" w:fill="FFFFFF"/>
        </w:rPr>
        <w:footnoteReference w:id="68"/>
      </w:r>
      <w:r w:rsidR="00533B7F">
        <w:rPr>
          <w:rFonts w:ascii="Arial" w:eastAsia="Calibri" w:hAnsi="Arial" w:cs="Arial"/>
          <w:color w:val="000000"/>
          <w:sz w:val="24"/>
          <w:szCs w:val="24"/>
          <w:shd w:val="clear" w:color="auto" w:fill="FFFFFF"/>
          <w:lang w:eastAsia="es-ES_tradnl"/>
        </w:rPr>
        <w:t xml:space="preserve">. </w:t>
      </w:r>
    </w:p>
    <w:p w14:paraId="4FF1C56E" w14:textId="0F6DE45C" w:rsidR="002025D0" w:rsidRDefault="002025D0" w:rsidP="002025D0">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Así, con base en estas reglas, la Sala hará el análisis de procedencia de la acción de tutela, en relación las pretensiones formuladas en el escrito de tutela, y con el Oficio CJ022-5613 del 20 de diciembre de 2022, y la Resolución CJR23-0042 del 16 de enero de 2023.</w:t>
      </w:r>
    </w:p>
    <w:p w14:paraId="6E0A0552" w14:textId="4616A006" w:rsidR="00044568" w:rsidRDefault="00044568" w:rsidP="00533B7F">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(i) Resolución CJR022-0042</w:t>
      </w:r>
      <w:r w:rsidR="002025D0">
        <w:rPr>
          <w:rFonts w:ascii="Arial" w:eastAsia="Calibri" w:hAnsi="Arial" w:cs="Arial"/>
          <w:color w:val="000000"/>
          <w:sz w:val="24"/>
          <w:szCs w:val="24"/>
          <w:shd w:val="clear" w:color="auto" w:fill="FFFFFF"/>
          <w:lang w:eastAsia="es-ES_tradnl"/>
        </w:rPr>
        <w:t xml:space="preserve"> del 16 de enero de 2023</w:t>
      </w:r>
    </w:p>
    <w:p w14:paraId="6D05F299" w14:textId="3FC6010C" w:rsidR="002025D0" w:rsidRDefault="00447EE1" w:rsidP="00533B7F">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 xml:space="preserve">La Unidad de Administración de Carrera Judicial del Consejo Superior de la Judicatura resolvió los recursos de reposición que se presentaron en contra de la </w:t>
      </w:r>
      <w:r w:rsidRPr="00447EE1">
        <w:rPr>
          <w:rFonts w:ascii="Arial" w:eastAsia="Calibri" w:hAnsi="Arial" w:cs="Arial"/>
          <w:color w:val="000000"/>
          <w:sz w:val="24"/>
          <w:szCs w:val="24"/>
          <w:shd w:val="clear" w:color="auto" w:fill="FFFFFF"/>
          <w:lang w:eastAsia="es-ES_tradnl"/>
        </w:rPr>
        <w:t>Resolución CJR22-0351 de 1° de septiembre de 2022</w:t>
      </w:r>
      <w:r>
        <w:rPr>
          <w:rFonts w:ascii="Arial" w:eastAsia="Calibri" w:hAnsi="Arial" w:cs="Arial"/>
          <w:color w:val="000000"/>
          <w:sz w:val="24"/>
          <w:szCs w:val="24"/>
          <w:shd w:val="clear" w:color="auto" w:fill="FFFFFF"/>
          <w:lang w:eastAsia="es-ES_tradnl"/>
        </w:rPr>
        <w:t xml:space="preserve">, en la que se publicaron los resultados de la prueba de conocimientos y aptitudes realizada en el concurso de méritos, para optar por el cargo de Juez Promiscuo Municipal. </w:t>
      </w:r>
      <w:r w:rsidR="00B73200">
        <w:rPr>
          <w:rFonts w:ascii="Arial" w:eastAsia="Calibri" w:hAnsi="Arial" w:cs="Arial"/>
          <w:color w:val="000000"/>
          <w:sz w:val="24"/>
          <w:szCs w:val="24"/>
          <w:shd w:val="clear" w:color="auto" w:fill="FFFFFF"/>
          <w:lang w:eastAsia="es-ES_tradnl"/>
        </w:rPr>
        <w:t>En dicho acto administrativo, la referida dependencia resolvió:</w:t>
      </w:r>
    </w:p>
    <w:p w14:paraId="3ACD1777" w14:textId="00751C7F" w:rsidR="00B73200" w:rsidRPr="00B73200" w:rsidRDefault="00B73200" w:rsidP="00B73200">
      <w:pPr>
        <w:spacing w:after="240" w:line="240" w:lineRule="auto"/>
        <w:ind w:left="708"/>
        <w:jc w:val="both"/>
        <w:textAlignment w:val="baseline"/>
        <w:rPr>
          <w:rFonts w:ascii="Arial" w:eastAsia="Calibri" w:hAnsi="Arial" w:cs="Arial"/>
          <w:color w:val="000000"/>
          <w:shd w:val="clear" w:color="auto" w:fill="FFFFFF"/>
          <w:lang w:eastAsia="es-ES_tradnl"/>
        </w:rPr>
      </w:pPr>
      <w:r>
        <w:rPr>
          <w:rFonts w:ascii="Arial" w:eastAsia="Calibri" w:hAnsi="Arial" w:cs="Arial"/>
          <w:color w:val="000000"/>
          <w:shd w:val="clear" w:color="auto" w:fill="FFFFFF"/>
          <w:lang w:eastAsia="es-ES_tradnl"/>
        </w:rPr>
        <w:t>“</w:t>
      </w:r>
      <w:r w:rsidRPr="00B73200">
        <w:rPr>
          <w:rFonts w:ascii="Arial" w:eastAsia="Calibri" w:hAnsi="Arial" w:cs="Arial"/>
          <w:b/>
          <w:bCs/>
          <w:color w:val="000000"/>
          <w:shd w:val="clear" w:color="auto" w:fill="FFFFFF"/>
          <w:lang w:eastAsia="es-ES_tradnl"/>
        </w:rPr>
        <w:t>ARTÍCULO 1º: CONFIRMAR</w:t>
      </w:r>
      <w:r w:rsidRPr="00B73200">
        <w:rPr>
          <w:rFonts w:ascii="Arial" w:eastAsia="Calibri" w:hAnsi="Arial" w:cs="Arial"/>
          <w:color w:val="000000"/>
          <w:shd w:val="clear" w:color="auto" w:fill="FFFFFF"/>
          <w:lang w:eastAsia="es-ES_tradnl"/>
        </w:rPr>
        <w:t xml:space="preserve"> las decisiones contenidas en la Resolución CJR22-0351 de 1º de septiembre de 2022, de conformidad con las razones expuestas en la parte motiva de esta Resolución y en consecuencia no reponer los puntajes obtenidos por los recurrentes relacionados en el </w:t>
      </w:r>
      <w:r>
        <w:rPr>
          <w:rFonts w:ascii="Arial" w:eastAsia="Calibri" w:hAnsi="Arial" w:cs="Arial"/>
          <w:color w:val="000000"/>
          <w:shd w:val="clear" w:color="auto" w:fill="FFFFFF"/>
          <w:lang w:eastAsia="es-ES_tradnl"/>
        </w:rPr>
        <w:t>‘</w:t>
      </w:r>
      <w:r w:rsidRPr="00B73200">
        <w:rPr>
          <w:rFonts w:ascii="Arial" w:eastAsia="Calibri" w:hAnsi="Arial" w:cs="Arial"/>
          <w:color w:val="000000"/>
          <w:shd w:val="clear" w:color="auto" w:fill="FFFFFF"/>
          <w:lang w:eastAsia="es-ES_tradnl"/>
        </w:rPr>
        <w:t>Anexo 1</w:t>
      </w:r>
      <w:r>
        <w:rPr>
          <w:rFonts w:ascii="Arial" w:eastAsia="Calibri" w:hAnsi="Arial" w:cs="Arial"/>
          <w:color w:val="000000"/>
          <w:shd w:val="clear" w:color="auto" w:fill="FFFFFF"/>
          <w:lang w:eastAsia="es-ES_tradnl"/>
        </w:rPr>
        <w:t>’</w:t>
      </w:r>
      <w:r w:rsidRPr="00B73200">
        <w:rPr>
          <w:rFonts w:ascii="Arial" w:eastAsia="Calibri" w:hAnsi="Arial" w:cs="Arial"/>
          <w:color w:val="000000"/>
          <w:shd w:val="clear" w:color="auto" w:fill="FFFFFF"/>
          <w:lang w:eastAsia="es-ES_tradnl"/>
        </w:rPr>
        <w:t xml:space="preserve">, para el cargo de Juez Promiscuo Municipal. </w:t>
      </w:r>
    </w:p>
    <w:p w14:paraId="3E908479" w14:textId="77777777" w:rsidR="00B73200" w:rsidRPr="00B73200" w:rsidRDefault="00B73200" w:rsidP="00B73200">
      <w:pPr>
        <w:spacing w:after="240" w:line="240" w:lineRule="auto"/>
        <w:ind w:left="708"/>
        <w:jc w:val="both"/>
        <w:textAlignment w:val="baseline"/>
        <w:rPr>
          <w:rFonts w:ascii="Arial" w:eastAsia="Calibri" w:hAnsi="Arial" w:cs="Arial"/>
          <w:color w:val="000000"/>
          <w:shd w:val="clear" w:color="auto" w:fill="FFFFFF"/>
          <w:lang w:eastAsia="es-ES_tradnl"/>
        </w:rPr>
      </w:pPr>
      <w:r w:rsidRPr="00B73200">
        <w:rPr>
          <w:rFonts w:ascii="Arial" w:eastAsia="Calibri" w:hAnsi="Arial" w:cs="Arial"/>
          <w:b/>
          <w:bCs/>
          <w:color w:val="000000"/>
          <w:shd w:val="clear" w:color="auto" w:fill="FFFFFF"/>
          <w:lang w:eastAsia="es-ES_tradnl"/>
        </w:rPr>
        <w:t>ARTÍCULO 2º: RECHAZAR</w:t>
      </w:r>
      <w:r w:rsidRPr="00B73200">
        <w:rPr>
          <w:rFonts w:ascii="Arial" w:eastAsia="Calibri" w:hAnsi="Arial" w:cs="Arial"/>
          <w:color w:val="000000"/>
          <w:shd w:val="clear" w:color="auto" w:fill="FFFFFF"/>
          <w:lang w:eastAsia="es-ES_tradnl"/>
        </w:rPr>
        <w:t xml:space="preserve"> los recursos de apelación presentados de conformidad con la parte motiva de la presente actuación. </w:t>
      </w:r>
    </w:p>
    <w:p w14:paraId="5C522E81" w14:textId="77777777" w:rsidR="00B73200" w:rsidRPr="00B73200" w:rsidRDefault="00B73200" w:rsidP="00B73200">
      <w:pPr>
        <w:spacing w:after="240" w:line="240" w:lineRule="auto"/>
        <w:ind w:left="708"/>
        <w:jc w:val="both"/>
        <w:textAlignment w:val="baseline"/>
        <w:rPr>
          <w:rFonts w:ascii="Arial" w:eastAsia="Calibri" w:hAnsi="Arial" w:cs="Arial"/>
          <w:color w:val="000000"/>
          <w:shd w:val="clear" w:color="auto" w:fill="FFFFFF"/>
          <w:lang w:eastAsia="es-ES_tradnl"/>
        </w:rPr>
      </w:pPr>
      <w:r w:rsidRPr="00B73200">
        <w:rPr>
          <w:rFonts w:ascii="Arial" w:eastAsia="Calibri" w:hAnsi="Arial" w:cs="Arial"/>
          <w:b/>
          <w:bCs/>
          <w:color w:val="000000"/>
          <w:shd w:val="clear" w:color="auto" w:fill="FFFFFF"/>
          <w:lang w:eastAsia="es-ES_tradnl"/>
        </w:rPr>
        <w:t>ARTÍCULO 3º: RECHAZAR</w:t>
      </w:r>
      <w:r w:rsidRPr="00B73200">
        <w:rPr>
          <w:rFonts w:ascii="Arial" w:eastAsia="Calibri" w:hAnsi="Arial" w:cs="Arial"/>
          <w:color w:val="000000"/>
          <w:shd w:val="clear" w:color="auto" w:fill="FFFFFF"/>
          <w:lang w:eastAsia="es-ES_tradnl"/>
        </w:rPr>
        <w:t xml:space="preserve"> los recursos de reposición presentados sin el cumplimiento del requisito previsto en el numeral 2 del artículo 77 del Código de Procedimiento Administrativo y de lo Contencioso Administrativo. </w:t>
      </w:r>
    </w:p>
    <w:p w14:paraId="37CF5790" w14:textId="77777777" w:rsidR="00B73200" w:rsidRPr="00B73200" w:rsidRDefault="00B73200" w:rsidP="00B73200">
      <w:pPr>
        <w:spacing w:after="240" w:line="240" w:lineRule="auto"/>
        <w:ind w:left="708"/>
        <w:jc w:val="both"/>
        <w:textAlignment w:val="baseline"/>
        <w:rPr>
          <w:rFonts w:ascii="Arial" w:eastAsia="Calibri" w:hAnsi="Arial" w:cs="Arial"/>
          <w:color w:val="000000"/>
          <w:shd w:val="clear" w:color="auto" w:fill="FFFFFF"/>
          <w:lang w:eastAsia="es-ES_tradnl"/>
        </w:rPr>
      </w:pPr>
      <w:r w:rsidRPr="00B73200">
        <w:rPr>
          <w:rFonts w:ascii="Arial" w:eastAsia="Calibri" w:hAnsi="Arial" w:cs="Arial"/>
          <w:b/>
          <w:bCs/>
          <w:color w:val="000000"/>
          <w:shd w:val="clear" w:color="auto" w:fill="FFFFFF"/>
          <w:lang w:eastAsia="es-ES_tradnl"/>
        </w:rPr>
        <w:t>ARTÍCULO 4º: NO PROCEDEN RECURSOS</w:t>
      </w:r>
      <w:r w:rsidRPr="00B73200">
        <w:rPr>
          <w:rFonts w:ascii="Arial" w:eastAsia="Calibri" w:hAnsi="Arial" w:cs="Arial"/>
          <w:color w:val="000000"/>
          <w:shd w:val="clear" w:color="auto" w:fill="FFFFFF"/>
          <w:lang w:eastAsia="es-ES_tradnl"/>
        </w:rPr>
        <w:t xml:space="preserve"> en sede administrativa contra la presente resolución. </w:t>
      </w:r>
    </w:p>
    <w:p w14:paraId="2A22FB8F" w14:textId="6920231E" w:rsidR="00B73200" w:rsidRDefault="00B73200" w:rsidP="00B73200">
      <w:pPr>
        <w:spacing w:after="240" w:line="240" w:lineRule="auto"/>
        <w:ind w:left="708"/>
        <w:jc w:val="both"/>
        <w:textAlignment w:val="baseline"/>
        <w:rPr>
          <w:rFonts w:ascii="Arial" w:eastAsia="Calibri" w:hAnsi="Arial" w:cs="Arial"/>
          <w:color w:val="000000"/>
          <w:shd w:val="clear" w:color="auto" w:fill="FFFFFF"/>
          <w:lang w:eastAsia="es-ES_tradnl"/>
        </w:rPr>
      </w:pPr>
      <w:r w:rsidRPr="00B73200">
        <w:rPr>
          <w:rFonts w:ascii="Arial" w:eastAsia="Calibri" w:hAnsi="Arial" w:cs="Arial"/>
          <w:b/>
          <w:bCs/>
          <w:color w:val="000000"/>
          <w:shd w:val="clear" w:color="auto" w:fill="FFFFFF"/>
          <w:lang w:eastAsia="es-ES_tradnl"/>
        </w:rPr>
        <w:t>ARTÍCULO 5º: NOTIFICAR</w:t>
      </w:r>
      <w:r w:rsidRPr="00B73200">
        <w:rPr>
          <w:rFonts w:ascii="Arial" w:eastAsia="Calibri" w:hAnsi="Arial" w:cs="Arial"/>
          <w:color w:val="000000"/>
          <w:shd w:val="clear" w:color="auto" w:fill="FFFFFF"/>
          <w:lang w:eastAsia="es-ES_tradnl"/>
        </w:rPr>
        <w:t xml:space="preserve"> esta decisión, mediante su fijación, durante el término de cinco (5) días hábiles, en el Consejo Superior de la Judicatura. De igual manera se informará a través de la página web de la Rama Judicial, www.ramajudicial.gov.co y en los Consejos Seccionales de la Judicatura</w:t>
      </w:r>
      <w:r>
        <w:rPr>
          <w:rFonts w:ascii="Arial" w:eastAsia="Calibri" w:hAnsi="Arial" w:cs="Arial"/>
          <w:color w:val="000000"/>
          <w:shd w:val="clear" w:color="auto" w:fill="FFFFFF"/>
          <w:lang w:eastAsia="es-ES_tradnl"/>
        </w:rPr>
        <w:t>”</w:t>
      </w:r>
      <w:r>
        <w:rPr>
          <w:rStyle w:val="Refdenotaalpie"/>
          <w:rFonts w:ascii="Arial" w:eastAsia="Calibri" w:hAnsi="Arial" w:cs="Arial"/>
          <w:color w:val="000000"/>
          <w:shd w:val="clear" w:color="auto" w:fill="FFFFFF"/>
          <w:lang w:eastAsia="es-ES_tradnl"/>
        </w:rPr>
        <w:footnoteReference w:id="69"/>
      </w:r>
      <w:r w:rsidRPr="00B73200">
        <w:rPr>
          <w:rFonts w:ascii="Arial" w:eastAsia="Calibri" w:hAnsi="Arial" w:cs="Arial"/>
          <w:color w:val="000000"/>
          <w:shd w:val="clear" w:color="auto" w:fill="FFFFFF"/>
          <w:lang w:eastAsia="es-ES_tradnl"/>
        </w:rPr>
        <w:t>.</w:t>
      </w:r>
    </w:p>
    <w:p w14:paraId="6B345326" w14:textId="017BB9AA" w:rsidR="004F7703" w:rsidRDefault="00B73200" w:rsidP="007936D7">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 xml:space="preserve">Ahora bien, </w:t>
      </w:r>
      <w:r w:rsidR="004F7703">
        <w:rPr>
          <w:rFonts w:ascii="Arial" w:eastAsia="Calibri" w:hAnsi="Arial" w:cs="Arial"/>
          <w:color w:val="000000"/>
          <w:sz w:val="24"/>
          <w:szCs w:val="24"/>
          <w:shd w:val="clear" w:color="auto" w:fill="FFFFFF"/>
          <w:lang w:eastAsia="es-ES_tradnl"/>
        </w:rPr>
        <w:t xml:space="preserve">en el caso bajo análisis, </w:t>
      </w:r>
      <w:r>
        <w:rPr>
          <w:rFonts w:ascii="Arial" w:eastAsia="Calibri" w:hAnsi="Arial" w:cs="Arial"/>
          <w:color w:val="000000"/>
          <w:sz w:val="24"/>
          <w:szCs w:val="24"/>
          <w:shd w:val="clear" w:color="auto" w:fill="FFFFFF"/>
          <w:lang w:eastAsia="es-ES_tradnl"/>
        </w:rPr>
        <w:t xml:space="preserve">la Sala destaca que, de acuerdo con la </w:t>
      </w:r>
      <w:r w:rsidRPr="00B73200">
        <w:rPr>
          <w:rFonts w:ascii="Arial" w:eastAsia="Calibri" w:hAnsi="Arial" w:cs="Arial"/>
          <w:color w:val="000000"/>
          <w:sz w:val="24"/>
          <w:szCs w:val="24"/>
          <w:shd w:val="clear" w:color="auto" w:fill="FFFFFF"/>
          <w:lang w:eastAsia="es-ES_tradnl"/>
        </w:rPr>
        <w:t>Resolución CJR22-0351 de 1º de septiembre de 2022</w:t>
      </w:r>
      <w:r>
        <w:rPr>
          <w:rFonts w:ascii="Arial" w:eastAsia="Calibri" w:hAnsi="Arial" w:cs="Arial"/>
          <w:color w:val="000000"/>
          <w:sz w:val="24"/>
          <w:szCs w:val="24"/>
          <w:shd w:val="clear" w:color="auto" w:fill="FFFFFF"/>
          <w:lang w:eastAsia="es-ES_tradnl"/>
        </w:rPr>
        <w:t xml:space="preserve"> y sus respectivos anexos, </w:t>
      </w:r>
      <w:r w:rsidR="00F52CDA">
        <w:rPr>
          <w:rFonts w:ascii="Arial" w:eastAsia="Calibri" w:hAnsi="Arial" w:cs="Arial"/>
          <w:color w:val="000000"/>
          <w:sz w:val="24"/>
          <w:szCs w:val="24"/>
          <w:shd w:val="clear" w:color="auto" w:fill="FFFFFF"/>
          <w:lang w:eastAsia="es-ES_tradnl"/>
        </w:rPr>
        <w:t xml:space="preserve">Nelson Julián </w:t>
      </w:r>
      <w:r w:rsidR="007936D7">
        <w:rPr>
          <w:rFonts w:ascii="Arial" w:eastAsia="Calibri" w:hAnsi="Arial" w:cs="Arial"/>
          <w:color w:val="000000"/>
          <w:sz w:val="24"/>
          <w:szCs w:val="24"/>
          <w:shd w:val="clear" w:color="auto" w:fill="FFFFFF"/>
          <w:lang w:eastAsia="es-ES_tradnl"/>
        </w:rPr>
        <w:t xml:space="preserve">Valencia </w:t>
      </w:r>
      <w:r w:rsidR="00F52CDA">
        <w:rPr>
          <w:rFonts w:ascii="Arial" w:eastAsia="Calibri" w:hAnsi="Arial" w:cs="Arial"/>
          <w:color w:val="000000"/>
          <w:sz w:val="24"/>
          <w:szCs w:val="24"/>
          <w:shd w:val="clear" w:color="auto" w:fill="FFFFFF"/>
          <w:lang w:eastAsia="es-ES_tradnl"/>
        </w:rPr>
        <w:t xml:space="preserve">Zamora obtuvo un resultado no aprobatorio, </w:t>
      </w:r>
      <w:r w:rsidR="009A76ED">
        <w:rPr>
          <w:rFonts w:ascii="Arial" w:eastAsia="Calibri" w:hAnsi="Arial" w:cs="Arial"/>
          <w:color w:val="000000"/>
          <w:sz w:val="24"/>
          <w:szCs w:val="24"/>
          <w:shd w:val="clear" w:color="auto" w:fill="FFFFFF"/>
          <w:lang w:eastAsia="es-ES_tradnl"/>
        </w:rPr>
        <w:t xml:space="preserve">pues </w:t>
      </w:r>
      <w:r w:rsidR="00F52CDA">
        <w:rPr>
          <w:rFonts w:ascii="Arial" w:eastAsia="Calibri" w:hAnsi="Arial" w:cs="Arial"/>
          <w:color w:val="000000"/>
          <w:sz w:val="24"/>
          <w:szCs w:val="24"/>
          <w:shd w:val="clear" w:color="auto" w:fill="FFFFFF"/>
          <w:lang w:eastAsia="es-ES_tradnl"/>
        </w:rPr>
        <w:t xml:space="preserve">obtuvo </w:t>
      </w:r>
      <w:r w:rsidR="00F52CDA">
        <w:rPr>
          <w:rFonts w:ascii="Arial" w:hAnsi="Arial" w:cs="Arial"/>
          <w:sz w:val="24"/>
          <w:szCs w:val="24"/>
        </w:rPr>
        <w:t>785.94 puntos de los 800</w:t>
      </w:r>
      <w:r w:rsidR="00F52CDA">
        <w:rPr>
          <w:rStyle w:val="Refdenotaalpie"/>
          <w:rFonts w:ascii="Arial" w:hAnsi="Arial" w:cs="Arial"/>
          <w:sz w:val="24"/>
          <w:szCs w:val="24"/>
        </w:rPr>
        <w:footnoteReference w:id="70"/>
      </w:r>
      <w:r w:rsidR="00F52CDA">
        <w:rPr>
          <w:rFonts w:ascii="Arial" w:hAnsi="Arial" w:cs="Arial"/>
          <w:sz w:val="24"/>
          <w:szCs w:val="24"/>
        </w:rPr>
        <w:t xml:space="preserve"> que necesitaba para pasar a la siguiente etapa.</w:t>
      </w:r>
      <w:r w:rsidR="00162B93">
        <w:rPr>
          <w:rFonts w:ascii="Arial" w:hAnsi="Arial" w:cs="Arial"/>
          <w:sz w:val="24"/>
          <w:szCs w:val="24"/>
        </w:rPr>
        <w:t xml:space="preserve"> Por </w:t>
      </w:r>
      <w:r w:rsidR="004F7703">
        <w:rPr>
          <w:rFonts w:ascii="Arial" w:hAnsi="Arial" w:cs="Arial"/>
          <w:sz w:val="24"/>
          <w:szCs w:val="24"/>
        </w:rPr>
        <w:t>esa razón</w:t>
      </w:r>
      <w:r w:rsidR="009A76ED">
        <w:rPr>
          <w:rFonts w:ascii="Arial" w:hAnsi="Arial" w:cs="Arial"/>
          <w:sz w:val="24"/>
          <w:szCs w:val="24"/>
        </w:rPr>
        <w:t>, y</w:t>
      </w:r>
      <w:r w:rsidR="00162B93">
        <w:rPr>
          <w:rFonts w:ascii="Arial" w:hAnsi="Arial" w:cs="Arial"/>
          <w:sz w:val="24"/>
          <w:szCs w:val="24"/>
        </w:rPr>
        <w:t xml:space="preserve"> con el fin de mejorar su puntaje</w:t>
      </w:r>
      <w:r w:rsidR="00155049">
        <w:rPr>
          <w:rFonts w:ascii="Arial" w:hAnsi="Arial" w:cs="Arial"/>
          <w:sz w:val="24"/>
          <w:szCs w:val="24"/>
        </w:rPr>
        <w:t xml:space="preserve"> y continuar en el concurso</w:t>
      </w:r>
      <w:r w:rsidR="00162B93">
        <w:rPr>
          <w:rFonts w:ascii="Arial" w:hAnsi="Arial" w:cs="Arial"/>
          <w:sz w:val="24"/>
          <w:szCs w:val="24"/>
        </w:rPr>
        <w:t xml:space="preserve">, presentó recurso de reposición junto con su respectiva ampliación, que fue resuelto en la </w:t>
      </w:r>
      <w:r w:rsidR="00162B93">
        <w:rPr>
          <w:rFonts w:ascii="Arial" w:eastAsia="Calibri" w:hAnsi="Arial" w:cs="Arial"/>
          <w:color w:val="000000"/>
          <w:sz w:val="24"/>
          <w:szCs w:val="24"/>
          <w:shd w:val="clear" w:color="auto" w:fill="FFFFFF"/>
          <w:lang w:eastAsia="es-ES_tradnl"/>
        </w:rPr>
        <w:t>Resolución CJR022-0042 del 16 de enero de 2023, en el sentido de</w:t>
      </w:r>
      <w:r w:rsidR="007936D7">
        <w:rPr>
          <w:rFonts w:ascii="Arial" w:eastAsia="Calibri" w:hAnsi="Arial" w:cs="Arial"/>
          <w:color w:val="000000"/>
          <w:sz w:val="24"/>
          <w:szCs w:val="24"/>
          <w:shd w:val="clear" w:color="auto" w:fill="FFFFFF"/>
          <w:lang w:eastAsia="es-ES_tradnl"/>
        </w:rPr>
        <w:t xml:space="preserve"> confirmar el acto recurrido, es decir, en</w:t>
      </w:r>
      <w:r w:rsidR="00162B93">
        <w:rPr>
          <w:rFonts w:ascii="Arial" w:eastAsia="Calibri" w:hAnsi="Arial" w:cs="Arial"/>
          <w:color w:val="000000"/>
          <w:sz w:val="24"/>
          <w:szCs w:val="24"/>
          <w:shd w:val="clear" w:color="auto" w:fill="FFFFFF"/>
          <w:lang w:eastAsia="es-ES_tradnl"/>
        </w:rPr>
        <w:t xml:space="preserve"> mantener el puntaje </w:t>
      </w:r>
      <w:r w:rsidR="007936D7">
        <w:rPr>
          <w:rFonts w:ascii="Arial" w:eastAsia="Calibri" w:hAnsi="Arial" w:cs="Arial"/>
          <w:color w:val="000000"/>
          <w:sz w:val="24"/>
          <w:szCs w:val="24"/>
          <w:shd w:val="clear" w:color="auto" w:fill="FFFFFF"/>
          <w:lang w:eastAsia="es-ES_tradnl"/>
        </w:rPr>
        <w:t xml:space="preserve">inicialmente </w:t>
      </w:r>
      <w:r w:rsidR="00162B93">
        <w:rPr>
          <w:rFonts w:ascii="Arial" w:eastAsia="Calibri" w:hAnsi="Arial" w:cs="Arial"/>
          <w:color w:val="000000"/>
          <w:sz w:val="24"/>
          <w:szCs w:val="24"/>
          <w:shd w:val="clear" w:color="auto" w:fill="FFFFFF"/>
          <w:lang w:eastAsia="es-ES_tradnl"/>
        </w:rPr>
        <w:t>asignado</w:t>
      </w:r>
      <w:r w:rsidR="006169D6">
        <w:rPr>
          <w:rFonts w:ascii="Arial" w:eastAsia="Calibri" w:hAnsi="Arial" w:cs="Arial"/>
          <w:color w:val="000000"/>
          <w:sz w:val="24"/>
          <w:szCs w:val="24"/>
          <w:shd w:val="clear" w:color="auto" w:fill="FFFFFF"/>
          <w:lang w:eastAsia="es-ES_tradnl"/>
        </w:rPr>
        <w:t xml:space="preserve"> que, como se indicó, fue </w:t>
      </w:r>
      <w:r w:rsidR="004F7703">
        <w:rPr>
          <w:rFonts w:ascii="Arial" w:eastAsia="Calibri" w:hAnsi="Arial" w:cs="Arial"/>
          <w:color w:val="000000"/>
          <w:sz w:val="24"/>
          <w:szCs w:val="24"/>
          <w:shd w:val="clear" w:color="auto" w:fill="FFFFFF"/>
          <w:lang w:eastAsia="es-ES_tradnl"/>
        </w:rPr>
        <w:t xml:space="preserve">no </w:t>
      </w:r>
      <w:r w:rsidR="006169D6">
        <w:rPr>
          <w:rFonts w:ascii="Arial" w:eastAsia="Calibri" w:hAnsi="Arial" w:cs="Arial"/>
          <w:color w:val="000000"/>
          <w:sz w:val="24"/>
          <w:szCs w:val="24"/>
          <w:shd w:val="clear" w:color="auto" w:fill="FFFFFF"/>
          <w:lang w:eastAsia="es-ES_tradnl"/>
        </w:rPr>
        <w:t>aprobatorio</w:t>
      </w:r>
      <w:r w:rsidR="00162B93">
        <w:rPr>
          <w:rFonts w:ascii="Arial" w:eastAsia="Calibri" w:hAnsi="Arial" w:cs="Arial"/>
          <w:color w:val="000000"/>
          <w:sz w:val="24"/>
          <w:szCs w:val="24"/>
          <w:shd w:val="clear" w:color="auto" w:fill="FFFFFF"/>
          <w:lang w:eastAsia="es-ES_tradnl"/>
        </w:rPr>
        <w:t>.</w:t>
      </w:r>
      <w:r w:rsidR="007936D7">
        <w:rPr>
          <w:rFonts w:ascii="Arial" w:eastAsia="Calibri" w:hAnsi="Arial" w:cs="Arial"/>
          <w:color w:val="000000"/>
          <w:sz w:val="24"/>
          <w:szCs w:val="24"/>
          <w:shd w:val="clear" w:color="auto" w:fill="FFFFFF"/>
          <w:lang w:eastAsia="es-ES_tradnl"/>
        </w:rPr>
        <w:t xml:space="preserve"> </w:t>
      </w:r>
    </w:p>
    <w:p w14:paraId="12E58D76" w14:textId="7FD3AC02" w:rsidR="006169D6" w:rsidRDefault="007936D7" w:rsidP="007936D7">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 xml:space="preserve">Así, la Sala </w:t>
      </w:r>
      <w:r w:rsidR="006169D6">
        <w:rPr>
          <w:rFonts w:ascii="Arial" w:eastAsia="Calibri" w:hAnsi="Arial" w:cs="Arial"/>
          <w:color w:val="000000"/>
          <w:sz w:val="24"/>
          <w:szCs w:val="24"/>
          <w:shd w:val="clear" w:color="auto" w:fill="FFFFFF"/>
          <w:lang w:eastAsia="es-ES_tradnl"/>
        </w:rPr>
        <w:t>observa</w:t>
      </w:r>
      <w:r>
        <w:rPr>
          <w:rFonts w:ascii="Arial" w:eastAsia="Calibri" w:hAnsi="Arial" w:cs="Arial"/>
          <w:color w:val="000000"/>
          <w:sz w:val="24"/>
          <w:szCs w:val="24"/>
          <w:shd w:val="clear" w:color="auto" w:fill="FFFFFF"/>
          <w:lang w:eastAsia="es-ES_tradnl"/>
        </w:rPr>
        <w:t xml:space="preserve"> que el acto administrativo bajo </w:t>
      </w:r>
      <w:r w:rsidR="004F7703">
        <w:rPr>
          <w:rFonts w:ascii="Arial" w:eastAsia="Calibri" w:hAnsi="Arial" w:cs="Arial"/>
          <w:color w:val="000000"/>
          <w:sz w:val="24"/>
          <w:szCs w:val="24"/>
          <w:shd w:val="clear" w:color="auto" w:fill="FFFFFF"/>
          <w:lang w:eastAsia="es-ES_tradnl"/>
        </w:rPr>
        <w:t>examen</w:t>
      </w:r>
      <w:r>
        <w:rPr>
          <w:rFonts w:ascii="Arial" w:eastAsia="Calibri" w:hAnsi="Arial" w:cs="Arial"/>
          <w:color w:val="000000"/>
          <w:sz w:val="24"/>
          <w:szCs w:val="24"/>
          <w:shd w:val="clear" w:color="auto" w:fill="FFFFFF"/>
          <w:lang w:eastAsia="es-ES_tradnl"/>
        </w:rPr>
        <w:t xml:space="preserve"> decidió directamente sobre el fondo del asunto, pues definió la situación jurídica del señor Valencia Zamora dentro del concurso</w:t>
      </w:r>
      <w:r w:rsidR="006169D6">
        <w:rPr>
          <w:rFonts w:ascii="Arial" w:eastAsia="Calibri" w:hAnsi="Arial" w:cs="Arial"/>
          <w:color w:val="000000"/>
          <w:sz w:val="24"/>
          <w:szCs w:val="24"/>
          <w:shd w:val="clear" w:color="auto" w:fill="FFFFFF"/>
          <w:lang w:eastAsia="es-ES_tradnl"/>
        </w:rPr>
        <w:t xml:space="preserve"> de méritos</w:t>
      </w:r>
      <w:r>
        <w:rPr>
          <w:rFonts w:ascii="Arial" w:eastAsia="Calibri" w:hAnsi="Arial" w:cs="Arial"/>
          <w:color w:val="000000"/>
          <w:sz w:val="24"/>
          <w:szCs w:val="24"/>
          <w:shd w:val="clear" w:color="auto" w:fill="FFFFFF"/>
          <w:lang w:eastAsia="es-ES_tradnl"/>
        </w:rPr>
        <w:t>, e hizo imposible continuar con la actuación, en la medida en que dispuso que en su contra no procedían recursos</w:t>
      </w:r>
      <w:r w:rsidR="006169D6">
        <w:rPr>
          <w:rFonts w:ascii="Arial" w:eastAsia="Calibri" w:hAnsi="Arial" w:cs="Arial"/>
          <w:color w:val="000000"/>
          <w:sz w:val="24"/>
          <w:szCs w:val="24"/>
          <w:shd w:val="clear" w:color="auto" w:fill="FFFFFF"/>
          <w:lang w:eastAsia="es-ES_tradnl"/>
        </w:rPr>
        <w:t xml:space="preserve"> en sede administrativa</w:t>
      </w:r>
      <w:r w:rsidR="00155049">
        <w:rPr>
          <w:rFonts w:ascii="Arial" w:eastAsia="Calibri" w:hAnsi="Arial" w:cs="Arial"/>
          <w:color w:val="000000"/>
          <w:sz w:val="24"/>
          <w:szCs w:val="24"/>
          <w:shd w:val="clear" w:color="auto" w:fill="FFFFFF"/>
          <w:lang w:eastAsia="es-ES_tradnl"/>
        </w:rPr>
        <w:t xml:space="preserve">. </w:t>
      </w:r>
      <w:r w:rsidR="006169D6">
        <w:rPr>
          <w:rFonts w:ascii="Arial" w:eastAsia="Calibri" w:hAnsi="Arial" w:cs="Arial"/>
          <w:color w:val="000000"/>
          <w:sz w:val="24"/>
          <w:szCs w:val="24"/>
          <w:shd w:val="clear" w:color="auto" w:fill="FFFFFF"/>
          <w:lang w:eastAsia="es-ES_tradnl"/>
        </w:rPr>
        <w:t>Bajo tales consideraciones</w:t>
      </w:r>
      <w:r>
        <w:rPr>
          <w:rFonts w:ascii="Arial" w:eastAsia="Calibri" w:hAnsi="Arial" w:cs="Arial"/>
          <w:color w:val="000000"/>
          <w:sz w:val="24"/>
          <w:szCs w:val="24"/>
          <w:shd w:val="clear" w:color="auto" w:fill="FFFFFF"/>
          <w:lang w:eastAsia="es-ES_tradnl"/>
        </w:rPr>
        <w:t xml:space="preserve">, la Subsección concluye que la resolución </w:t>
      </w:r>
      <w:r w:rsidR="004F7703">
        <w:rPr>
          <w:rFonts w:ascii="Arial" w:eastAsia="Calibri" w:hAnsi="Arial" w:cs="Arial"/>
          <w:color w:val="000000"/>
          <w:sz w:val="24"/>
          <w:szCs w:val="24"/>
          <w:shd w:val="clear" w:color="auto" w:fill="FFFFFF"/>
          <w:lang w:eastAsia="es-ES_tradnl"/>
        </w:rPr>
        <w:t xml:space="preserve">cuestionada </w:t>
      </w:r>
      <w:r>
        <w:rPr>
          <w:rFonts w:ascii="Arial" w:eastAsia="Calibri" w:hAnsi="Arial" w:cs="Arial"/>
          <w:color w:val="000000"/>
          <w:sz w:val="24"/>
          <w:szCs w:val="24"/>
          <w:shd w:val="clear" w:color="auto" w:fill="FFFFFF"/>
          <w:lang w:eastAsia="es-ES_tradnl"/>
        </w:rPr>
        <w:t xml:space="preserve">es un acto administrativo definitivo. </w:t>
      </w:r>
    </w:p>
    <w:p w14:paraId="608F74FB" w14:textId="77F6731F" w:rsidR="00155049" w:rsidRDefault="004F7703" w:rsidP="009A76ED">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Frente a lo anterior</w:t>
      </w:r>
      <w:r w:rsidR="007936D7">
        <w:rPr>
          <w:rFonts w:ascii="Arial" w:eastAsia="Calibri" w:hAnsi="Arial" w:cs="Arial"/>
          <w:color w:val="000000"/>
          <w:sz w:val="24"/>
          <w:szCs w:val="24"/>
          <w:shd w:val="clear" w:color="auto" w:fill="FFFFFF"/>
          <w:lang w:eastAsia="es-ES_tradnl"/>
        </w:rPr>
        <w:t>, cabe resaltar que la Corte Constitucional ha dispuesto en su jurisprudencia, que la solicitud de amparo</w:t>
      </w:r>
      <w:r w:rsidR="006169D6">
        <w:rPr>
          <w:rFonts w:ascii="Arial" w:eastAsia="Calibri" w:hAnsi="Arial" w:cs="Arial"/>
          <w:color w:val="000000"/>
          <w:sz w:val="24"/>
          <w:szCs w:val="24"/>
          <w:shd w:val="clear" w:color="auto" w:fill="FFFFFF"/>
          <w:lang w:eastAsia="es-ES_tradnl"/>
        </w:rPr>
        <w:t xml:space="preserve"> que se dirige</w:t>
      </w:r>
      <w:r w:rsidR="007936D7">
        <w:rPr>
          <w:rFonts w:ascii="Arial" w:eastAsia="Calibri" w:hAnsi="Arial" w:cs="Arial"/>
          <w:color w:val="000000"/>
          <w:sz w:val="24"/>
          <w:szCs w:val="24"/>
          <w:shd w:val="clear" w:color="auto" w:fill="FFFFFF"/>
          <w:lang w:eastAsia="es-ES_tradnl"/>
        </w:rPr>
        <w:t xml:space="preserve"> en contra de actos definitivos “</w:t>
      </w:r>
      <w:r w:rsidR="007936D7" w:rsidRPr="00F160B7">
        <w:rPr>
          <w:rFonts w:ascii="Arial" w:eastAsia="Calibri" w:hAnsi="Arial" w:cs="Arial"/>
          <w:color w:val="000000"/>
          <w:sz w:val="24"/>
          <w:szCs w:val="24"/>
          <w:shd w:val="clear" w:color="auto" w:fill="FFFFFF"/>
          <w:lang w:eastAsia="es-ES_tradnl"/>
        </w:rPr>
        <w:t xml:space="preserve">se </w:t>
      </w:r>
      <w:proofErr w:type="spellStart"/>
      <w:r w:rsidR="007936D7" w:rsidRPr="00F160B7">
        <w:rPr>
          <w:rFonts w:ascii="Arial" w:eastAsia="Calibri" w:hAnsi="Arial" w:cs="Arial"/>
          <w:color w:val="000000"/>
          <w:sz w:val="24"/>
          <w:szCs w:val="24"/>
          <w:shd w:val="clear" w:color="auto" w:fill="FFFFFF"/>
          <w:lang w:eastAsia="es-ES_tradnl"/>
        </w:rPr>
        <w:t>somet</w:t>
      </w:r>
      <w:proofErr w:type="spellEnd"/>
      <w:r w:rsidR="007936D7">
        <w:rPr>
          <w:rFonts w:ascii="Arial" w:eastAsia="Calibri" w:hAnsi="Arial" w:cs="Arial"/>
          <w:color w:val="000000"/>
          <w:sz w:val="24"/>
          <w:szCs w:val="24"/>
          <w:shd w:val="clear" w:color="auto" w:fill="FFFFFF"/>
          <w:lang w:eastAsia="es-ES_tradnl"/>
        </w:rPr>
        <w:t>[</w:t>
      </w:r>
      <w:r w:rsidR="007936D7" w:rsidRPr="00F160B7">
        <w:rPr>
          <w:rFonts w:ascii="Arial" w:eastAsia="Calibri" w:hAnsi="Arial" w:cs="Arial"/>
          <w:color w:val="000000"/>
          <w:sz w:val="24"/>
          <w:szCs w:val="24"/>
          <w:shd w:val="clear" w:color="auto" w:fill="FFFFFF"/>
          <w:lang w:eastAsia="es-ES_tradnl"/>
        </w:rPr>
        <w:t>e</w:t>
      </w:r>
      <w:r w:rsidR="007936D7">
        <w:rPr>
          <w:rFonts w:ascii="Arial" w:eastAsia="Calibri" w:hAnsi="Arial" w:cs="Arial"/>
          <w:color w:val="000000"/>
          <w:sz w:val="24"/>
          <w:szCs w:val="24"/>
          <w:shd w:val="clear" w:color="auto" w:fill="FFFFFF"/>
          <w:lang w:eastAsia="es-ES_tradnl"/>
        </w:rPr>
        <w:t>]</w:t>
      </w:r>
      <w:r w:rsidR="007936D7" w:rsidRPr="00F160B7">
        <w:rPr>
          <w:rFonts w:ascii="Arial" w:eastAsia="Calibri" w:hAnsi="Arial" w:cs="Arial"/>
          <w:color w:val="000000"/>
          <w:sz w:val="24"/>
          <w:szCs w:val="24"/>
          <w:shd w:val="clear" w:color="auto" w:fill="FFFFFF"/>
          <w:lang w:eastAsia="es-ES_tradnl"/>
        </w:rPr>
        <w:t xml:space="preserve"> a las reglas generales de procedencia de la acción de tutela, es decir, que únicamente procede su estudio cuando el otro medio de defensa judicial ante el juez contencioso administrativo no sea idóneo ni eficaz</w:t>
      </w:r>
      <w:r w:rsidR="007936D7">
        <w:rPr>
          <w:rFonts w:ascii="Arial" w:eastAsia="Calibri" w:hAnsi="Arial" w:cs="Arial"/>
          <w:color w:val="000000"/>
          <w:sz w:val="24"/>
          <w:szCs w:val="24"/>
          <w:shd w:val="clear" w:color="auto" w:fill="FFFFFF"/>
          <w:lang w:eastAsia="es-ES_tradnl"/>
        </w:rPr>
        <w:t>”</w:t>
      </w:r>
      <w:r w:rsidR="007936D7" w:rsidRPr="007936D7">
        <w:rPr>
          <w:rStyle w:val="Refdenotaalpie"/>
          <w:rFonts w:ascii="Arial" w:hAnsi="Arial" w:cs="Arial"/>
          <w:szCs w:val="24"/>
          <w:shd w:val="clear" w:color="auto" w:fill="FFFFFF"/>
        </w:rPr>
        <w:footnoteReference w:id="71"/>
      </w:r>
      <w:r w:rsidR="007936D7">
        <w:rPr>
          <w:rFonts w:ascii="Arial" w:eastAsia="Calibri" w:hAnsi="Arial" w:cs="Arial"/>
          <w:color w:val="000000"/>
          <w:sz w:val="24"/>
          <w:szCs w:val="24"/>
          <w:shd w:val="clear" w:color="auto" w:fill="FFFFFF"/>
          <w:lang w:eastAsia="es-ES_tradnl"/>
        </w:rPr>
        <w:t xml:space="preserve">. </w:t>
      </w:r>
      <w:r w:rsidR="009A76ED">
        <w:rPr>
          <w:rFonts w:ascii="Arial" w:eastAsia="Calibri" w:hAnsi="Arial" w:cs="Arial"/>
          <w:color w:val="000000"/>
          <w:sz w:val="24"/>
          <w:szCs w:val="24"/>
          <w:shd w:val="clear" w:color="auto" w:fill="FFFFFF"/>
          <w:lang w:eastAsia="es-ES_tradnl"/>
        </w:rPr>
        <w:t>En ese orden</w:t>
      </w:r>
      <w:r w:rsidR="007936D7">
        <w:rPr>
          <w:rFonts w:ascii="Arial" w:eastAsia="Calibri" w:hAnsi="Arial" w:cs="Arial"/>
          <w:color w:val="000000"/>
          <w:sz w:val="24"/>
          <w:szCs w:val="24"/>
          <w:shd w:val="clear" w:color="auto" w:fill="FFFFFF"/>
          <w:lang w:eastAsia="es-ES_tradnl"/>
        </w:rPr>
        <w:t>,</w:t>
      </w:r>
      <w:r w:rsidR="009A76ED" w:rsidRPr="009A76ED">
        <w:rPr>
          <w:rFonts w:ascii="Arial" w:eastAsia="Calibri" w:hAnsi="Arial" w:cs="Arial"/>
          <w:color w:val="000000"/>
          <w:sz w:val="24"/>
          <w:szCs w:val="24"/>
          <w:shd w:val="clear" w:color="auto" w:fill="FFFFFF"/>
          <w:lang w:eastAsia="es-ES_tradnl"/>
        </w:rPr>
        <w:t xml:space="preserve"> </w:t>
      </w:r>
      <w:r w:rsidR="009A76ED">
        <w:rPr>
          <w:rFonts w:ascii="Arial" w:eastAsia="Calibri" w:hAnsi="Arial" w:cs="Arial"/>
          <w:color w:val="000000"/>
          <w:sz w:val="24"/>
          <w:szCs w:val="24"/>
          <w:shd w:val="clear" w:color="auto" w:fill="FFFFFF"/>
          <w:lang w:eastAsia="es-ES_tradnl"/>
        </w:rPr>
        <w:t>Nelson Julián Valencia Zamora</w:t>
      </w:r>
      <w:r w:rsidR="00D8040B">
        <w:rPr>
          <w:rFonts w:ascii="Arial" w:eastAsia="Calibri" w:hAnsi="Arial" w:cs="Arial"/>
          <w:color w:val="000000"/>
          <w:sz w:val="24"/>
          <w:szCs w:val="24"/>
          <w:shd w:val="clear" w:color="auto" w:fill="FFFFFF"/>
          <w:lang w:eastAsia="es-ES_tradnl"/>
        </w:rPr>
        <w:t xml:space="preserve">, </w:t>
      </w:r>
      <w:r w:rsidR="00D8040B">
        <w:rPr>
          <w:rFonts w:ascii="Arial" w:eastAsia="Times New Roman" w:hAnsi="Arial" w:cs="Arial"/>
          <w:color w:val="000000" w:themeColor="text1"/>
          <w:sz w:val="24"/>
          <w:szCs w:val="24"/>
          <w:lang w:eastAsia="es-ES"/>
        </w:rPr>
        <w:t>al estar inscrito en la Convocatoria 27</w:t>
      </w:r>
      <w:r w:rsidR="009A76ED">
        <w:rPr>
          <w:rFonts w:ascii="Arial" w:eastAsia="Times New Roman" w:hAnsi="Arial" w:cs="Arial"/>
          <w:color w:val="000000" w:themeColor="text1"/>
          <w:sz w:val="24"/>
          <w:szCs w:val="24"/>
          <w:lang w:eastAsia="es-ES"/>
        </w:rPr>
        <w:t>,</w:t>
      </w:r>
      <w:r w:rsidR="00D8040B">
        <w:rPr>
          <w:rFonts w:ascii="Arial" w:eastAsia="Times New Roman" w:hAnsi="Arial" w:cs="Arial"/>
          <w:color w:val="000000" w:themeColor="text1"/>
          <w:sz w:val="24"/>
          <w:szCs w:val="24"/>
          <w:lang w:eastAsia="es-ES"/>
        </w:rPr>
        <w:t xml:space="preserve"> tiene legitimación para impugnar los acto</w:t>
      </w:r>
      <w:r>
        <w:rPr>
          <w:rFonts w:ascii="Arial" w:eastAsia="Times New Roman" w:hAnsi="Arial" w:cs="Arial"/>
          <w:color w:val="000000" w:themeColor="text1"/>
          <w:sz w:val="24"/>
          <w:szCs w:val="24"/>
          <w:lang w:eastAsia="es-ES"/>
        </w:rPr>
        <w:t>s</w:t>
      </w:r>
      <w:r w:rsidR="00D8040B">
        <w:rPr>
          <w:rFonts w:ascii="Arial" w:eastAsia="Times New Roman" w:hAnsi="Arial" w:cs="Arial"/>
          <w:color w:val="000000" w:themeColor="text1"/>
          <w:sz w:val="24"/>
          <w:szCs w:val="24"/>
          <w:lang w:eastAsia="es-ES"/>
        </w:rPr>
        <w:t xml:space="preserve"> administrativos por medio de mecanismos judiciales, idóneos y eficaces distintos de la acción de tutela,</w:t>
      </w:r>
      <w:r w:rsidR="007936D7">
        <w:rPr>
          <w:rFonts w:ascii="Arial" w:eastAsia="Calibri" w:hAnsi="Arial" w:cs="Arial"/>
          <w:color w:val="000000"/>
          <w:sz w:val="24"/>
          <w:szCs w:val="24"/>
          <w:shd w:val="clear" w:color="auto" w:fill="FFFFFF"/>
          <w:lang w:eastAsia="es-ES_tradnl"/>
        </w:rPr>
        <w:t xml:space="preserve"> </w:t>
      </w:r>
      <w:r w:rsidR="009A76ED">
        <w:rPr>
          <w:rFonts w:ascii="Arial" w:eastAsia="Calibri" w:hAnsi="Arial" w:cs="Arial"/>
          <w:color w:val="000000"/>
          <w:sz w:val="24"/>
          <w:szCs w:val="24"/>
          <w:shd w:val="clear" w:color="auto" w:fill="FFFFFF"/>
          <w:lang w:eastAsia="es-ES_tradnl"/>
        </w:rPr>
        <w:t xml:space="preserve">motivo por el que </w:t>
      </w:r>
      <w:r w:rsidR="007936D7">
        <w:rPr>
          <w:rFonts w:ascii="Arial" w:eastAsia="Calibri" w:hAnsi="Arial" w:cs="Arial"/>
          <w:color w:val="000000"/>
          <w:sz w:val="24"/>
          <w:szCs w:val="24"/>
          <w:shd w:val="clear" w:color="auto" w:fill="FFFFFF"/>
          <w:lang w:eastAsia="es-ES_tradnl"/>
        </w:rPr>
        <w:t>tiene a su disposición el medio de control de nulidad y restablecimiento del derecho, para plantear ante el juez ordinario, los reparos que presentó en esta oportunidad en contra de la Resol</w:t>
      </w:r>
      <w:r w:rsidR="00155049">
        <w:rPr>
          <w:rFonts w:ascii="Arial" w:eastAsia="Calibri" w:hAnsi="Arial" w:cs="Arial"/>
          <w:color w:val="000000"/>
          <w:sz w:val="24"/>
          <w:szCs w:val="24"/>
          <w:shd w:val="clear" w:color="auto" w:fill="FFFFFF"/>
          <w:lang w:eastAsia="es-ES_tradnl"/>
        </w:rPr>
        <w:t>ución CJR022-0042 del 16 de enero de 2023, junto con las siguientes pretensiones que formuló en su escrito de tutela</w:t>
      </w:r>
      <w:r w:rsidR="00D8040B">
        <w:rPr>
          <w:rFonts w:ascii="Arial" w:eastAsia="Calibri" w:hAnsi="Arial" w:cs="Arial"/>
          <w:color w:val="000000"/>
          <w:sz w:val="24"/>
          <w:szCs w:val="24"/>
          <w:shd w:val="clear" w:color="auto" w:fill="FFFFFF"/>
          <w:lang w:eastAsia="es-ES_tradnl"/>
        </w:rPr>
        <w:t>, que también están dirigidas en contra del mencionado acto administrativo</w:t>
      </w:r>
      <w:r w:rsidR="00155049">
        <w:rPr>
          <w:rFonts w:ascii="Arial" w:eastAsia="Calibri" w:hAnsi="Arial" w:cs="Arial"/>
          <w:color w:val="000000"/>
          <w:sz w:val="24"/>
          <w:szCs w:val="24"/>
          <w:shd w:val="clear" w:color="auto" w:fill="FFFFFF"/>
          <w:lang w:eastAsia="es-ES_tradnl"/>
        </w:rPr>
        <w:t>:</w:t>
      </w:r>
    </w:p>
    <w:p w14:paraId="59433C55" w14:textId="608B5811" w:rsidR="007936D7" w:rsidRDefault="00155049" w:rsidP="007936D7">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ab/>
        <w:t>“PRINCIPALES</w:t>
      </w:r>
    </w:p>
    <w:p w14:paraId="5CBE5D6A" w14:textId="4CE066C2" w:rsidR="00155049" w:rsidRPr="00155049" w:rsidRDefault="00155049" w:rsidP="00155049">
      <w:pPr>
        <w:spacing w:after="240" w:line="240" w:lineRule="auto"/>
        <w:ind w:firstLine="708"/>
        <w:jc w:val="both"/>
        <w:textAlignment w:val="baseline"/>
        <w:rPr>
          <w:rFonts w:ascii="Arial" w:eastAsia="Calibri" w:hAnsi="Arial" w:cs="Arial"/>
          <w:color w:val="000000"/>
          <w:shd w:val="clear" w:color="auto" w:fill="FFFFFF"/>
          <w:lang w:eastAsia="es-ES_tradnl"/>
        </w:rPr>
      </w:pPr>
      <w:r w:rsidRPr="00155049">
        <w:rPr>
          <w:rFonts w:ascii="Arial" w:eastAsia="Calibri" w:hAnsi="Arial" w:cs="Arial"/>
          <w:color w:val="000000"/>
          <w:shd w:val="clear" w:color="auto" w:fill="FFFFFF"/>
          <w:lang w:eastAsia="es-ES_tradnl"/>
        </w:rPr>
        <w:t>(…)</w:t>
      </w:r>
    </w:p>
    <w:p w14:paraId="57212155" w14:textId="70034921" w:rsidR="00155049" w:rsidRDefault="00155049" w:rsidP="00155049">
      <w:pPr>
        <w:widowControl w:val="0"/>
        <w:tabs>
          <w:tab w:val="left" w:pos="851"/>
        </w:tabs>
        <w:spacing w:before="240" w:after="240" w:line="240" w:lineRule="auto"/>
        <w:ind w:left="708"/>
        <w:jc w:val="both"/>
        <w:rPr>
          <w:rFonts w:ascii="Arial" w:hAnsi="Arial" w:cs="Arial"/>
        </w:rPr>
      </w:pPr>
      <w:r w:rsidRPr="00B8405B">
        <w:rPr>
          <w:rFonts w:ascii="Arial" w:hAnsi="Arial" w:cs="Arial"/>
        </w:rPr>
        <w:t xml:space="preserve">5. Que se ordene al Consejo Superior de la Judicatura que responda de forma congruente los argumentos que le fueron puestos de presente en los recursos de reposición respetando así el principio de congruencia. </w:t>
      </w:r>
    </w:p>
    <w:p w14:paraId="4919729F" w14:textId="1B72303C" w:rsidR="00155049" w:rsidRDefault="00155049" w:rsidP="00155049">
      <w:pPr>
        <w:widowControl w:val="0"/>
        <w:tabs>
          <w:tab w:val="left" w:pos="851"/>
        </w:tabs>
        <w:spacing w:before="240" w:after="240" w:line="240" w:lineRule="auto"/>
        <w:ind w:left="708"/>
        <w:jc w:val="both"/>
        <w:rPr>
          <w:rFonts w:ascii="Arial" w:hAnsi="Arial" w:cs="Arial"/>
        </w:rPr>
      </w:pPr>
      <w:r>
        <w:rPr>
          <w:rFonts w:ascii="Arial" w:hAnsi="Arial" w:cs="Arial"/>
        </w:rPr>
        <w:t>(…)</w:t>
      </w:r>
    </w:p>
    <w:p w14:paraId="06B13283" w14:textId="3751B5F4" w:rsidR="00155049" w:rsidRDefault="00155049" w:rsidP="00155049">
      <w:pPr>
        <w:widowControl w:val="0"/>
        <w:tabs>
          <w:tab w:val="left" w:pos="851"/>
        </w:tabs>
        <w:spacing w:before="240" w:after="240" w:line="240" w:lineRule="auto"/>
        <w:ind w:left="708"/>
        <w:jc w:val="both"/>
        <w:rPr>
          <w:rFonts w:ascii="Arial" w:hAnsi="Arial" w:cs="Arial"/>
        </w:rPr>
      </w:pPr>
      <w:r>
        <w:rPr>
          <w:rFonts w:ascii="Arial" w:hAnsi="Arial" w:cs="Arial"/>
        </w:rPr>
        <w:t>SUBSIDIARIAS</w:t>
      </w:r>
    </w:p>
    <w:p w14:paraId="12199944" w14:textId="77777777" w:rsidR="00155049" w:rsidRPr="00B8405B" w:rsidRDefault="00155049" w:rsidP="00155049">
      <w:pPr>
        <w:widowControl w:val="0"/>
        <w:tabs>
          <w:tab w:val="left" w:pos="851"/>
        </w:tabs>
        <w:spacing w:before="240" w:after="240" w:line="240" w:lineRule="auto"/>
        <w:ind w:left="708"/>
        <w:jc w:val="both"/>
        <w:rPr>
          <w:rFonts w:ascii="Arial" w:hAnsi="Arial" w:cs="Arial"/>
        </w:rPr>
      </w:pPr>
      <w:r w:rsidRPr="00B8405B">
        <w:rPr>
          <w:rFonts w:ascii="Arial" w:hAnsi="Arial" w:cs="Arial"/>
        </w:rPr>
        <w:t>1. Que se orden</w:t>
      </w:r>
      <w:r>
        <w:rPr>
          <w:rFonts w:ascii="Arial" w:hAnsi="Arial" w:cs="Arial"/>
        </w:rPr>
        <w:t xml:space="preserve"> (sic)</w:t>
      </w:r>
      <w:r w:rsidRPr="00B8405B">
        <w:rPr>
          <w:rFonts w:ascii="Arial" w:hAnsi="Arial" w:cs="Arial"/>
        </w:rPr>
        <w:t xml:space="preserve"> al Consejo Superior de la Judicatura que corrija las preguntas cuyas respuestas consideradas correctas por la universidad no coinciden con el ordenamiento legal, la jurisprudencia y el orden constitucional. </w:t>
      </w:r>
    </w:p>
    <w:p w14:paraId="7B198FA7" w14:textId="77777777" w:rsidR="00155049" w:rsidRPr="00B8405B" w:rsidRDefault="00155049" w:rsidP="00155049">
      <w:pPr>
        <w:widowControl w:val="0"/>
        <w:tabs>
          <w:tab w:val="left" w:pos="851"/>
        </w:tabs>
        <w:spacing w:before="240" w:after="240" w:line="240" w:lineRule="auto"/>
        <w:ind w:left="708"/>
        <w:jc w:val="both"/>
        <w:rPr>
          <w:rFonts w:ascii="Arial" w:hAnsi="Arial" w:cs="Arial"/>
        </w:rPr>
      </w:pPr>
      <w:r w:rsidRPr="00B8405B">
        <w:rPr>
          <w:rFonts w:ascii="Arial" w:hAnsi="Arial" w:cs="Arial"/>
        </w:rPr>
        <w:t>2. Que se ordene al Consejo Superior de la Judicatura que las preguntas que fueron incluidas en la prueba de conocimientos que le fueron formuladas a los participantes para el cargo de Juez Promiscuo Municipal y que no corresponden a su competencia, sean tenidas en cuenta como validas</w:t>
      </w:r>
      <w:r>
        <w:rPr>
          <w:rFonts w:ascii="Arial" w:hAnsi="Arial" w:cs="Arial"/>
        </w:rPr>
        <w:t xml:space="preserve"> </w:t>
      </w:r>
      <w:r w:rsidRPr="00B8405B">
        <w:rPr>
          <w:rFonts w:ascii="Arial" w:hAnsi="Arial" w:cs="Arial"/>
        </w:rPr>
        <w:t>parta</w:t>
      </w:r>
      <w:r>
        <w:rPr>
          <w:rFonts w:ascii="Arial" w:hAnsi="Arial" w:cs="Arial"/>
        </w:rPr>
        <w:t xml:space="preserve"> (sic)</w:t>
      </w:r>
      <w:r w:rsidRPr="00B8405B">
        <w:rPr>
          <w:rFonts w:ascii="Arial" w:hAnsi="Arial" w:cs="Arial"/>
        </w:rPr>
        <w:t xml:space="preserve"> todos los participantes. </w:t>
      </w:r>
    </w:p>
    <w:p w14:paraId="1EA90496" w14:textId="37671A9F" w:rsidR="00155049" w:rsidRDefault="00155049" w:rsidP="00155049">
      <w:pPr>
        <w:widowControl w:val="0"/>
        <w:tabs>
          <w:tab w:val="left" w:pos="851"/>
        </w:tabs>
        <w:spacing w:before="240" w:after="240" w:line="240" w:lineRule="auto"/>
        <w:ind w:left="708"/>
        <w:jc w:val="both"/>
        <w:rPr>
          <w:rFonts w:ascii="Arial" w:hAnsi="Arial" w:cs="Arial"/>
        </w:rPr>
      </w:pPr>
      <w:r w:rsidRPr="00B8405B">
        <w:rPr>
          <w:rFonts w:ascii="Arial" w:hAnsi="Arial" w:cs="Arial"/>
        </w:rPr>
        <w:t>3. Que se ordene al Consejo Superior de la Judicatura que dado que el resultado de la prueba corresponde a una valoración general de todos los participantes (curva geométrica) se realice una corrección de las preguntas formuladas y se emita una nueva calificación para todos los participantes”</w:t>
      </w:r>
      <w:r>
        <w:rPr>
          <w:rStyle w:val="Refdenotaalpie"/>
          <w:rFonts w:ascii="Arial" w:hAnsi="Arial" w:cs="Arial"/>
        </w:rPr>
        <w:footnoteReference w:id="72"/>
      </w:r>
      <w:r w:rsidRPr="00B8405B">
        <w:rPr>
          <w:rFonts w:ascii="Arial" w:hAnsi="Arial" w:cs="Arial"/>
        </w:rPr>
        <w:t>.</w:t>
      </w:r>
    </w:p>
    <w:p w14:paraId="2B5BBE5B" w14:textId="49CE146E" w:rsidR="002B7A96" w:rsidRDefault="006169D6" w:rsidP="00533B7F">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(ii) Oficio CJ022-5613 del 20 de diciembre de 2022</w:t>
      </w:r>
    </w:p>
    <w:p w14:paraId="58C508AA" w14:textId="4774C51F" w:rsidR="00DF266A" w:rsidRDefault="006169D6" w:rsidP="00533B7F">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Nelson Julián Valencia Zamora, en compañía de otras personas, solicitó a la Unidad de Administración de Carrera Judicial del Consejo Superior de la Judicatura que dejara sin efectos y repitiera la prueba realizada el 24 de julio de 2022, con un operador técnico distinto a la Universidad Nacional de Colombia. La mencionada dependencia dio respuesta en Oficio CJ022-5613 del 20 de diciembre de 2022</w:t>
      </w:r>
      <w:r w:rsidR="006321DB">
        <w:rPr>
          <w:rFonts w:ascii="Arial" w:eastAsia="Calibri" w:hAnsi="Arial" w:cs="Arial"/>
          <w:color w:val="000000"/>
          <w:sz w:val="24"/>
          <w:szCs w:val="24"/>
          <w:shd w:val="clear" w:color="auto" w:fill="FFFFFF"/>
          <w:lang w:eastAsia="es-ES_tradnl"/>
        </w:rPr>
        <w:t xml:space="preserve">, en la que informó los antecedentes administrativos del concurso de méritos que se adelanta bajo la Convocatoria 27, explicó </w:t>
      </w:r>
      <w:r w:rsidR="00E403CD">
        <w:rPr>
          <w:rFonts w:ascii="Arial" w:eastAsia="Calibri" w:hAnsi="Arial" w:cs="Arial"/>
          <w:color w:val="000000"/>
          <w:sz w:val="24"/>
          <w:szCs w:val="24"/>
          <w:shd w:val="clear" w:color="auto" w:fill="FFFFFF"/>
          <w:lang w:eastAsia="es-ES_tradnl"/>
        </w:rPr>
        <w:t>por qué</w:t>
      </w:r>
      <w:r w:rsidR="006321DB">
        <w:rPr>
          <w:rFonts w:ascii="Arial" w:eastAsia="Calibri" w:hAnsi="Arial" w:cs="Arial"/>
          <w:color w:val="000000"/>
          <w:sz w:val="24"/>
          <w:szCs w:val="24"/>
          <w:shd w:val="clear" w:color="auto" w:fill="FFFFFF"/>
          <w:lang w:eastAsia="es-ES_tradnl"/>
        </w:rPr>
        <w:t xml:space="preserve"> </w:t>
      </w:r>
      <w:r w:rsidR="00E403CD">
        <w:rPr>
          <w:rFonts w:ascii="Arial" w:eastAsia="Calibri" w:hAnsi="Arial" w:cs="Arial"/>
          <w:color w:val="000000"/>
          <w:sz w:val="24"/>
          <w:szCs w:val="24"/>
          <w:shd w:val="clear" w:color="auto" w:fill="FFFFFF"/>
          <w:lang w:eastAsia="es-ES_tradnl"/>
        </w:rPr>
        <w:t>retrotrajo</w:t>
      </w:r>
      <w:r w:rsidR="006321DB">
        <w:rPr>
          <w:rFonts w:ascii="Arial" w:eastAsia="Calibri" w:hAnsi="Arial" w:cs="Arial"/>
          <w:color w:val="000000"/>
          <w:sz w:val="24"/>
          <w:szCs w:val="24"/>
          <w:shd w:val="clear" w:color="auto" w:fill="FFFFFF"/>
          <w:lang w:eastAsia="es-ES_tradnl"/>
        </w:rPr>
        <w:t xml:space="preserve"> las actuaciones administrativas adelantadas, y </w:t>
      </w:r>
      <w:r w:rsidR="00DF266A">
        <w:rPr>
          <w:rFonts w:ascii="Arial" w:eastAsia="Calibri" w:hAnsi="Arial" w:cs="Arial"/>
          <w:color w:val="000000"/>
          <w:sz w:val="24"/>
          <w:szCs w:val="24"/>
          <w:shd w:val="clear" w:color="auto" w:fill="FFFFFF"/>
          <w:lang w:eastAsia="es-ES_tradnl"/>
        </w:rPr>
        <w:t>manifestó</w:t>
      </w:r>
      <w:r w:rsidR="006321DB">
        <w:rPr>
          <w:rFonts w:ascii="Arial" w:eastAsia="Calibri" w:hAnsi="Arial" w:cs="Arial"/>
          <w:color w:val="000000"/>
          <w:sz w:val="24"/>
          <w:szCs w:val="24"/>
          <w:shd w:val="clear" w:color="auto" w:fill="FFFFFF"/>
          <w:lang w:eastAsia="es-ES_tradnl"/>
        </w:rPr>
        <w:t xml:space="preserve"> que no sería “</w:t>
      </w:r>
      <w:r w:rsidR="006321DB" w:rsidRPr="006321DB">
        <w:rPr>
          <w:rFonts w:ascii="Arial" w:eastAsia="Calibri" w:hAnsi="Arial" w:cs="Arial"/>
          <w:color w:val="000000"/>
          <w:sz w:val="24"/>
          <w:szCs w:val="24"/>
          <w:shd w:val="clear" w:color="auto" w:fill="FFFFFF"/>
          <w:lang w:eastAsia="es-ES_tradnl"/>
        </w:rPr>
        <w:t xml:space="preserve">coherente con la relevancia del proceso de selección, seguir realizando ajustes parciales cada tanto, que impactan los resultados generales de las pruebas, </w:t>
      </w:r>
      <w:r w:rsidR="006321DB">
        <w:rPr>
          <w:rFonts w:ascii="Arial" w:eastAsia="Calibri" w:hAnsi="Arial" w:cs="Arial"/>
          <w:color w:val="000000"/>
          <w:sz w:val="24"/>
          <w:szCs w:val="24"/>
          <w:shd w:val="clear" w:color="auto" w:fill="FFFFFF"/>
          <w:lang w:eastAsia="es-ES_tradnl"/>
        </w:rPr>
        <w:t>[pues esto]</w:t>
      </w:r>
      <w:r w:rsidR="006321DB" w:rsidRPr="006321DB">
        <w:rPr>
          <w:rFonts w:ascii="Arial" w:eastAsia="Calibri" w:hAnsi="Arial" w:cs="Arial"/>
          <w:color w:val="000000"/>
          <w:sz w:val="24"/>
          <w:szCs w:val="24"/>
          <w:shd w:val="clear" w:color="auto" w:fill="FFFFFF"/>
          <w:lang w:eastAsia="es-ES_tradnl"/>
        </w:rPr>
        <w:t xml:space="preserve"> implicaría constantes cambios de las personas que cumplen y las que no</w:t>
      </w:r>
      <w:r w:rsidR="006321DB">
        <w:rPr>
          <w:rFonts w:ascii="Arial" w:eastAsia="Calibri" w:hAnsi="Arial" w:cs="Arial"/>
          <w:color w:val="000000"/>
          <w:sz w:val="24"/>
          <w:szCs w:val="24"/>
          <w:shd w:val="clear" w:color="auto" w:fill="FFFFFF"/>
          <w:lang w:eastAsia="es-ES_tradnl"/>
        </w:rPr>
        <w:t>”</w:t>
      </w:r>
      <w:r w:rsidR="006321DB">
        <w:rPr>
          <w:rStyle w:val="Refdenotaalpie"/>
          <w:rFonts w:ascii="Arial" w:eastAsia="Calibri" w:hAnsi="Arial" w:cs="Arial"/>
          <w:color w:val="000000"/>
          <w:sz w:val="24"/>
          <w:szCs w:val="24"/>
          <w:shd w:val="clear" w:color="auto" w:fill="FFFFFF"/>
          <w:lang w:eastAsia="es-ES_tradnl"/>
        </w:rPr>
        <w:footnoteReference w:id="73"/>
      </w:r>
      <w:r w:rsidR="006321DB" w:rsidRPr="006321DB">
        <w:rPr>
          <w:rFonts w:ascii="Arial" w:eastAsia="Calibri" w:hAnsi="Arial" w:cs="Arial"/>
          <w:color w:val="000000"/>
          <w:sz w:val="24"/>
          <w:szCs w:val="24"/>
          <w:shd w:val="clear" w:color="auto" w:fill="FFFFFF"/>
          <w:lang w:eastAsia="es-ES_tradnl"/>
        </w:rPr>
        <w:t>.</w:t>
      </w:r>
    </w:p>
    <w:p w14:paraId="15950C07" w14:textId="0BA3878B" w:rsidR="00DF266A" w:rsidRDefault="00CE3051" w:rsidP="00533B7F">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En dicho escrito</w:t>
      </w:r>
      <w:r w:rsidR="00DF266A">
        <w:rPr>
          <w:rFonts w:ascii="Arial" w:eastAsia="Calibri" w:hAnsi="Arial" w:cs="Arial"/>
          <w:color w:val="000000"/>
          <w:sz w:val="24"/>
          <w:szCs w:val="24"/>
          <w:shd w:val="clear" w:color="auto" w:fill="FFFFFF"/>
          <w:lang w:eastAsia="es-ES_tradnl"/>
        </w:rPr>
        <w:t>, la mencionada autoridad</w:t>
      </w:r>
      <w:r>
        <w:rPr>
          <w:rFonts w:ascii="Arial" w:eastAsia="Calibri" w:hAnsi="Arial" w:cs="Arial"/>
          <w:color w:val="000000"/>
          <w:sz w:val="24"/>
          <w:szCs w:val="24"/>
          <w:shd w:val="clear" w:color="auto" w:fill="FFFFFF"/>
          <w:lang w:eastAsia="es-ES_tradnl"/>
        </w:rPr>
        <w:t xml:space="preserve"> también</w:t>
      </w:r>
      <w:r w:rsidR="00DF266A">
        <w:rPr>
          <w:rFonts w:ascii="Arial" w:eastAsia="Calibri" w:hAnsi="Arial" w:cs="Arial"/>
          <w:color w:val="000000"/>
          <w:sz w:val="24"/>
          <w:szCs w:val="24"/>
          <w:shd w:val="clear" w:color="auto" w:fill="FFFFFF"/>
          <w:lang w:eastAsia="es-ES_tradnl"/>
        </w:rPr>
        <w:t xml:space="preserve"> indicó que la respuesta </w:t>
      </w:r>
      <w:r>
        <w:rPr>
          <w:rFonts w:ascii="Arial" w:eastAsia="Calibri" w:hAnsi="Arial" w:cs="Arial"/>
          <w:color w:val="000000"/>
          <w:sz w:val="24"/>
          <w:szCs w:val="24"/>
          <w:shd w:val="clear" w:color="auto" w:fill="FFFFFF"/>
          <w:lang w:eastAsia="es-ES_tradnl"/>
        </w:rPr>
        <w:t>la</w:t>
      </w:r>
      <w:r w:rsidR="00DF266A">
        <w:rPr>
          <w:rFonts w:ascii="Arial" w:eastAsia="Calibri" w:hAnsi="Arial" w:cs="Arial"/>
          <w:color w:val="000000"/>
          <w:sz w:val="24"/>
          <w:szCs w:val="24"/>
          <w:shd w:val="clear" w:color="auto" w:fill="FFFFFF"/>
          <w:lang w:eastAsia="es-ES_tradnl"/>
        </w:rPr>
        <w:t xml:space="preserve"> expedía “con los alcances del artículo 28 de la Ley 1755 de 2015”</w:t>
      </w:r>
      <w:r w:rsidR="00DF266A">
        <w:rPr>
          <w:rStyle w:val="Refdenotaalpie"/>
          <w:rFonts w:ascii="Arial" w:eastAsia="Calibri" w:hAnsi="Arial" w:cs="Arial"/>
          <w:color w:val="000000"/>
          <w:sz w:val="24"/>
          <w:szCs w:val="24"/>
          <w:shd w:val="clear" w:color="auto" w:fill="FFFFFF"/>
          <w:lang w:eastAsia="es-ES_tradnl"/>
        </w:rPr>
        <w:footnoteReference w:id="74"/>
      </w:r>
      <w:r w:rsidR="00DF266A">
        <w:rPr>
          <w:rFonts w:ascii="Arial" w:eastAsia="Calibri" w:hAnsi="Arial" w:cs="Arial"/>
          <w:color w:val="000000"/>
          <w:sz w:val="24"/>
          <w:szCs w:val="24"/>
          <w:shd w:val="clear" w:color="auto" w:fill="FFFFFF"/>
          <w:lang w:eastAsia="es-ES_tradnl"/>
        </w:rPr>
        <w:t>, que dispone lo siguiente:</w:t>
      </w:r>
    </w:p>
    <w:p w14:paraId="4D551329" w14:textId="34A5DDC5" w:rsidR="00DF266A" w:rsidRDefault="00DF266A" w:rsidP="00572631">
      <w:pPr>
        <w:spacing w:after="240" w:line="240" w:lineRule="auto"/>
        <w:ind w:left="708"/>
        <w:jc w:val="both"/>
        <w:textAlignment w:val="baseline"/>
        <w:rPr>
          <w:rFonts w:ascii="Arial" w:eastAsia="Calibri" w:hAnsi="Arial" w:cs="Arial"/>
          <w:color w:val="000000"/>
          <w:shd w:val="clear" w:color="auto" w:fill="FFFFFF"/>
          <w:lang w:eastAsia="es-ES_tradnl"/>
        </w:rPr>
      </w:pPr>
      <w:r w:rsidRPr="00572631">
        <w:rPr>
          <w:rFonts w:ascii="Arial" w:eastAsia="Calibri" w:hAnsi="Arial" w:cs="Arial"/>
          <w:color w:val="000000"/>
          <w:shd w:val="clear" w:color="auto" w:fill="FFFFFF"/>
          <w:lang w:eastAsia="es-ES_tradnl"/>
        </w:rPr>
        <w:t xml:space="preserve">“Artículo 28. Alcance de los conceptos. </w:t>
      </w:r>
      <w:r w:rsidR="00572631" w:rsidRPr="00572631">
        <w:rPr>
          <w:rFonts w:ascii="Arial" w:eastAsia="Calibri" w:hAnsi="Arial" w:cs="Arial"/>
          <w:color w:val="000000"/>
          <w:shd w:val="clear" w:color="auto" w:fill="FFFFFF"/>
          <w:lang w:eastAsia="es-ES_tradnl"/>
        </w:rPr>
        <w:t xml:space="preserve">Salvo disposición legal en contrario, los conceptos emitidos por las autoridades como respuestas a peticiones realizadas en ejercicio del derecho a formular </w:t>
      </w:r>
      <w:r w:rsidR="00572631" w:rsidRPr="00E403CD">
        <w:rPr>
          <w:rFonts w:ascii="Arial" w:eastAsia="Calibri" w:hAnsi="Arial" w:cs="Arial"/>
          <w:b/>
          <w:bCs/>
          <w:color w:val="000000"/>
          <w:u w:val="single"/>
          <w:shd w:val="clear" w:color="auto" w:fill="FFFFFF"/>
          <w:lang w:eastAsia="es-ES_tradnl"/>
        </w:rPr>
        <w:t>consultas</w:t>
      </w:r>
      <w:r w:rsidR="00572631" w:rsidRPr="00572631">
        <w:rPr>
          <w:rFonts w:ascii="Arial" w:eastAsia="Calibri" w:hAnsi="Arial" w:cs="Arial"/>
          <w:color w:val="000000"/>
          <w:shd w:val="clear" w:color="auto" w:fill="FFFFFF"/>
          <w:lang w:eastAsia="es-ES_tradnl"/>
        </w:rPr>
        <w:t xml:space="preserve"> no serán de obligatorio cumplimiento o ejecución</w:t>
      </w:r>
      <w:r w:rsidR="00572631">
        <w:rPr>
          <w:rFonts w:ascii="Arial" w:eastAsia="Calibri" w:hAnsi="Arial" w:cs="Arial"/>
          <w:color w:val="000000"/>
          <w:shd w:val="clear" w:color="auto" w:fill="FFFFFF"/>
          <w:lang w:eastAsia="es-ES_tradnl"/>
        </w:rPr>
        <w:t>”</w:t>
      </w:r>
      <w:r w:rsidR="00572631" w:rsidRPr="00572631">
        <w:rPr>
          <w:rFonts w:ascii="Arial" w:eastAsia="Calibri" w:hAnsi="Arial" w:cs="Arial"/>
          <w:color w:val="000000"/>
          <w:shd w:val="clear" w:color="auto" w:fill="FFFFFF"/>
          <w:lang w:eastAsia="es-ES_tradnl"/>
        </w:rPr>
        <w:t>.</w:t>
      </w:r>
      <w:r w:rsidR="00E403CD">
        <w:rPr>
          <w:rFonts w:ascii="Arial" w:eastAsia="Calibri" w:hAnsi="Arial" w:cs="Arial"/>
          <w:color w:val="000000"/>
          <w:shd w:val="clear" w:color="auto" w:fill="FFFFFF"/>
          <w:lang w:eastAsia="es-ES_tradnl"/>
        </w:rPr>
        <w:t xml:space="preserve"> (Negritas y subrayado por fuera de texto).</w:t>
      </w:r>
    </w:p>
    <w:p w14:paraId="36FD4DCA" w14:textId="348175F9" w:rsidR="00572631" w:rsidRDefault="00572631" w:rsidP="00572631">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 xml:space="preserve">Al respecto, cabe destacar que, de acuerdo con la jurisprudencia constitucional, los conceptos emitidos por las autoridades en respuesta </w:t>
      </w:r>
      <w:r w:rsidR="00E403CD">
        <w:rPr>
          <w:rFonts w:ascii="Arial" w:eastAsia="Calibri" w:hAnsi="Arial" w:cs="Arial"/>
          <w:color w:val="000000"/>
          <w:sz w:val="24"/>
          <w:szCs w:val="24"/>
          <w:shd w:val="clear" w:color="auto" w:fill="FFFFFF"/>
          <w:lang w:eastAsia="es-ES_tradnl"/>
        </w:rPr>
        <w:t>de</w:t>
      </w:r>
      <w:r>
        <w:rPr>
          <w:rFonts w:ascii="Arial" w:eastAsia="Calibri" w:hAnsi="Arial" w:cs="Arial"/>
          <w:color w:val="000000"/>
          <w:sz w:val="24"/>
          <w:szCs w:val="24"/>
          <w:shd w:val="clear" w:color="auto" w:fill="FFFFFF"/>
          <w:lang w:eastAsia="es-ES_tradnl"/>
        </w:rPr>
        <w:t xml:space="preserve"> peticiones de </w:t>
      </w:r>
      <w:r w:rsidRPr="00572631">
        <w:rPr>
          <w:rFonts w:ascii="Arial" w:eastAsia="Calibri" w:hAnsi="Arial" w:cs="Arial"/>
          <w:b/>
          <w:bCs/>
          <w:color w:val="000000"/>
          <w:sz w:val="24"/>
          <w:szCs w:val="24"/>
          <w:u w:val="single"/>
          <w:shd w:val="clear" w:color="auto" w:fill="FFFFFF"/>
          <w:lang w:eastAsia="es-ES_tradnl"/>
        </w:rPr>
        <w:t>consulta</w:t>
      </w:r>
      <w:r w:rsidR="004F7703">
        <w:rPr>
          <w:rFonts w:ascii="Arial" w:eastAsia="Calibri" w:hAnsi="Arial" w:cs="Arial"/>
          <w:color w:val="000000"/>
          <w:sz w:val="24"/>
          <w:szCs w:val="24"/>
          <w:shd w:val="clear" w:color="auto" w:fill="FFFFFF"/>
          <w:lang w:eastAsia="es-ES_tradnl"/>
        </w:rPr>
        <w:t>,</w:t>
      </w:r>
      <w:r>
        <w:rPr>
          <w:rFonts w:ascii="Arial" w:eastAsia="Calibri" w:hAnsi="Arial" w:cs="Arial"/>
          <w:color w:val="000000"/>
          <w:sz w:val="24"/>
          <w:szCs w:val="24"/>
          <w:shd w:val="clear" w:color="auto" w:fill="FFFFFF"/>
          <w:lang w:eastAsia="es-ES_tradnl"/>
        </w:rPr>
        <w:t xml:space="preserve"> </w:t>
      </w:r>
      <w:r w:rsidR="000479A2">
        <w:rPr>
          <w:rFonts w:ascii="Arial" w:eastAsia="Calibri" w:hAnsi="Arial" w:cs="Arial"/>
          <w:color w:val="000000"/>
          <w:sz w:val="24"/>
          <w:szCs w:val="24"/>
          <w:shd w:val="clear" w:color="auto" w:fill="FFFFFF"/>
          <w:lang w:eastAsia="es-ES_tradnl"/>
        </w:rPr>
        <w:t>generan</w:t>
      </w:r>
      <w:r>
        <w:rPr>
          <w:rFonts w:ascii="Arial" w:eastAsia="Calibri" w:hAnsi="Arial" w:cs="Arial"/>
          <w:color w:val="000000"/>
          <w:sz w:val="24"/>
          <w:szCs w:val="24"/>
          <w:shd w:val="clear" w:color="auto" w:fill="FFFFFF"/>
          <w:lang w:eastAsia="es-ES_tradnl"/>
        </w:rPr>
        <w:t xml:space="preserve"> que el interesado queda en libertad de acogerlo o no y, “e</w:t>
      </w:r>
      <w:r w:rsidRPr="00572631">
        <w:rPr>
          <w:rFonts w:ascii="Arial" w:eastAsia="Calibri" w:hAnsi="Arial" w:cs="Arial"/>
          <w:color w:val="000000"/>
          <w:sz w:val="24"/>
          <w:szCs w:val="24"/>
          <w:shd w:val="clear" w:color="auto" w:fill="FFFFFF"/>
          <w:lang w:eastAsia="es-ES_tradnl"/>
        </w:rPr>
        <w:t>n principio, su emisión no compromete la responsabilidad de las entidades públicas, que los expiden, ni las obliga a su cumplimiento o ejecución. Por consiguiente, de la circunstancia de que el administrado no se someta a sus formulaciones no puede ser objeto de consecuencias negativas en su contra, diferentes a las que podrían originarse del contenido de las normas jurídicas sobre cuyo entendimiento o alcance se pronuncia el concepto</w:t>
      </w:r>
      <w:r>
        <w:rPr>
          <w:rFonts w:ascii="Arial" w:eastAsia="Calibri" w:hAnsi="Arial" w:cs="Arial"/>
          <w:color w:val="000000"/>
          <w:sz w:val="24"/>
          <w:szCs w:val="24"/>
          <w:shd w:val="clear" w:color="auto" w:fill="FFFFFF"/>
          <w:lang w:eastAsia="es-ES_tradnl"/>
        </w:rPr>
        <w:t>”</w:t>
      </w:r>
      <w:r>
        <w:rPr>
          <w:rStyle w:val="Refdenotaalpie"/>
          <w:rFonts w:ascii="Arial" w:eastAsia="Calibri" w:hAnsi="Arial" w:cs="Arial"/>
          <w:color w:val="000000"/>
          <w:sz w:val="24"/>
          <w:szCs w:val="24"/>
          <w:shd w:val="clear" w:color="auto" w:fill="FFFFFF"/>
          <w:lang w:eastAsia="es-ES_tradnl"/>
        </w:rPr>
        <w:footnoteReference w:id="75"/>
      </w:r>
      <w:r w:rsidRPr="00572631">
        <w:rPr>
          <w:rFonts w:ascii="Arial" w:eastAsia="Calibri" w:hAnsi="Arial" w:cs="Arial"/>
          <w:color w:val="000000"/>
          <w:sz w:val="24"/>
          <w:szCs w:val="24"/>
          <w:shd w:val="clear" w:color="auto" w:fill="FFFFFF"/>
          <w:lang w:eastAsia="es-ES_tradnl"/>
        </w:rPr>
        <w:t>. </w:t>
      </w:r>
    </w:p>
    <w:p w14:paraId="25FBB81C" w14:textId="5C632AD7" w:rsidR="00572631" w:rsidRDefault="00572631" w:rsidP="00572631">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En contraposición, si el concepto en su contenido “tiene un carácter autorregulador d</w:t>
      </w:r>
      <w:r w:rsidRPr="00572631">
        <w:rPr>
          <w:rFonts w:ascii="Arial" w:eastAsia="Calibri" w:hAnsi="Arial" w:cs="Arial"/>
          <w:color w:val="000000"/>
          <w:sz w:val="24"/>
          <w:szCs w:val="24"/>
          <w:shd w:val="clear" w:color="auto" w:fill="FFFFFF"/>
          <w:lang w:eastAsia="es-ES_tradnl"/>
        </w:rPr>
        <w:t xml:space="preserve">e la actividad administrativa y se impone su exigencia a terceros, bien puede considerarse como un acto decisorio de la </w:t>
      </w:r>
      <w:r w:rsidR="00E403CD">
        <w:rPr>
          <w:rFonts w:ascii="Arial" w:eastAsia="Calibri" w:hAnsi="Arial" w:cs="Arial"/>
          <w:color w:val="000000"/>
          <w:sz w:val="24"/>
          <w:szCs w:val="24"/>
          <w:shd w:val="clear" w:color="auto" w:fill="FFFFFF"/>
          <w:lang w:eastAsia="es-ES_tradnl"/>
        </w:rPr>
        <w:t>[a]</w:t>
      </w:r>
      <w:proofErr w:type="spellStart"/>
      <w:r w:rsidRPr="00572631">
        <w:rPr>
          <w:rFonts w:ascii="Arial" w:eastAsia="Calibri" w:hAnsi="Arial" w:cs="Arial"/>
          <w:color w:val="000000"/>
          <w:sz w:val="24"/>
          <w:szCs w:val="24"/>
          <w:shd w:val="clear" w:color="auto" w:fill="FFFFFF"/>
          <w:lang w:eastAsia="es-ES_tradnl"/>
        </w:rPr>
        <w:t>dministración</w:t>
      </w:r>
      <w:proofErr w:type="spellEnd"/>
      <w:r w:rsidRPr="00572631">
        <w:rPr>
          <w:rFonts w:ascii="Arial" w:eastAsia="Calibri" w:hAnsi="Arial" w:cs="Arial"/>
          <w:color w:val="000000"/>
          <w:sz w:val="24"/>
          <w:szCs w:val="24"/>
          <w:shd w:val="clear" w:color="auto" w:fill="FFFFFF"/>
          <w:lang w:eastAsia="es-ES_tradnl"/>
        </w:rPr>
        <w:t>, con las consecuencias jurídicas que ello apareja. En tal virtud, deja de ser un concepto y se convierte en un acto administrativo, de una naturaleza igual o similar a las llamadas circulares o instrucciones de servicio</w:t>
      </w:r>
      <w:r>
        <w:rPr>
          <w:rFonts w:ascii="Arial" w:eastAsia="Calibri" w:hAnsi="Arial" w:cs="Arial"/>
          <w:color w:val="000000"/>
          <w:sz w:val="24"/>
          <w:szCs w:val="24"/>
          <w:shd w:val="clear" w:color="auto" w:fill="FFFFFF"/>
          <w:lang w:eastAsia="es-ES_tradnl"/>
        </w:rPr>
        <w:t>”</w:t>
      </w:r>
      <w:r>
        <w:rPr>
          <w:rStyle w:val="Refdenotaalpie"/>
          <w:rFonts w:ascii="Arial" w:eastAsia="Calibri" w:hAnsi="Arial" w:cs="Arial"/>
          <w:color w:val="000000"/>
          <w:sz w:val="24"/>
          <w:szCs w:val="24"/>
          <w:shd w:val="clear" w:color="auto" w:fill="FFFFFF"/>
          <w:lang w:eastAsia="es-ES_tradnl"/>
        </w:rPr>
        <w:footnoteReference w:id="76"/>
      </w:r>
      <w:r>
        <w:rPr>
          <w:rFonts w:ascii="Arial" w:eastAsia="Calibri" w:hAnsi="Arial" w:cs="Arial"/>
          <w:color w:val="000000"/>
          <w:sz w:val="24"/>
          <w:szCs w:val="24"/>
          <w:shd w:val="clear" w:color="auto" w:fill="FFFFFF"/>
          <w:lang w:eastAsia="es-ES_tradnl"/>
        </w:rPr>
        <w:t xml:space="preserve">. </w:t>
      </w:r>
      <w:r w:rsidR="000479A2">
        <w:rPr>
          <w:rFonts w:ascii="Arial" w:eastAsia="Calibri" w:hAnsi="Arial" w:cs="Arial"/>
          <w:color w:val="000000"/>
          <w:sz w:val="24"/>
          <w:szCs w:val="24"/>
          <w:shd w:val="clear" w:color="auto" w:fill="FFFFFF"/>
          <w:lang w:eastAsia="es-ES_tradnl"/>
        </w:rPr>
        <w:t>L</w:t>
      </w:r>
      <w:r>
        <w:rPr>
          <w:rFonts w:ascii="Arial" w:eastAsia="Calibri" w:hAnsi="Arial" w:cs="Arial"/>
          <w:color w:val="000000"/>
          <w:sz w:val="24"/>
          <w:szCs w:val="24"/>
          <w:shd w:val="clear" w:color="auto" w:fill="FFFFFF"/>
          <w:lang w:eastAsia="es-ES_tradnl"/>
        </w:rPr>
        <w:t xml:space="preserve">a </w:t>
      </w:r>
      <w:r w:rsidR="00CE3051">
        <w:rPr>
          <w:rFonts w:ascii="Arial" w:eastAsia="Calibri" w:hAnsi="Arial" w:cs="Arial"/>
          <w:color w:val="000000"/>
          <w:sz w:val="24"/>
          <w:szCs w:val="24"/>
          <w:shd w:val="clear" w:color="auto" w:fill="FFFFFF"/>
          <w:lang w:eastAsia="es-ES_tradnl"/>
        </w:rPr>
        <w:t>Corte Constitucional</w:t>
      </w:r>
      <w:r w:rsidR="000479A2">
        <w:rPr>
          <w:rFonts w:ascii="Arial" w:eastAsia="Calibri" w:hAnsi="Arial" w:cs="Arial"/>
          <w:color w:val="000000"/>
          <w:sz w:val="24"/>
          <w:szCs w:val="24"/>
          <w:shd w:val="clear" w:color="auto" w:fill="FFFFFF"/>
          <w:lang w:eastAsia="es-ES_tradnl"/>
        </w:rPr>
        <w:t xml:space="preserve"> también</w:t>
      </w:r>
      <w:r w:rsidR="00CE3051">
        <w:rPr>
          <w:rFonts w:ascii="Arial" w:eastAsia="Calibri" w:hAnsi="Arial" w:cs="Arial"/>
          <w:color w:val="000000"/>
          <w:sz w:val="24"/>
          <w:szCs w:val="24"/>
          <w:shd w:val="clear" w:color="auto" w:fill="FFFFFF"/>
          <w:lang w:eastAsia="es-ES_tradnl"/>
        </w:rPr>
        <w:t xml:space="preserve"> ha indicado que “</w:t>
      </w:r>
      <w:r w:rsidR="00CE3051" w:rsidRPr="00CE3051">
        <w:rPr>
          <w:rFonts w:ascii="Arial" w:eastAsia="Calibri" w:hAnsi="Arial" w:cs="Arial"/>
          <w:color w:val="000000"/>
          <w:sz w:val="24"/>
          <w:szCs w:val="24"/>
          <w:shd w:val="clear" w:color="auto" w:fill="FFFFFF"/>
          <w:lang w:eastAsia="es-ES_tradnl"/>
        </w:rPr>
        <w:t>como regla general los conceptos que se expiden a instancia del interesado no son obligatorios, no crean situaciones jurídicas, y por tanto, no comprometen la responsabilidad de la entidad pública que los expide. Sólo en situaciones excepcionales, cuando el concepto cree o modifique situaciones jurídicas, éste debe considerarse un acto administrativo, frente a los cuales caben las acciones contencioso administrativas"</w:t>
      </w:r>
      <w:r w:rsidR="00CE3051">
        <w:rPr>
          <w:rStyle w:val="Refdenotaalpie"/>
          <w:rFonts w:ascii="Arial" w:eastAsia="Calibri" w:hAnsi="Arial" w:cs="Arial"/>
          <w:color w:val="000000"/>
          <w:sz w:val="24"/>
          <w:szCs w:val="24"/>
          <w:shd w:val="clear" w:color="auto" w:fill="FFFFFF"/>
          <w:lang w:eastAsia="es-ES_tradnl"/>
        </w:rPr>
        <w:footnoteReference w:id="77"/>
      </w:r>
      <w:r w:rsidR="00CE3051" w:rsidRPr="00CE3051">
        <w:rPr>
          <w:rFonts w:ascii="Arial" w:eastAsia="Calibri" w:hAnsi="Arial" w:cs="Arial"/>
          <w:color w:val="000000"/>
          <w:sz w:val="24"/>
          <w:szCs w:val="24"/>
          <w:shd w:val="clear" w:color="auto" w:fill="FFFFFF"/>
          <w:lang w:eastAsia="es-ES_tradnl"/>
        </w:rPr>
        <w:t>.</w:t>
      </w:r>
    </w:p>
    <w:p w14:paraId="4017ED40" w14:textId="59D5F49A" w:rsidR="004B244B" w:rsidRDefault="004B244B" w:rsidP="00572631">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 xml:space="preserve">Ahora en bien, en relación con lo anterior, es preciso resaltar que, en ejercicio del derecho de consulta, </w:t>
      </w:r>
      <w:r w:rsidR="00E403CD">
        <w:rPr>
          <w:rFonts w:ascii="Arial" w:eastAsia="Calibri" w:hAnsi="Arial" w:cs="Arial"/>
          <w:color w:val="000000"/>
          <w:sz w:val="24"/>
          <w:szCs w:val="24"/>
          <w:shd w:val="clear" w:color="auto" w:fill="FFFFFF"/>
          <w:lang w:eastAsia="es-ES_tradnl"/>
        </w:rPr>
        <w:t xml:space="preserve">el peticionario </w:t>
      </w:r>
      <w:r>
        <w:rPr>
          <w:rFonts w:ascii="Arial" w:eastAsia="Calibri" w:hAnsi="Arial" w:cs="Arial"/>
          <w:color w:val="000000"/>
          <w:sz w:val="24"/>
          <w:szCs w:val="24"/>
          <w:shd w:val="clear" w:color="auto" w:fill="FFFFFF"/>
          <w:lang w:eastAsia="es-ES_tradnl"/>
        </w:rPr>
        <w:t>“</w:t>
      </w:r>
      <w:r w:rsidRPr="004B244B">
        <w:rPr>
          <w:rFonts w:ascii="Arial" w:eastAsia="Calibri" w:hAnsi="Arial" w:cs="Arial"/>
          <w:color w:val="000000"/>
          <w:sz w:val="24"/>
          <w:szCs w:val="24"/>
          <w:shd w:val="clear" w:color="auto" w:fill="FFFFFF"/>
          <w:lang w:eastAsia="es-ES_tradnl"/>
        </w:rPr>
        <w:t>puede solicitar a la administración que exprese su opinión, desde el punto de vista jurídico, sobre determinado asunto de su competencia</w:t>
      </w:r>
      <w:r>
        <w:rPr>
          <w:rFonts w:ascii="Arial" w:eastAsia="Calibri" w:hAnsi="Arial" w:cs="Arial"/>
          <w:color w:val="000000"/>
          <w:sz w:val="24"/>
          <w:szCs w:val="24"/>
          <w:shd w:val="clear" w:color="auto" w:fill="FFFFFF"/>
          <w:lang w:eastAsia="es-ES_tradnl"/>
        </w:rPr>
        <w:t>”</w:t>
      </w:r>
      <w:r>
        <w:rPr>
          <w:rStyle w:val="Refdenotaalpie"/>
          <w:rFonts w:ascii="Arial" w:eastAsia="Calibri" w:hAnsi="Arial" w:cs="Arial"/>
          <w:color w:val="000000"/>
          <w:sz w:val="24"/>
          <w:szCs w:val="24"/>
          <w:shd w:val="clear" w:color="auto" w:fill="FFFFFF"/>
          <w:lang w:eastAsia="es-ES_tradnl"/>
        </w:rPr>
        <w:footnoteReference w:id="78"/>
      </w:r>
      <w:r w:rsidRPr="004B244B">
        <w:rPr>
          <w:rFonts w:ascii="Arial" w:eastAsia="Calibri" w:hAnsi="Arial" w:cs="Arial"/>
          <w:color w:val="000000"/>
          <w:sz w:val="24"/>
          <w:szCs w:val="24"/>
          <w:shd w:val="clear" w:color="auto" w:fill="FFFFFF"/>
          <w:lang w:eastAsia="es-ES_tradnl"/>
        </w:rPr>
        <w:t>.</w:t>
      </w:r>
      <w:r>
        <w:rPr>
          <w:rFonts w:ascii="Arial" w:eastAsia="Calibri" w:hAnsi="Arial" w:cs="Arial"/>
          <w:color w:val="000000"/>
          <w:sz w:val="24"/>
          <w:szCs w:val="24"/>
          <w:shd w:val="clear" w:color="auto" w:fill="FFFFFF"/>
          <w:lang w:eastAsia="es-ES_tradnl"/>
        </w:rPr>
        <w:t xml:space="preserve"> En ese sentido, este tipo de petición se diferencia de aquella que se ejerce en interés particular, </w:t>
      </w:r>
      <w:r w:rsidR="000479A2">
        <w:rPr>
          <w:rFonts w:ascii="Arial" w:eastAsia="Calibri" w:hAnsi="Arial" w:cs="Arial"/>
          <w:color w:val="000000"/>
          <w:sz w:val="24"/>
          <w:szCs w:val="24"/>
          <w:shd w:val="clear" w:color="auto" w:fill="FFFFFF"/>
          <w:lang w:eastAsia="es-ES_tradnl"/>
        </w:rPr>
        <w:t>pues por medio de</w:t>
      </w:r>
      <w:r w:rsidR="00E403CD">
        <w:rPr>
          <w:rFonts w:ascii="Arial" w:eastAsia="Calibri" w:hAnsi="Arial" w:cs="Arial"/>
          <w:color w:val="000000"/>
          <w:sz w:val="24"/>
          <w:szCs w:val="24"/>
          <w:shd w:val="clear" w:color="auto" w:fill="FFFFFF"/>
          <w:lang w:eastAsia="es-ES_tradnl"/>
        </w:rPr>
        <w:t xml:space="preserve"> esta última</w:t>
      </w:r>
      <w:r>
        <w:rPr>
          <w:rFonts w:ascii="Arial" w:eastAsia="Calibri" w:hAnsi="Arial" w:cs="Arial"/>
          <w:color w:val="000000"/>
          <w:sz w:val="24"/>
          <w:szCs w:val="24"/>
          <w:shd w:val="clear" w:color="auto" w:fill="FFFFFF"/>
          <w:lang w:eastAsia="es-ES_tradnl"/>
        </w:rPr>
        <w:t xml:space="preserve"> </w:t>
      </w:r>
      <w:r w:rsidR="000479A2">
        <w:rPr>
          <w:rFonts w:ascii="Arial" w:eastAsia="Calibri" w:hAnsi="Arial" w:cs="Arial"/>
          <w:color w:val="000000"/>
          <w:sz w:val="24"/>
          <w:szCs w:val="24"/>
          <w:shd w:val="clear" w:color="auto" w:fill="FFFFFF"/>
          <w:lang w:eastAsia="es-ES_tradnl"/>
        </w:rPr>
        <w:t xml:space="preserve">se </w:t>
      </w:r>
      <w:r>
        <w:rPr>
          <w:rFonts w:ascii="Arial" w:eastAsia="Calibri" w:hAnsi="Arial" w:cs="Arial"/>
          <w:color w:val="000000"/>
          <w:sz w:val="24"/>
          <w:szCs w:val="24"/>
          <w:shd w:val="clear" w:color="auto" w:fill="FFFFFF"/>
          <w:lang w:eastAsia="es-ES_tradnl"/>
        </w:rPr>
        <w:t xml:space="preserve">busca el reconocimiento de un derecho, razón por la que </w:t>
      </w:r>
      <w:r w:rsidR="00E403CD">
        <w:rPr>
          <w:rFonts w:ascii="Arial" w:eastAsia="Calibri" w:hAnsi="Arial" w:cs="Arial"/>
          <w:color w:val="000000"/>
          <w:sz w:val="24"/>
          <w:szCs w:val="24"/>
          <w:shd w:val="clear" w:color="auto" w:fill="FFFFFF"/>
          <w:lang w:eastAsia="es-ES_tradnl"/>
        </w:rPr>
        <w:t>la respectiva</w:t>
      </w:r>
      <w:r>
        <w:rPr>
          <w:rFonts w:ascii="Arial" w:eastAsia="Calibri" w:hAnsi="Arial" w:cs="Arial"/>
          <w:color w:val="000000"/>
          <w:sz w:val="24"/>
          <w:szCs w:val="24"/>
          <w:shd w:val="clear" w:color="auto" w:fill="FFFFFF"/>
          <w:lang w:eastAsia="es-ES_tradnl"/>
        </w:rPr>
        <w:t xml:space="preserve"> respuesta constituye un acto administrativo </w:t>
      </w:r>
      <w:r w:rsidR="00E403CD">
        <w:rPr>
          <w:rFonts w:ascii="Arial" w:eastAsia="Calibri" w:hAnsi="Arial" w:cs="Arial"/>
          <w:color w:val="000000"/>
          <w:sz w:val="24"/>
          <w:szCs w:val="24"/>
          <w:shd w:val="clear" w:color="auto" w:fill="FFFFFF"/>
          <w:lang w:eastAsia="es-ES_tradnl"/>
        </w:rPr>
        <w:t>con</w:t>
      </w:r>
      <w:r>
        <w:rPr>
          <w:rFonts w:ascii="Arial" w:eastAsia="Calibri" w:hAnsi="Arial" w:cs="Arial"/>
          <w:color w:val="000000"/>
          <w:sz w:val="24"/>
          <w:szCs w:val="24"/>
          <w:shd w:val="clear" w:color="auto" w:fill="FFFFFF"/>
          <w:lang w:eastAsia="es-ES_tradnl"/>
        </w:rPr>
        <w:t xml:space="preserve"> carácter vinculante de la administración. </w:t>
      </w:r>
    </w:p>
    <w:p w14:paraId="33482D95" w14:textId="77777777" w:rsidR="00E403CD" w:rsidRDefault="004B244B" w:rsidP="00572631">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Teniendo en cuenta lo anterior, la Subsección advierte que, e</w:t>
      </w:r>
      <w:r w:rsidR="00CE3051">
        <w:rPr>
          <w:rFonts w:ascii="Arial" w:eastAsia="Calibri" w:hAnsi="Arial" w:cs="Arial"/>
          <w:color w:val="000000"/>
          <w:sz w:val="24"/>
          <w:szCs w:val="24"/>
          <w:shd w:val="clear" w:color="auto" w:fill="FFFFFF"/>
          <w:lang w:eastAsia="es-ES_tradnl"/>
        </w:rPr>
        <w:t xml:space="preserve">n el caso bajo estudio, la petición radicada por el señor Valencia Zamora estaba encaminada a que la mencionada dependencia retrotrajera la actuación administrativa, tal y como lo hizo previamente en el proceso de la Convocatoria 27, y así, dejara sin efectos la prueba de conocimientos y aptitudes realizada el 24 de julio de 2022 y, en consecuencia, ordenara su repetición con un operador jurídico diferente. </w:t>
      </w:r>
    </w:p>
    <w:p w14:paraId="4B8BA6A1" w14:textId="38B9EAAA" w:rsidR="00370F4B" w:rsidRDefault="004B244B" w:rsidP="00572631">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Para la Sala, dicha solicitud</w:t>
      </w:r>
      <w:r w:rsidR="00E403CD">
        <w:rPr>
          <w:rFonts w:ascii="Arial" w:eastAsia="Calibri" w:hAnsi="Arial" w:cs="Arial"/>
          <w:color w:val="000000"/>
          <w:sz w:val="24"/>
          <w:szCs w:val="24"/>
          <w:shd w:val="clear" w:color="auto" w:fill="FFFFFF"/>
          <w:lang w:eastAsia="es-ES_tradnl"/>
        </w:rPr>
        <w:t>, en principio,</w:t>
      </w:r>
      <w:r>
        <w:rPr>
          <w:rFonts w:ascii="Arial" w:eastAsia="Calibri" w:hAnsi="Arial" w:cs="Arial"/>
          <w:color w:val="000000"/>
          <w:sz w:val="24"/>
          <w:szCs w:val="24"/>
          <w:shd w:val="clear" w:color="auto" w:fill="FFFFFF"/>
          <w:lang w:eastAsia="es-ES_tradnl"/>
        </w:rPr>
        <w:t xml:space="preserve"> es una petición </w:t>
      </w:r>
      <w:r w:rsidR="00FA15A2">
        <w:rPr>
          <w:rFonts w:ascii="Arial" w:eastAsia="Calibri" w:hAnsi="Arial" w:cs="Arial"/>
          <w:color w:val="000000"/>
          <w:sz w:val="24"/>
          <w:szCs w:val="24"/>
          <w:shd w:val="clear" w:color="auto" w:fill="FFFFFF"/>
          <w:lang w:eastAsia="es-ES_tradnl"/>
        </w:rPr>
        <w:t>de</w:t>
      </w:r>
      <w:r>
        <w:rPr>
          <w:rFonts w:ascii="Arial" w:eastAsia="Calibri" w:hAnsi="Arial" w:cs="Arial"/>
          <w:color w:val="000000"/>
          <w:sz w:val="24"/>
          <w:szCs w:val="24"/>
          <w:shd w:val="clear" w:color="auto" w:fill="FFFFFF"/>
          <w:lang w:eastAsia="es-ES_tradnl"/>
        </w:rPr>
        <w:t xml:space="preserve"> interés particular, que </w:t>
      </w:r>
      <w:r w:rsidR="000479A2">
        <w:rPr>
          <w:rFonts w:ascii="Arial" w:eastAsia="Calibri" w:hAnsi="Arial" w:cs="Arial"/>
          <w:color w:val="000000"/>
          <w:sz w:val="24"/>
          <w:szCs w:val="24"/>
          <w:shd w:val="clear" w:color="auto" w:fill="FFFFFF"/>
          <w:lang w:eastAsia="es-ES_tradnl"/>
        </w:rPr>
        <w:t>no tiene naturaleza jurídica de</w:t>
      </w:r>
      <w:r>
        <w:rPr>
          <w:rFonts w:ascii="Arial" w:eastAsia="Calibri" w:hAnsi="Arial" w:cs="Arial"/>
          <w:color w:val="000000"/>
          <w:sz w:val="24"/>
          <w:szCs w:val="24"/>
          <w:shd w:val="clear" w:color="auto" w:fill="FFFFFF"/>
          <w:lang w:eastAsia="es-ES_tradnl"/>
        </w:rPr>
        <w:t xml:space="preserve"> consulta, </w:t>
      </w:r>
      <w:r w:rsidR="0090724A">
        <w:rPr>
          <w:rFonts w:ascii="Arial" w:eastAsia="Calibri" w:hAnsi="Arial" w:cs="Arial"/>
          <w:color w:val="000000"/>
          <w:sz w:val="24"/>
          <w:szCs w:val="24"/>
          <w:shd w:val="clear" w:color="auto" w:fill="FFFFFF"/>
          <w:lang w:eastAsia="es-ES_tradnl"/>
        </w:rPr>
        <w:t xml:space="preserve">ya que </w:t>
      </w:r>
      <w:r>
        <w:rPr>
          <w:rFonts w:ascii="Arial" w:eastAsia="Calibri" w:hAnsi="Arial" w:cs="Arial"/>
          <w:color w:val="000000"/>
          <w:sz w:val="24"/>
          <w:szCs w:val="24"/>
          <w:shd w:val="clear" w:color="auto" w:fill="FFFFFF"/>
          <w:lang w:eastAsia="es-ES_tradnl"/>
        </w:rPr>
        <w:t xml:space="preserve">fue promovida con el fin de </w:t>
      </w:r>
      <w:r w:rsidR="00FA15A2">
        <w:rPr>
          <w:rFonts w:ascii="Arial" w:eastAsia="Calibri" w:hAnsi="Arial" w:cs="Arial"/>
          <w:color w:val="000000"/>
          <w:sz w:val="24"/>
          <w:szCs w:val="24"/>
          <w:shd w:val="clear" w:color="auto" w:fill="FFFFFF"/>
          <w:lang w:eastAsia="es-ES_tradnl"/>
        </w:rPr>
        <w:t>que se definiera</w:t>
      </w:r>
      <w:r>
        <w:rPr>
          <w:rFonts w:ascii="Arial" w:eastAsia="Calibri" w:hAnsi="Arial" w:cs="Arial"/>
          <w:color w:val="000000"/>
          <w:sz w:val="24"/>
          <w:szCs w:val="24"/>
          <w:shd w:val="clear" w:color="auto" w:fill="FFFFFF"/>
          <w:lang w:eastAsia="es-ES_tradnl"/>
        </w:rPr>
        <w:t xml:space="preserve"> una situación</w:t>
      </w:r>
      <w:r w:rsidR="00E403CD">
        <w:rPr>
          <w:rFonts w:ascii="Arial" w:eastAsia="Calibri" w:hAnsi="Arial" w:cs="Arial"/>
          <w:color w:val="000000"/>
          <w:sz w:val="24"/>
          <w:szCs w:val="24"/>
          <w:shd w:val="clear" w:color="auto" w:fill="FFFFFF"/>
          <w:lang w:eastAsia="es-ES_tradnl"/>
        </w:rPr>
        <w:t xml:space="preserve"> jurídica</w:t>
      </w:r>
      <w:r>
        <w:rPr>
          <w:rFonts w:ascii="Arial" w:eastAsia="Calibri" w:hAnsi="Arial" w:cs="Arial"/>
          <w:color w:val="000000"/>
          <w:sz w:val="24"/>
          <w:szCs w:val="24"/>
          <w:shd w:val="clear" w:color="auto" w:fill="FFFFFF"/>
          <w:lang w:eastAsia="es-ES_tradnl"/>
        </w:rPr>
        <w:t xml:space="preserve"> al interior de</w:t>
      </w:r>
      <w:r w:rsidR="00FA15A2">
        <w:rPr>
          <w:rFonts w:ascii="Arial" w:eastAsia="Calibri" w:hAnsi="Arial" w:cs="Arial"/>
          <w:color w:val="000000"/>
          <w:sz w:val="24"/>
          <w:szCs w:val="24"/>
          <w:shd w:val="clear" w:color="auto" w:fill="FFFFFF"/>
          <w:lang w:eastAsia="es-ES_tradnl"/>
        </w:rPr>
        <w:t xml:space="preserve">l </w:t>
      </w:r>
      <w:r>
        <w:rPr>
          <w:rFonts w:ascii="Arial" w:eastAsia="Calibri" w:hAnsi="Arial" w:cs="Arial"/>
          <w:color w:val="000000"/>
          <w:sz w:val="24"/>
          <w:szCs w:val="24"/>
          <w:shd w:val="clear" w:color="auto" w:fill="FFFFFF"/>
          <w:lang w:eastAsia="es-ES_tradnl"/>
        </w:rPr>
        <w:t>concurso de méritos</w:t>
      </w:r>
      <w:r w:rsidR="00E403CD">
        <w:rPr>
          <w:rFonts w:ascii="Arial" w:eastAsia="Calibri" w:hAnsi="Arial" w:cs="Arial"/>
          <w:color w:val="000000"/>
          <w:sz w:val="24"/>
          <w:szCs w:val="24"/>
          <w:shd w:val="clear" w:color="auto" w:fill="FFFFFF"/>
          <w:lang w:eastAsia="es-ES_tradnl"/>
        </w:rPr>
        <w:t>, particularmente, la posibilidad de</w:t>
      </w:r>
      <w:r w:rsidR="00370F4B">
        <w:rPr>
          <w:rFonts w:ascii="Arial" w:eastAsia="Calibri" w:hAnsi="Arial" w:cs="Arial"/>
          <w:color w:val="000000"/>
          <w:sz w:val="24"/>
          <w:szCs w:val="24"/>
          <w:shd w:val="clear" w:color="auto" w:fill="FFFFFF"/>
          <w:lang w:eastAsia="es-ES_tradnl"/>
        </w:rPr>
        <w:t xml:space="preserve"> que el señor Valencia Zamora</w:t>
      </w:r>
      <w:r w:rsidR="007B77DA">
        <w:rPr>
          <w:rFonts w:ascii="Arial" w:eastAsia="Calibri" w:hAnsi="Arial" w:cs="Arial"/>
          <w:color w:val="000000"/>
          <w:sz w:val="24"/>
          <w:szCs w:val="24"/>
          <w:shd w:val="clear" w:color="auto" w:fill="FFFFFF"/>
          <w:lang w:eastAsia="es-ES_tradnl"/>
        </w:rPr>
        <w:t>, y quienes suscribieron la petición,</w:t>
      </w:r>
      <w:r w:rsidR="00370F4B">
        <w:rPr>
          <w:rFonts w:ascii="Arial" w:eastAsia="Calibri" w:hAnsi="Arial" w:cs="Arial"/>
          <w:color w:val="000000"/>
          <w:sz w:val="24"/>
          <w:szCs w:val="24"/>
          <w:shd w:val="clear" w:color="auto" w:fill="FFFFFF"/>
          <w:lang w:eastAsia="es-ES_tradnl"/>
        </w:rPr>
        <w:t xml:space="preserve"> </w:t>
      </w:r>
      <w:r w:rsidR="0090724A">
        <w:rPr>
          <w:rFonts w:ascii="Arial" w:eastAsia="Calibri" w:hAnsi="Arial" w:cs="Arial"/>
          <w:color w:val="000000"/>
          <w:sz w:val="24"/>
          <w:szCs w:val="24"/>
          <w:shd w:val="clear" w:color="auto" w:fill="FFFFFF"/>
          <w:lang w:eastAsia="es-ES_tradnl"/>
        </w:rPr>
        <w:t>pudieran</w:t>
      </w:r>
      <w:r w:rsidR="00E403CD">
        <w:rPr>
          <w:rFonts w:ascii="Arial" w:eastAsia="Calibri" w:hAnsi="Arial" w:cs="Arial"/>
          <w:color w:val="000000"/>
          <w:sz w:val="24"/>
          <w:szCs w:val="24"/>
          <w:shd w:val="clear" w:color="auto" w:fill="FFFFFF"/>
          <w:lang w:eastAsia="es-ES_tradnl"/>
        </w:rPr>
        <w:t xml:space="preserve"> repetir la prueba de conocimientos y aptitudes</w:t>
      </w:r>
      <w:r w:rsidR="0090724A">
        <w:rPr>
          <w:rFonts w:ascii="Arial" w:eastAsia="Calibri" w:hAnsi="Arial" w:cs="Arial"/>
          <w:color w:val="000000"/>
          <w:sz w:val="24"/>
          <w:szCs w:val="24"/>
          <w:shd w:val="clear" w:color="auto" w:fill="FFFFFF"/>
          <w:lang w:eastAsia="es-ES_tradnl"/>
        </w:rPr>
        <w:t>. Por esta razón, se observa que la intención de los peticionarios no era</w:t>
      </w:r>
      <w:r>
        <w:rPr>
          <w:rFonts w:ascii="Arial" w:eastAsia="Calibri" w:hAnsi="Arial" w:cs="Arial"/>
          <w:color w:val="000000"/>
          <w:sz w:val="24"/>
          <w:szCs w:val="24"/>
          <w:shd w:val="clear" w:color="auto" w:fill="FFFFFF"/>
          <w:lang w:eastAsia="es-ES_tradnl"/>
        </w:rPr>
        <w:t xml:space="preserve"> conocer la opinión jurídica de la Unidad de Administración de Carrera Judicial del Consejo Superior de la Judicatura </w:t>
      </w:r>
      <w:r w:rsidR="0090724A">
        <w:rPr>
          <w:rFonts w:ascii="Arial" w:eastAsia="Calibri" w:hAnsi="Arial" w:cs="Arial"/>
          <w:color w:val="000000"/>
          <w:sz w:val="24"/>
          <w:szCs w:val="24"/>
          <w:shd w:val="clear" w:color="auto" w:fill="FFFFFF"/>
          <w:lang w:eastAsia="es-ES_tradnl"/>
        </w:rPr>
        <w:t>sobre un asunto de competencia, tal y como lo indicó dicha autoridad.</w:t>
      </w:r>
    </w:p>
    <w:p w14:paraId="0F1F1F75" w14:textId="2E27A6AB" w:rsidR="00FA15A2" w:rsidRDefault="00E403CD" w:rsidP="00572631">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En ese sentido, el Oficio CJ022-5613 del 20 de diciembre de 2022 no cumple con lo dispuesto en el artículo 28 de la Ley 1755 de 2015, para que sus efectos no sean vinculantes y sea considerado como un</w:t>
      </w:r>
      <w:r w:rsidR="00370F4B">
        <w:rPr>
          <w:rFonts w:ascii="Arial" w:eastAsia="Calibri" w:hAnsi="Arial" w:cs="Arial"/>
          <w:color w:val="000000"/>
          <w:sz w:val="24"/>
          <w:szCs w:val="24"/>
          <w:shd w:val="clear" w:color="auto" w:fill="FFFFFF"/>
          <w:lang w:eastAsia="es-ES_tradnl"/>
        </w:rPr>
        <w:t xml:space="preserve"> concepto en lugar de un</w:t>
      </w:r>
      <w:r>
        <w:rPr>
          <w:rFonts w:ascii="Arial" w:eastAsia="Calibri" w:hAnsi="Arial" w:cs="Arial"/>
          <w:color w:val="000000"/>
          <w:sz w:val="24"/>
          <w:szCs w:val="24"/>
          <w:shd w:val="clear" w:color="auto" w:fill="FFFFFF"/>
          <w:lang w:eastAsia="es-ES_tradnl"/>
        </w:rPr>
        <w:t xml:space="preserve"> acto administrativo. Por el contrario, </w:t>
      </w:r>
      <w:r w:rsidR="00370F4B">
        <w:rPr>
          <w:rFonts w:ascii="Arial" w:eastAsia="Calibri" w:hAnsi="Arial" w:cs="Arial"/>
          <w:color w:val="000000"/>
          <w:sz w:val="24"/>
          <w:szCs w:val="24"/>
          <w:shd w:val="clear" w:color="auto" w:fill="FFFFFF"/>
          <w:lang w:eastAsia="es-ES_tradnl"/>
        </w:rPr>
        <w:t xml:space="preserve">la Sala observa que la autoridad, </w:t>
      </w:r>
      <w:r>
        <w:rPr>
          <w:rFonts w:ascii="Arial" w:eastAsia="Calibri" w:hAnsi="Arial" w:cs="Arial"/>
          <w:color w:val="000000"/>
          <w:sz w:val="24"/>
          <w:szCs w:val="24"/>
          <w:shd w:val="clear" w:color="auto" w:fill="FFFFFF"/>
          <w:lang w:eastAsia="es-ES_tradnl"/>
        </w:rPr>
        <w:t xml:space="preserve">al no haber accedido a lo pretendido, definió la situación puesta en su consideración por parte del peticionario, y </w:t>
      </w:r>
      <w:r w:rsidR="00370F4B">
        <w:rPr>
          <w:rFonts w:ascii="Arial" w:eastAsia="Calibri" w:hAnsi="Arial" w:cs="Arial"/>
          <w:color w:val="000000"/>
          <w:sz w:val="24"/>
          <w:szCs w:val="24"/>
          <w:shd w:val="clear" w:color="auto" w:fill="FFFFFF"/>
          <w:lang w:eastAsia="es-ES_tradnl"/>
        </w:rPr>
        <w:t>así</w:t>
      </w:r>
      <w:r>
        <w:rPr>
          <w:rFonts w:ascii="Arial" w:eastAsia="Calibri" w:hAnsi="Arial" w:cs="Arial"/>
          <w:color w:val="000000"/>
          <w:sz w:val="24"/>
          <w:szCs w:val="24"/>
          <w:shd w:val="clear" w:color="auto" w:fill="FFFFFF"/>
          <w:lang w:eastAsia="es-ES_tradnl"/>
        </w:rPr>
        <w:t>, gener</w:t>
      </w:r>
      <w:r w:rsidR="00370F4B">
        <w:rPr>
          <w:rFonts w:ascii="Arial" w:eastAsia="Calibri" w:hAnsi="Arial" w:cs="Arial"/>
          <w:color w:val="000000"/>
          <w:sz w:val="24"/>
          <w:szCs w:val="24"/>
          <w:shd w:val="clear" w:color="auto" w:fill="FFFFFF"/>
          <w:lang w:eastAsia="es-ES_tradnl"/>
        </w:rPr>
        <w:t>ó</w:t>
      </w:r>
      <w:r>
        <w:rPr>
          <w:rFonts w:ascii="Arial" w:eastAsia="Calibri" w:hAnsi="Arial" w:cs="Arial"/>
          <w:color w:val="000000"/>
          <w:sz w:val="24"/>
          <w:szCs w:val="24"/>
          <w:shd w:val="clear" w:color="auto" w:fill="FFFFFF"/>
          <w:lang w:eastAsia="es-ES_tradnl"/>
        </w:rPr>
        <w:t xml:space="preserve"> efectos que son vinculantes</w:t>
      </w:r>
      <w:r w:rsidR="00370F4B">
        <w:rPr>
          <w:rFonts w:ascii="Arial" w:eastAsia="Calibri" w:hAnsi="Arial" w:cs="Arial"/>
          <w:color w:val="000000"/>
          <w:sz w:val="24"/>
          <w:szCs w:val="24"/>
          <w:shd w:val="clear" w:color="auto" w:fill="FFFFFF"/>
          <w:lang w:eastAsia="es-ES_tradnl"/>
        </w:rPr>
        <w:t>, toda vez que, con dicha decisión, negó</w:t>
      </w:r>
      <w:r w:rsidR="0090724A">
        <w:rPr>
          <w:rFonts w:ascii="Arial" w:eastAsia="Calibri" w:hAnsi="Arial" w:cs="Arial"/>
          <w:color w:val="000000"/>
          <w:sz w:val="24"/>
          <w:szCs w:val="24"/>
          <w:shd w:val="clear" w:color="auto" w:fill="FFFFFF"/>
          <w:lang w:eastAsia="es-ES_tradnl"/>
        </w:rPr>
        <w:t xml:space="preserve"> implícitamente</w:t>
      </w:r>
      <w:r w:rsidR="00370F4B">
        <w:rPr>
          <w:rFonts w:ascii="Arial" w:eastAsia="Calibri" w:hAnsi="Arial" w:cs="Arial"/>
          <w:color w:val="000000"/>
          <w:sz w:val="24"/>
          <w:szCs w:val="24"/>
          <w:shd w:val="clear" w:color="auto" w:fill="FFFFFF"/>
          <w:lang w:eastAsia="es-ES_tradnl"/>
        </w:rPr>
        <w:t xml:space="preserve"> la posibilidad de que el actor</w:t>
      </w:r>
      <w:r w:rsidR="00FA15A2">
        <w:rPr>
          <w:rFonts w:ascii="Arial" w:eastAsia="Calibri" w:hAnsi="Arial" w:cs="Arial"/>
          <w:color w:val="000000"/>
          <w:sz w:val="24"/>
          <w:szCs w:val="24"/>
          <w:shd w:val="clear" w:color="auto" w:fill="FFFFFF"/>
          <w:lang w:eastAsia="es-ES_tradnl"/>
        </w:rPr>
        <w:t>, y quienes acompañaron su pretensión,</w:t>
      </w:r>
      <w:r w:rsidR="00370F4B">
        <w:rPr>
          <w:rFonts w:ascii="Arial" w:eastAsia="Calibri" w:hAnsi="Arial" w:cs="Arial"/>
          <w:color w:val="000000"/>
          <w:sz w:val="24"/>
          <w:szCs w:val="24"/>
          <w:shd w:val="clear" w:color="auto" w:fill="FFFFFF"/>
          <w:lang w:eastAsia="es-ES_tradnl"/>
        </w:rPr>
        <w:t xml:space="preserve"> repit</w:t>
      </w:r>
      <w:r w:rsidR="0090724A">
        <w:rPr>
          <w:rFonts w:ascii="Arial" w:eastAsia="Calibri" w:hAnsi="Arial" w:cs="Arial"/>
          <w:color w:val="000000"/>
          <w:sz w:val="24"/>
          <w:szCs w:val="24"/>
          <w:shd w:val="clear" w:color="auto" w:fill="FFFFFF"/>
          <w:lang w:eastAsia="es-ES_tradnl"/>
        </w:rPr>
        <w:t>ier</w:t>
      </w:r>
      <w:r w:rsidR="00370F4B">
        <w:rPr>
          <w:rFonts w:ascii="Arial" w:eastAsia="Calibri" w:hAnsi="Arial" w:cs="Arial"/>
          <w:color w:val="000000"/>
          <w:sz w:val="24"/>
          <w:szCs w:val="24"/>
          <w:shd w:val="clear" w:color="auto" w:fill="FFFFFF"/>
          <w:lang w:eastAsia="es-ES_tradnl"/>
        </w:rPr>
        <w:t>a</w:t>
      </w:r>
      <w:r w:rsidR="00FA15A2">
        <w:rPr>
          <w:rFonts w:ascii="Arial" w:eastAsia="Calibri" w:hAnsi="Arial" w:cs="Arial"/>
          <w:color w:val="000000"/>
          <w:sz w:val="24"/>
          <w:szCs w:val="24"/>
          <w:shd w:val="clear" w:color="auto" w:fill="FFFFFF"/>
          <w:lang w:eastAsia="es-ES_tradnl"/>
        </w:rPr>
        <w:t>n</w:t>
      </w:r>
      <w:r w:rsidR="00370F4B">
        <w:rPr>
          <w:rFonts w:ascii="Arial" w:eastAsia="Calibri" w:hAnsi="Arial" w:cs="Arial"/>
          <w:color w:val="000000"/>
          <w:sz w:val="24"/>
          <w:szCs w:val="24"/>
          <w:shd w:val="clear" w:color="auto" w:fill="FFFFFF"/>
          <w:lang w:eastAsia="es-ES_tradnl"/>
        </w:rPr>
        <w:t xml:space="preserve"> la prueba con un operador técnico distinto a la Universidad Nacional de Colombia. </w:t>
      </w:r>
    </w:p>
    <w:p w14:paraId="205B69F9" w14:textId="087E4721" w:rsidR="00370F4B" w:rsidRPr="00572631" w:rsidRDefault="00FA15A2" w:rsidP="00572631">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De acuerdo con lo expuesto</w:t>
      </w:r>
      <w:r w:rsidR="00370F4B">
        <w:rPr>
          <w:rFonts w:ascii="Arial" w:eastAsia="Calibri" w:hAnsi="Arial" w:cs="Arial"/>
          <w:color w:val="000000"/>
          <w:sz w:val="24"/>
          <w:szCs w:val="24"/>
          <w:shd w:val="clear" w:color="auto" w:fill="FFFFFF"/>
          <w:lang w:eastAsia="es-ES_tradnl"/>
        </w:rPr>
        <w:t>, el oficio bajo análisis</w:t>
      </w:r>
      <w:r>
        <w:rPr>
          <w:rFonts w:ascii="Arial" w:eastAsia="Calibri" w:hAnsi="Arial" w:cs="Arial"/>
          <w:color w:val="000000"/>
          <w:sz w:val="24"/>
          <w:szCs w:val="24"/>
          <w:shd w:val="clear" w:color="auto" w:fill="FFFFFF"/>
          <w:lang w:eastAsia="es-ES_tradnl"/>
        </w:rPr>
        <w:t>, al ser un acto administrativo que definió la situación y puso fin a dicha actuación,</w:t>
      </w:r>
      <w:r w:rsidR="00370F4B">
        <w:rPr>
          <w:rFonts w:ascii="Arial" w:eastAsia="Calibri" w:hAnsi="Arial" w:cs="Arial"/>
          <w:color w:val="000000"/>
          <w:sz w:val="24"/>
          <w:szCs w:val="24"/>
          <w:shd w:val="clear" w:color="auto" w:fill="FFFFFF"/>
          <w:lang w:eastAsia="es-ES_tradnl"/>
        </w:rPr>
        <w:t xml:space="preserve"> puede ser controvertido ante el juez ordinario en ejercicio del medio de control de nulidad y restablecimiento del derecho,</w:t>
      </w:r>
      <w:r>
        <w:rPr>
          <w:rFonts w:ascii="Arial" w:eastAsia="Calibri" w:hAnsi="Arial" w:cs="Arial"/>
          <w:color w:val="000000"/>
          <w:sz w:val="24"/>
          <w:szCs w:val="24"/>
          <w:shd w:val="clear" w:color="auto" w:fill="FFFFFF"/>
          <w:lang w:eastAsia="es-ES_tradnl"/>
        </w:rPr>
        <w:t xml:space="preserve"> en la medida en que es un acto administrativo definitivo. En ese orden, la Sala concluye que </w:t>
      </w:r>
      <w:r w:rsidR="00572386">
        <w:rPr>
          <w:rFonts w:ascii="Arial" w:eastAsia="Calibri" w:hAnsi="Arial" w:cs="Arial"/>
          <w:color w:val="000000"/>
          <w:sz w:val="24"/>
          <w:szCs w:val="24"/>
          <w:shd w:val="clear" w:color="auto" w:fill="FFFFFF"/>
          <w:lang w:eastAsia="es-ES_tradnl"/>
        </w:rPr>
        <w:t xml:space="preserve">el </w:t>
      </w:r>
      <w:r w:rsidR="006C7245">
        <w:rPr>
          <w:rFonts w:ascii="Arial" w:eastAsia="Calibri" w:hAnsi="Arial" w:cs="Arial"/>
          <w:color w:val="000000"/>
          <w:sz w:val="24"/>
          <w:szCs w:val="24"/>
          <w:shd w:val="clear" w:color="auto" w:fill="FFFFFF"/>
          <w:lang w:eastAsia="es-ES_tradnl"/>
        </w:rPr>
        <w:t xml:space="preserve">ante </w:t>
      </w:r>
      <w:r>
        <w:rPr>
          <w:rFonts w:ascii="Arial" w:eastAsia="Calibri" w:hAnsi="Arial" w:cs="Arial"/>
          <w:color w:val="000000"/>
          <w:sz w:val="24"/>
          <w:szCs w:val="24"/>
          <w:shd w:val="clear" w:color="auto" w:fill="FFFFFF"/>
          <w:lang w:eastAsia="es-ES_tradnl"/>
        </w:rPr>
        <w:t>la</w:t>
      </w:r>
      <w:r w:rsidR="006C7245">
        <w:rPr>
          <w:rFonts w:ascii="Arial" w:eastAsia="Calibri" w:hAnsi="Arial" w:cs="Arial"/>
          <w:color w:val="000000"/>
          <w:sz w:val="24"/>
          <w:szCs w:val="24"/>
          <w:shd w:val="clear" w:color="auto" w:fill="FFFFFF"/>
          <w:lang w:eastAsia="es-ES_tradnl"/>
        </w:rPr>
        <w:t xml:space="preserve"> mencionada</w:t>
      </w:r>
      <w:r w:rsidR="00370F4B">
        <w:rPr>
          <w:rFonts w:ascii="Arial" w:eastAsia="Calibri" w:hAnsi="Arial" w:cs="Arial"/>
          <w:color w:val="000000"/>
          <w:sz w:val="24"/>
          <w:szCs w:val="24"/>
          <w:shd w:val="clear" w:color="auto" w:fill="FFFFFF"/>
          <w:lang w:eastAsia="es-ES_tradnl"/>
        </w:rPr>
        <w:t xml:space="preserve"> autoridad judicial</w:t>
      </w:r>
      <w:r w:rsidR="006C7245">
        <w:rPr>
          <w:rFonts w:ascii="Arial" w:eastAsia="Calibri" w:hAnsi="Arial" w:cs="Arial"/>
          <w:color w:val="000000"/>
          <w:sz w:val="24"/>
          <w:szCs w:val="24"/>
          <w:shd w:val="clear" w:color="auto" w:fill="FFFFFF"/>
          <w:lang w:eastAsia="es-ES_tradnl"/>
        </w:rPr>
        <w:t xml:space="preserve">, </w:t>
      </w:r>
      <w:r w:rsidR="00370F4B">
        <w:rPr>
          <w:rFonts w:ascii="Arial" w:eastAsia="Calibri" w:hAnsi="Arial" w:cs="Arial"/>
          <w:color w:val="000000"/>
          <w:sz w:val="24"/>
          <w:szCs w:val="24"/>
          <w:shd w:val="clear" w:color="auto" w:fill="FFFFFF"/>
          <w:lang w:eastAsia="es-ES_tradnl"/>
        </w:rPr>
        <w:t>el actor puede formular la misma pretensión que promovió en su escrito de tutela, a saber, que “[s]</w:t>
      </w:r>
      <w:r w:rsidR="00370F4B" w:rsidRPr="00370F4B">
        <w:rPr>
          <w:rFonts w:ascii="Arial" w:eastAsia="Calibri" w:hAnsi="Arial" w:cs="Arial"/>
          <w:color w:val="000000"/>
          <w:sz w:val="24"/>
          <w:szCs w:val="24"/>
          <w:shd w:val="clear" w:color="auto" w:fill="FFFFFF"/>
          <w:lang w:eastAsia="es-ES_tradnl"/>
        </w:rPr>
        <w:t>e ordene al Consejo Superior de la Judicatura que por presentarse mayores</w:t>
      </w:r>
      <w:r w:rsidR="00370F4B">
        <w:rPr>
          <w:rFonts w:ascii="Arial" w:eastAsia="Calibri" w:hAnsi="Arial" w:cs="Arial"/>
          <w:color w:val="000000"/>
          <w:sz w:val="24"/>
          <w:szCs w:val="24"/>
          <w:shd w:val="clear" w:color="auto" w:fill="FFFFFF"/>
          <w:lang w:eastAsia="es-ES_tradnl"/>
        </w:rPr>
        <w:t xml:space="preserve"> </w:t>
      </w:r>
      <w:r w:rsidR="00370F4B" w:rsidRPr="00370F4B">
        <w:rPr>
          <w:rFonts w:ascii="Arial" w:eastAsia="Calibri" w:hAnsi="Arial" w:cs="Arial"/>
          <w:color w:val="000000"/>
          <w:sz w:val="24"/>
          <w:szCs w:val="24"/>
          <w:shd w:val="clear" w:color="auto" w:fill="FFFFFF"/>
          <w:lang w:eastAsia="es-ES_tradnl"/>
        </w:rPr>
        <w:t>equivocaciones a las que llevaron a repetir la prueba de conocimientos en la primera</w:t>
      </w:r>
      <w:r w:rsidR="00370F4B">
        <w:rPr>
          <w:rFonts w:ascii="Arial" w:eastAsia="Calibri" w:hAnsi="Arial" w:cs="Arial"/>
          <w:color w:val="000000"/>
          <w:sz w:val="24"/>
          <w:szCs w:val="24"/>
          <w:shd w:val="clear" w:color="auto" w:fill="FFFFFF"/>
          <w:lang w:eastAsia="es-ES_tradnl"/>
        </w:rPr>
        <w:t xml:space="preserve"> </w:t>
      </w:r>
      <w:r w:rsidR="00370F4B" w:rsidRPr="00370F4B">
        <w:rPr>
          <w:rFonts w:ascii="Arial" w:eastAsia="Calibri" w:hAnsi="Arial" w:cs="Arial"/>
          <w:color w:val="000000"/>
          <w:sz w:val="24"/>
          <w:szCs w:val="24"/>
          <w:shd w:val="clear" w:color="auto" w:fill="FFFFFF"/>
          <w:lang w:eastAsia="es-ES_tradnl"/>
        </w:rPr>
        <w:t>oportunidad, repetir la prueba de conocimientos de la convocatoria 27 fue practicada</w:t>
      </w:r>
      <w:r w:rsidR="00370F4B">
        <w:rPr>
          <w:rFonts w:ascii="Arial" w:eastAsia="Calibri" w:hAnsi="Arial" w:cs="Arial"/>
          <w:color w:val="000000"/>
          <w:sz w:val="24"/>
          <w:szCs w:val="24"/>
          <w:shd w:val="clear" w:color="auto" w:fill="FFFFFF"/>
          <w:lang w:eastAsia="es-ES_tradnl"/>
        </w:rPr>
        <w:t xml:space="preserve"> </w:t>
      </w:r>
      <w:r w:rsidR="00370F4B" w:rsidRPr="00370F4B">
        <w:rPr>
          <w:rFonts w:ascii="Arial" w:eastAsia="Calibri" w:hAnsi="Arial" w:cs="Arial"/>
          <w:color w:val="000000"/>
          <w:sz w:val="24"/>
          <w:szCs w:val="24"/>
          <w:shd w:val="clear" w:color="auto" w:fill="FFFFFF"/>
          <w:lang w:eastAsia="es-ES_tradnl"/>
        </w:rPr>
        <w:t>el 24 de julio de 2022</w:t>
      </w:r>
      <w:r w:rsidR="00370F4B">
        <w:rPr>
          <w:rFonts w:ascii="Arial" w:eastAsia="Calibri" w:hAnsi="Arial" w:cs="Arial"/>
          <w:color w:val="000000"/>
          <w:sz w:val="24"/>
          <w:szCs w:val="24"/>
          <w:shd w:val="clear" w:color="auto" w:fill="FFFFFF"/>
          <w:lang w:eastAsia="es-ES_tradnl"/>
        </w:rPr>
        <w:t>”</w:t>
      </w:r>
      <w:r w:rsidR="00370F4B">
        <w:rPr>
          <w:rStyle w:val="Refdenotaalpie"/>
          <w:rFonts w:ascii="Arial" w:eastAsia="Calibri" w:hAnsi="Arial" w:cs="Arial"/>
          <w:color w:val="000000"/>
          <w:sz w:val="24"/>
          <w:szCs w:val="24"/>
          <w:shd w:val="clear" w:color="auto" w:fill="FFFFFF"/>
          <w:lang w:eastAsia="es-ES_tradnl"/>
        </w:rPr>
        <w:footnoteReference w:id="79"/>
      </w:r>
      <w:r w:rsidR="00370F4B" w:rsidRPr="00370F4B">
        <w:rPr>
          <w:rFonts w:ascii="Arial" w:eastAsia="Calibri" w:hAnsi="Arial" w:cs="Arial"/>
          <w:color w:val="000000"/>
          <w:sz w:val="24"/>
          <w:szCs w:val="24"/>
          <w:shd w:val="clear" w:color="auto" w:fill="FFFFFF"/>
          <w:lang w:eastAsia="es-ES_tradnl"/>
        </w:rPr>
        <w:t>.</w:t>
      </w:r>
    </w:p>
    <w:p w14:paraId="0FA095A2" w14:textId="3A575552" w:rsidR="002B7A96" w:rsidRDefault="0090724A" w:rsidP="00044568">
      <w:pPr>
        <w:spacing w:after="240" w:line="240" w:lineRule="auto"/>
        <w:jc w:val="both"/>
        <w:textAlignment w:val="baseline"/>
        <w:rPr>
          <w:rFonts w:ascii="Arial" w:eastAsia="Calibri" w:hAnsi="Arial" w:cs="Arial"/>
          <w:color w:val="000000"/>
          <w:sz w:val="24"/>
          <w:szCs w:val="24"/>
          <w:shd w:val="clear" w:color="auto" w:fill="FFFFFF"/>
          <w:lang w:eastAsia="es-ES_tradnl"/>
        </w:rPr>
      </w:pPr>
      <w:r>
        <w:rPr>
          <w:rFonts w:ascii="Arial" w:eastAsia="Calibri" w:hAnsi="Arial" w:cs="Arial"/>
          <w:color w:val="000000"/>
          <w:sz w:val="24"/>
          <w:szCs w:val="24"/>
          <w:shd w:val="clear" w:color="auto" w:fill="FFFFFF"/>
          <w:lang w:eastAsia="es-ES_tradnl"/>
        </w:rPr>
        <w:t xml:space="preserve">2.2.3.2. </w:t>
      </w:r>
      <w:r w:rsidR="006169D6">
        <w:rPr>
          <w:rFonts w:ascii="Arial" w:eastAsia="Calibri" w:hAnsi="Arial" w:cs="Arial"/>
          <w:color w:val="000000"/>
          <w:sz w:val="24"/>
          <w:szCs w:val="24"/>
          <w:shd w:val="clear" w:color="auto" w:fill="FFFFFF"/>
          <w:lang w:eastAsia="es-ES_tradnl"/>
        </w:rPr>
        <w:t xml:space="preserve"> </w:t>
      </w:r>
      <w:r w:rsidR="002B7A96">
        <w:rPr>
          <w:rFonts w:ascii="Arial" w:eastAsia="Calibri" w:hAnsi="Arial" w:cs="Arial"/>
          <w:color w:val="000000"/>
          <w:sz w:val="24"/>
          <w:szCs w:val="24"/>
          <w:shd w:val="clear" w:color="auto" w:fill="FFFFFF"/>
          <w:lang w:eastAsia="es-ES_tradnl"/>
        </w:rPr>
        <w:t>En relación con las pretensiones</w:t>
      </w:r>
      <w:r w:rsidR="00572386">
        <w:rPr>
          <w:rFonts w:ascii="Arial" w:eastAsia="Calibri" w:hAnsi="Arial" w:cs="Arial"/>
          <w:color w:val="000000"/>
          <w:sz w:val="24"/>
          <w:szCs w:val="24"/>
          <w:shd w:val="clear" w:color="auto" w:fill="FFFFFF"/>
          <w:lang w:eastAsia="es-ES_tradnl"/>
        </w:rPr>
        <w:t xml:space="preserve"> restantes, que están</w:t>
      </w:r>
      <w:r w:rsidR="002B7A96">
        <w:rPr>
          <w:rFonts w:ascii="Arial" w:eastAsia="Calibri" w:hAnsi="Arial" w:cs="Arial"/>
          <w:color w:val="000000"/>
          <w:sz w:val="24"/>
          <w:szCs w:val="24"/>
          <w:shd w:val="clear" w:color="auto" w:fill="FFFFFF"/>
          <w:lang w:eastAsia="es-ES_tradnl"/>
        </w:rPr>
        <w:t xml:space="preserve"> encaminadas a que en esta sede</w:t>
      </w:r>
      <w:r w:rsidR="00572386">
        <w:rPr>
          <w:rFonts w:ascii="Arial" w:eastAsia="Calibri" w:hAnsi="Arial" w:cs="Arial"/>
          <w:color w:val="000000"/>
          <w:sz w:val="24"/>
          <w:szCs w:val="24"/>
          <w:shd w:val="clear" w:color="auto" w:fill="FFFFFF"/>
          <w:lang w:eastAsia="es-ES_tradnl"/>
        </w:rPr>
        <w:t>, la Subsección</w:t>
      </w:r>
      <w:r w:rsidR="002B7A96">
        <w:rPr>
          <w:rFonts w:ascii="Arial" w:eastAsia="Calibri" w:hAnsi="Arial" w:cs="Arial"/>
          <w:color w:val="000000"/>
          <w:sz w:val="24"/>
          <w:szCs w:val="24"/>
          <w:shd w:val="clear" w:color="auto" w:fill="FFFFFF"/>
          <w:lang w:eastAsia="es-ES_tradnl"/>
        </w:rPr>
        <w:t xml:space="preserve"> compulse copias a la Fiscalía General de la Nación y a la Comisión Nacional de Disciplina Judicial, para efectos de que investigue</w:t>
      </w:r>
      <w:r w:rsidR="00572386">
        <w:rPr>
          <w:rFonts w:ascii="Arial" w:eastAsia="Calibri" w:hAnsi="Arial" w:cs="Arial"/>
          <w:color w:val="000000"/>
          <w:sz w:val="24"/>
          <w:szCs w:val="24"/>
          <w:shd w:val="clear" w:color="auto" w:fill="FFFFFF"/>
          <w:lang w:eastAsia="es-ES_tradnl"/>
        </w:rPr>
        <w:t>n</w:t>
      </w:r>
      <w:r w:rsidR="00044568">
        <w:rPr>
          <w:rFonts w:ascii="Arial" w:eastAsia="Calibri" w:hAnsi="Arial" w:cs="Arial"/>
          <w:color w:val="000000"/>
          <w:sz w:val="24"/>
          <w:szCs w:val="24"/>
          <w:shd w:val="clear" w:color="auto" w:fill="FFFFFF"/>
          <w:lang w:eastAsia="es-ES_tradnl"/>
        </w:rPr>
        <w:t xml:space="preserve"> las conductas desplegadas en el proceso de la Convocatoria 27, por Claudia Marcela Granados, en calidad de Directora de la Unidad de Administración de Carrera Judicial del Consejo Superior de la Judicatura, se </w:t>
      </w:r>
      <w:r w:rsidR="002B7A96">
        <w:rPr>
          <w:rFonts w:ascii="Arial" w:eastAsia="Calibri" w:hAnsi="Arial" w:cs="Arial"/>
          <w:color w:val="000000"/>
          <w:sz w:val="24"/>
          <w:szCs w:val="24"/>
          <w:shd w:val="clear" w:color="auto" w:fill="FFFFFF"/>
          <w:lang w:eastAsia="es-ES_tradnl"/>
        </w:rPr>
        <w:t xml:space="preserve">precisa que la función del juez de amparo no es sustituir </w:t>
      </w:r>
      <w:r w:rsidR="00044568">
        <w:rPr>
          <w:rFonts w:ascii="Arial" w:eastAsia="Calibri" w:hAnsi="Arial" w:cs="Arial"/>
          <w:color w:val="000000"/>
          <w:sz w:val="24"/>
          <w:szCs w:val="24"/>
          <w:shd w:val="clear" w:color="auto" w:fill="FFFFFF"/>
          <w:lang w:eastAsia="es-ES_tradnl"/>
        </w:rPr>
        <w:t xml:space="preserve">la facultad de denunciar ante dichas autoridades, que tiene el señor </w:t>
      </w:r>
      <w:r w:rsidR="007936D7">
        <w:rPr>
          <w:rFonts w:ascii="Arial" w:eastAsia="Calibri" w:hAnsi="Arial" w:cs="Arial"/>
          <w:color w:val="000000"/>
          <w:sz w:val="24"/>
          <w:szCs w:val="24"/>
          <w:shd w:val="clear" w:color="auto" w:fill="FFFFFF"/>
          <w:lang w:eastAsia="es-ES_tradnl"/>
        </w:rPr>
        <w:t xml:space="preserve">Valencia </w:t>
      </w:r>
      <w:r w:rsidR="00044568">
        <w:rPr>
          <w:rFonts w:ascii="Arial" w:eastAsia="Calibri" w:hAnsi="Arial" w:cs="Arial"/>
          <w:color w:val="000000"/>
          <w:sz w:val="24"/>
          <w:szCs w:val="24"/>
          <w:shd w:val="clear" w:color="auto" w:fill="FFFFFF"/>
          <w:lang w:eastAsia="es-ES_tradnl"/>
        </w:rPr>
        <w:t xml:space="preserve">Zamora como ciudadano, así como tampoco consiste en </w:t>
      </w:r>
      <w:r w:rsidR="00572386">
        <w:rPr>
          <w:rFonts w:ascii="Arial" w:eastAsia="Calibri" w:hAnsi="Arial" w:cs="Arial"/>
          <w:color w:val="000000"/>
          <w:sz w:val="24"/>
          <w:szCs w:val="24"/>
          <w:shd w:val="clear" w:color="auto" w:fill="FFFFFF"/>
          <w:lang w:eastAsia="es-ES_tradnl"/>
        </w:rPr>
        <w:t>suplir</w:t>
      </w:r>
      <w:r w:rsidR="00044568">
        <w:rPr>
          <w:rFonts w:ascii="Arial" w:eastAsia="Calibri" w:hAnsi="Arial" w:cs="Arial"/>
          <w:color w:val="000000"/>
          <w:sz w:val="24"/>
          <w:szCs w:val="24"/>
          <w:shd w:val="clear" w:color="auto" w:fill="FFFFFF"/>
          <w:lang w:eastAsia="es-ES_tradnl"/>
        </w:rPr>
        <w:t xml:space="preserve"> la competencia de otras entidades del Estado.</w:t>
      </w:r>
      <w:r w:rsidR="002B7A96">
        <w:rPr>
          <w:rFonts w:ascii="Arial" w:eastAsia="Calibri" w:hAnsi="Arial" w:cs="Arial"/>
          <w:color w:val="000000"/>
          <w:sz w:val="24"/>
          <w:szCs w:val="24"/>
          <w:shd w:val="clear" w:color="auto" w:fill="FFFFFF"/>
          <w:lang w:eastAsia="es-ES_tradnl"/>
        </w:rPr>
        <w:t xml:space="preserve"> Así, la Sala recuerda que</w:t>
      </w:r>
      <w:r w:rsidR="00044568">
        <w:rPr>
          <w:rFonts w:ascii="Arial" w:eastAsia="Calibri" w:hAnsi="Arial" w:cs="Arial"/>
          <w:color w:val="000000"/>
          <w:sz w:val="24"/>
          <w:szCs w:val="24"/>
          <w:shd w:val="clear" w:color="auto" w:fill="FFFFFF"/>
          <w:lang w:eastAsia="es-ES_tradnl"/>
        </w:rPr>
        <w:t>,</w:t>
      </w:r>
      <w:r w:rsidR="002B7A96">
        <w:rPr>
          <w:rFonts w:ascii="Arial" w:eastAsia="Calibri" w:hAnsi="Arial" w:cs="Arial"/>
          <w:color w:val="000000"/>
          <w:sz w:val="24"/>
          <w:szCs w:val="24"/>
          <w:shd w:val="clear" w:color="auto" w:fill="FFFFFF"/>
          <w:lang w:eastAsia="es-ES_tradnl"/>
        </w:rPr>
        <w:t xml:space="preserve"> a través de </w:t>
      </w:r>
      <w:r w:rsidR="00044568">
        <w:rPr>
          <w:rFonts w:ascii="Arial" w:eastAsia="Calibri" w:hAnsi="Arial" w:cs="Arial"/>
          <w:color w:val="000000"/>
          <w:sz w:val="24"/>
          <w:szCs w:val="24"/>
          <w:shd w:val="clear" w:color="auto" w:fill="FFFFFF"/>
          <w:lang w:eastAsia="es-ES_tradnl"/>
        </w:rPr>
        <w:t>la respectiva</w:t>
      </w:r>
      <w:r w:rsidR="002B7A96">
        <w:rPr>
          <w:rFonts w:ascii="Arial" w:eastAsia="Calibri" w:hAnsi="Arial" w:cs="Arial"/>
          <w:color w:val="000000"/>
          <w:sz w:val="24"/>
          <w:szCs w:val="24"/>
          <w:shd w:val="clear" w:color="auto" w:fill="FFFFFF"/>
          <w:lang w:eastAsia="es-ES_tradnl"/>
        </w:rPr>
        <w:t xml:space="preserve"> denuncia</w:t>
      </w:r>
      <w:r w:rsidR="00044568">
        <w:rPr>
          <w:rFonts w:ascii="Arial" w:eastAsia="Calibri" w:hAnsi="Arial" w:cs="Arial"/>
          <w:color w:val="000000"/>
          <w:sz w:val="24"/>
          <w:szCs w:val="24"/>
          <w:shd w:val="clear" w:color="auto" w:fill="FFFFFF"/>
          <w:lang w:eastAsia="es-ES_tradnl"/>
        </w:rPr>
        <w:t xml:space="preserve">, </w:t>
      </w:r>
      <w:r w:rsidR="002B7A96">
        <w:rPr>
          <w:rFonts w:ascii="Arial" w:eastAsia="Calibri" w:hAnsi="Arial" w:cs="Arial"/>
          <w:color w:val="000000"/>
          <w:sz w:val="24"/>
          <w:szCs w:val="24"/>
          <w:shd w:val="clear" w:color="auto" w:fill="FFFFFF"/>
          <w:lang w:eastAsia="es-ES_tradnl"/>
        </w:rPr>
        <w:t xml:space="preserve">el </w:t>
      </w:r>
      <w:r w:rsidR="00044568">
        <w:rPr>
          <w:rFonts w:ascii="Arial" w:eastAsia="Calibri" w:hAnsi="Arial" w:cs="Arial"/>
          <w:color w:val="000000"/>
          <w:sz w:val="24"/>
          <w:szCs w:val="24"/>
          <w:shd w:val="clear" w:color="auto" w:fill="FFFFFF"/>
          <w:lang w:eastAsia="es-ES_tradnl"/>
        </w:rPr>
        <w:t>actor</w:t>
      </w:r>
      <w:r w:rsidR="002B7A96">
        <w:rPr>
          <w:rFonts w:ascii="Arial" w:eastAsia="Calibri" w:hAnsi="Arial" w:cs="Arial"/>
          <w:color w:val="000000"/>
          <w:sz w:val="24"/>
          <w:szCs w:val="24"/>
          <w:shd w:val="clear" w:color="auto" w:fill="FFFFFF"/>
          <w:lang w:eastAsia="es-ES_tradnl"/>
        </w:rPr>
        <w:t xml:space="preserve"> puede poner en conocimiento de la autoridad competente los hechos por los cuales considera que </w:t>
      </w:r>
      <w:r w:rsidR="00044568">
        <w:rPr>
          <w:rFonts w:ascii="Arial" w:eastAsia="Calibri" w:hAnsi="Arial" w:cs="Arial"/>
          <w:color w:val="000000"/>
          <w:sz w:val="24"/>
          <w:szCs w:val="24"/>
          <w:shd w:val="clear" w:color="auto" w:fill="FFFFFF"/>
          <w:lang w:eastAsia="es-ES_tradnl"/>
        </w:rPr>
        <w:t>la funcionaria</w:t>
      </w:r>
      <w:r w:rsidR="002B7A96">
        <w:rPr>
          <w:rFonts w:ascii="Arial" w:eastAsia="Calibri" w:hAnsi="Arial" w:cs="Arial"/>
          <w:color w:val="000000"/>
          <w:sz w:val="24"/>
          <w:szCs w:val="24"/>
          <w:shd w:val="clear" w:color="auto" w:fill="FFFFFF"/>
          <w:lang w:eastAsia="es-ES_tradnl"/>
        </w:rPr>
        <w:t xml:space="preserve"> mencionada debe ser investigada </w:t>
      </w:r>
      <w:r w:rsidR="00044568">
        <w:rPr>
          <w:rFonts w:ascii="Arial" w:eastAsia="Calibri" w:hAnsi="Arial" w:cs="Arial"/>
          <w:color w:val="000000"/>
          <w:sz w:val="24"/>
          <w:szCs w:val="24"/>
          <w:shd w:val="clear" w:color="auto" w:fill="FFFFFF"/>
          <w:lang w:eastAsia="es-ES_tradnl"/>
        </w:rPr>
        <w:t>tanto penal como disciplinariamente</w:t>
      </w:r>
      <w:r w:rsidR="002B7A96">
        <w:rPr>
          <w:rFonts w:ascii="Arial" w:eastAsia="Calibri" w:hAnsi="Arial" w:cs="Arial"/>
          <w:color w:val="000000"/>
          <w:sz w:val="24"/>
          <w:szCs w:val="24"/>
          <w:shd w:val="clear" w:color="auto" w:fill="FFFFFF"/>
          <w:lang w:eastAsia="es-ES_tradnl"/>
        </w:rPr>
        <w:t>.</w:t>
      </w:r>
    </w:p>
    <w:p w14:paraId="2DCEF91C" w14:textId="0EF2C264" w:rsidR="00022BDE" w:rsidRDefault="00572386" w:rsidP="00572386">
      <w:pPr>
        <w:overflowPunct w:val="0"/>
        <w:autoSpaceDE w:val="0"/>
        <w:autoSpaceDN w:val="0"/>
        <w:adjustRightInd w:val="0"/>
        <w:spacing w:line="240" w:lineRule="auto"/>
        <w:jc w:val="both"/>
        <w:rPr>
          <w:rFonts w:ascii="Arial" w:eastAsia="Times New Roman" w:hAnsi="Arial" w:cs="Arial"/>
          <w:color w:val="000000" w:themeColor="text1"/>
          <w:sz w:val="24"/>
          <w:szCs w:val="24"/>
          <w:lang w:eastAsia="es-ES"/>
        </w:rPr>
      </w:pPr>
      <w:r w:rsidRPr="00572386">
        <w:rPr>
          <w:rFonts w:ascii="Arial" w:eastAsia="Times New Roman" w:hAnsi="Arial" w:cs="Arial"/>
          <w:color w:val="000000" w:themeColor="text1"/>
          <w:sz w:val="24"/>
          <w:szCs w:val="24"/>
          <w:lang w:eastAsia="es-ES"/>
        </w:rPr>
        <w:t>Así las cosas, de acuerdo con lo expuesto en líneas anteriores, la Subsección concluye que</w:t>
      </w:r>
      <w:r>
        <w:rPr>
          <w:rFonts w:ascii="Arial" w:eastAsia="Times New Roman" w:hAnsi="Arial" w:cs="Arial"/>
          <w:color w:val="000000" w:themeColor="text1"/>
          <w:sz w:val="24"/>
          <w:szCs w:val="24"/>
          <w:lang w:eastAsia="es-ES"/>
        </w:rPr>
        <w:t xml:space="preserve"> la acción de tutela bajo estudio, no procede en la medida en que el actor tiene a su disposición otros mecanismos de defensa judicial, idóneos y eficaces para la protección de los derechos que invocó en su escrito de tutela.</w:t>
      </w:r>
    </w:p>
    <w:p w14:paraId="12181EF1" w14:textId="6AB77C2A" w:rsidR="00572386" w:rsidRDefault="00572386" w:rsidP="00572386">
      <w:pPr>
        <w:keepNext/>
        <w:widowControl w:val="0"/>
        <w:overflowPunct w:val="0"/>
        <w:autoSpaceDE w:val="0"/>
        <w:autoSpaceDN w:val="0"/>
        <w:adjustRightInd w:val="0"/>
        <w:spacing w:line="240" w:lineRule="auto"/>
        <w:jc w:val="center"/>
        <w:rPr>
          <w:rFonts w:ascii="Arial" w:eastAsia="Times New Roman" w:hAnsi="Arial" w:cs="Arial"/>
          <w:b/>
          <w:bCs/>
          <w:color w:val="000000" w:themeColor="text1"/>
          <w:sz w:val="24"/>
          <w:szCs w:val="24"/>
          <w:lang w:eastAsia="es-ES"/>
        </w:rPr>
      </w:pPr>
      <w:r>
        <w:rPr>
          <w:rFonts w:ascii="Arial" w:eastAsia="Times New Roman" w:hAnsi="Arial" w:cs="Arial"/>
          <w:b/>
          <w:bCs/>
          <w:color w:val="000000" w:themeColor="text1"/>
          <w:sz w:val="24"/>
          <w:szCs w:val="24"/>
          <w:lang w:eastAsia="es-ES"/>
        </w:rPr>
        <w:t xml:space="preserve">III. DECISIÓN </w:t>
      </w:r>
    </w:p>
    <w:p w14:paraId="5771245E" w14:textId="77777777" w:rsidR="00572386" w:rsidRPr="00572386" w:rsidRDefault="00572386" w:rsidP="00572386">
      <w:pPr>
        <w:keepNext/>
        <w:widowControl w:val="0"/>
        <w:overflowPunct w:val="0"/>
        <w:autoSpaceDE w:val="0"/>
        <w:autoSpaceDN w:val="0"/>
        <w:adjustRightInd w:val="0"/>
        <w:spacing w:line="240" w:lineRule="auto"/>
        <w:jc w:val="both"/>
        <w:rPr>
          <w:rFonts w:ascii="Arial" w:eastAsia="Times New Roman" w:hAnsi="Arial" w:cs="Arial"/>
          <w:color w:val="000000" w:themeColor="text1"/>
          <w:sz w:val="24"/>
          <w:szCs w:val="24"/>
          <w:lang w:eastAsia="es-ES"/>
        </w:rPr>
      </w:pPr>
      <w:r w:rsidRPr="00572386">
        <w:rPr>
          <w:rFonts w:ascii="Arial" w:eastAsia="Times New Roman" w:hAnsi="Arial" w:cs="Arial"/>
          <w:color w:val="000000" w:themeColor="text1"/>
          <w:sz w:val="24"/>
          <w:szCs w:val="24"/>
          <w:lang w:eastAsia="es-ES"/>
        </w:rPr>
        <w:t xml:space="preserve">En mérito de lo expuesto, la Sección Tercera Subsección “C” de la Sala de lo Contencioso Administrativo del Consejo de Estado, administrando justicia en nombre de la República y por autoridad de la ley, </w:t>
      </w:r>
    </w:p>
    <w:p w14:paraId="3B12E2B0" w14:textId="495F48EA" w:rsidR="00926AB0" w:rsidRPr="00E77C3C" w:rsidRDefault="00B75EB2" w:rsidP="00E76F32">
      <w:pPr>
        <w:pStyle w:val="Textoindependiente21"/>
        <w:widowControl w:val="0"/>
        <w:spacing w:before="240"/>
        <w:ind w:left="0"/>
        <w:jc w:val="center"/>
        <w:rPr>
          <w:rFonts w:cs="Arial"/>
          <w:b/>
          <w:sz w:val="24"/>
          <w:szCs w:val="24"/>
        </w:rPr>
      </w:pPr>
      <w:r>
        <w:rPr>
          <w:rFonts w:cs="Arial"/>
          <w:b/>
          <w:sz w:val="24"/>
          <w:szCs w:val="24"/>
        </w:rPr>
        <w:t>FALLA</w:t>
      </w:r>
    </w:p>
    <w:p w14:paraId="5E8F404B" w14:textId="62BC4065" w:rsidR="00926AB0" w:rsidRPr="00D02A0A" w:rsidRDefault="00926AB0" w:rsidP="00E76F32">
      <w:pPr>
        <w:widowControl w:val="0"/>
        <w:spacing w:before="240" w:after="240" w:line="240" w:lineRule="auto"/>
        <w:ind w:right="51"/>
        <w:jc w:val="both"/>
        <w:rPr>
          <w:rFonts w:ascii="Arial" w:hAnsi="Arial" w:cs="Arial"/>
          <w:sz w:val="24"/>
          <w:szCs w:val="24"/>
        </w:rPr>
      </w:pPr>
      <w:r w:rsidRPr="00E77C3C">
        <w:rPr>
          <w:rFonts w:ascii="Arial" w:hAnsi="Arial" w:cs="Arial"/>
          <w:b/>
          <w:sz w:val="24"/>
          <w:szCs w:val="24"/>
        </w:rPr>
        <w:t>PRIMERO.</w:t>
      </w:r>
      <w:r w:rsidRPr="00E77C3C">
        <w:rPr>
          <w:rFonts w:ascii="Arial" w:hAnsi="Arial" w:cs="Arial"/>
          <w:sz w:val="24"/>
          <w:szCs w:val="24"/>
        </w:rPr>
        <w:t xml:space="preserve"> </w:t>
      </w:r>
      <w:r w:rsidR="00D02A0A" w:rsidRPr="00D02A0A">
        <w:rPr>
          <w:rFonts w:ascii="Arial" w:hAnsi="Arial" w:cs="Arial"/>
          <w:b/>
          <w:bCs/>
          <w:sz w:val="24"/>
          <w:szCs w:val="24"/>
        </w:rPr>
        <w:t>ACEPTAR</w:t>
      </w:r>
      <w:r w:rsidR="00D02A0A">
        <w:rPr>
          <w:rFonts w:ascii="Arial" w:hAnsi="Arial" w:cs="Arial"/>
          <w:sz w:val="24"/>
          <w:szCs w:val="24"/>
        </w:rPr>
        <w:t xml:space="preserve"> las solicitudes de coadyuvancia presentadas por </w:t>
      </w:r>
      <w:r w:rsidR="00D02A0A" w:rsidRPr="00D02A0A">
        <w:rPr>
          <w:rFonts w:ascii="Arial" w:hAnsi="Arial" w:cs="Arial"/>
          <w:bCs/>
          <w:sz w:val="24"/>
          <w:szCs w:val="24"/>
        </w:rPr>
        <w:t>Miguel Ángel Uribe Becerra, Claudia Tatiana Gutiérrez Moreno, Edwin Gonzalo Cano Arboleda, Omar Julián Ríos Gómez</w:t>
      </w:r>
      <w:r w:rsidR="00D02A0A" w:rsidRPr="00D02A0A">
        <w:rPr>
          <w:rFonts w:ascii="Arial" w:hAnsi="Arial" w:cs="Arial"/>
          <w:bCs/>
          <w:sz w:val="24"/>
          <w:szCs w:val="24"/>
          <w:vertAlign w:val="superscript"/>
        </w:rPr>
        <w:t xml:space="preserve"> </w:t>
      </w:r>
      <w:r w:rsidR="00D02A0A" w:rsidRPr="00D02A0A">
        <w:rPr>
          <w:rFonts w:ascii="Arial" w:hAnsi="Arial" w:cs="Arial"/>
          <w:bCs/>
          <w:sz w:val="24"/>
          <w:szCs w:val="24"/>
        </w:rPr>
        <w:t>y Dan Matías González García</w:t>
      </w:r>
      <w:r w:rsidR="00D02A0A">
        <w:rPr>
          <w:rFonts w:ascii="Arial" w:hAnsi="Arial" w:cs="Arial"/>
          <w:bCs/>
          <w:sz w:val="24"/>
          <w:szCs w:val="24"/>
        </w:rPr>
        <w:t>.</w:t>
      </w:r>
    </w:p>
    <w:p w14:paraId="4A2CB38C" w14:textId="411EBF79" w:rsidR="00926AB0" w:rsidRPr="00D02A0A" w:rsidRDefault="00926AB0" w:rsidP="00E76F32">
      <w:pPr>
        <w:widowControl w:val="0"/>
        <w:spacing w:after="240" w:line="240" w:lineRule="auto"/>
        <w:ind w:right="51"/>
        <w:jc w:val="both"/>
        <w:rPr>
          <w:rFonts w:ascii="Arial" w:hAnsi="Arial" w:cs="Arial"/>
          <w:sz w:val="24"/>
          <w:szCs w:val="24"/>
          <w:lang w:val="es-ES"/>
        </w:rPr>
      </w:pPr>
      <w:r w:rsidRPr="00E77C3C">
        <w:rPr>
          <w:rFonts w:ascii="Arial" w:hAnsi="Arial" w:cs="Arial"/>
          <w:b/>
          <w:bCs/>
          <w:sz w:val="24"/>
          <w:szCs w:val="24"/>
          <w:lang w:val="es-ES"/>
        </w:rPr>
        <w:t>SEGUNDO. </w:t>
      </w:r>
      <w:r w:rsidR="00D02A0A">
        <w:rPr>
          <w:rFonts w:ascii="Arial" w:hAnsi="Arial" w:cs="Arial"/>
          <w:b/>
          <w:bCs/>
          <w:sz w:val="24"/>
          <w:szCs w:val="24"/>
          <w:lang w:val="es-ES"/>
        </w:rPr>
        <w:t>DECLARAR</w:t>
      </w:r>
      <w:r w:rsidR="00D02A0A">
        <w:rPr>
          <w:rFonts w:ascii="Arial" w:hAnsi="Arial" w:cs="Arial"/>
          <w:sz w:val="24"/>
          <w:szCs w:val="24"/>
          <w:lang w:val="es-ES"/>
        </w:rPr>
        <w:t xml:space="preserve"> la improcedencia de la acción de tutela, por las razones expuestas en las consideraciones de esta sentencia.</w:t>
      </w:r>
    </w:p>
    <w:p w14:paraId="2FF0E1C5" w14:textId="0A684911" w:rsidR="00926AB0" w:rsidRPr="00D02A0A" w:rsidRDefault="00926AB0" w:rsidP="00E76F32">
      <w:pPr>
        <w:widowControl w:val="0"/>
        <w:spacing w:after="240" w:line="240" w:lineRule="auto"/>
        <w:jc w:val="both"/>
        <w:rPr>
          <w:rFonts w:ascii="Arial" w:hAnsi="Arial" w:cs="Arial"/>
          <w:b/>
          <w:sz w:val="24"/>
          <w:szCs w:val="24"/>
          <w:lang w:val="es-ES_tradnl"/>
        </w:rPr>
      </w:pPr>
      <w:r w:rsidRPr="00E77C3C">
        <w:rPr>
          <w:rFonts w:ascii="Arial" w:hAnsi="Arial" w:cs="Arial"/>
          <w:b/>
          <w:color w:val="000000"/>
          <w:sz w:val="24"/>
          <w:szCs w:val="24"/>
        </w:rPr>
        <w:t>TERCERO.</w:t>
      </w:r>
      <w:r w:rsidRPr="00E77C3C">
        <w:rPr>
          <w:rFonts w:ascii="Arial" w:hAnsi="Arial" w:cs="Arial"/>
          <w:b/>
          <w:sz w:val="24"/>
          <w:szCs w:val="24"/>
        </w:rPr>
        <w:t xml:space="preserve"> </w:t>
      </w:r>
      <w:r w:rsidR="00D02A0A" w:rsidRPr="00D02A0A">
        <w:rPr>
          <w:rFonts w:ascii="Arial" w:hAnsi="Arial" w:cs="Arial"/>
          <w:b/>
          <w:sz w:val="24"/>
          <w:szCs w:val="24"/>
          <w:lang w:val="es-ES_tradnl"/>
        </w:rPr>
        <w:t xml:space="preserve">NOTIFICAR </w:t>
      </w:r>
      <w:r w:rsidR="00D02A0A" w:rsidRPr="00D02A0A">
        <w:rPr>
          <w:rFonts w:ascii="Arial" w:hAnsi="Arial" w:cs="Arial"/>
          <w:sz w:val="24"/>
          <w:szCs w:val="24"/>
          <w:lang w:val="es-ES_tradnl"/>
        </w:rPr>
        <w:t>la presente decisión a las partes y a los interesados por el medio más expedito</w:t>
      </w:r>
      <w:r w:rsidR="00D02A0A" w:rsidRPr="00D02A0A">
        <w:rPr>
          <w:rFonts w:ascii="Arial" w:hAnsi="Arial" w:cs="Arial"/>
          <w:b/>
          <w:bCs/>
          <w:sz w:val="24"/>
          <w:szCs w:val="24"/>
          <w:lang w:val="es-ES_tradnl"/>
        </w:rPr>
        <w:t>.</w:t>
      </w:r>
    </w:p>
    <w:p w14:paraId="47120939" w14:textId="2A7796EA" w:rsidR="00926AB0" w:rsidRPr="00D02A0A" w:rsidRDefault="00926AB0" w:rsidP="00D02A0A">
      <w:pPr>
        <w:pStyle w:val="Textoindependiente21"/>
        <w:widowControl w:val="0"/>
        <w:spacing w:before="240"/>
        <w:ind w:left="0"/>
        <w:jc w:val="both"/>
        <w:rPr>
          <w:rStyle w:val="normaltextrun"/>
          <w:rFonts w:cs="Arial"/>
          <w:bCs/>
          <w:color w:val="000000"/>
          <w:sz w:val="24"/>
          <w:szCs w:val="24"/>
        </w:rPr>
      </w:pPr>
      <w:r w:rsidRPr="00F21E57">
        <w:rPr>
          <w:rFonts w:cs="Arial"/>
          <w:b/>
          <w:color w:val="000000"/>
          <w:sz w:val="24"/>
          <w:szCs w:val="24"/>
        </w:rPr>
        <w:t>CUARTO.</w:t>
      </w:r>
      <w:r>
        <w:rPr>
          <w:rFonts w:cs="Arial"/>
          <w:b/>
          <w:color w:val="000000"/>
          <w:sz w:val="24"/>
          <w:szCs w:val="24"/>
        </w:rPr>
        <w:t xml:space="preserve"> </w:t>
      </w:r>
      <w:r w:rsidR="00D02A0A">
        <w:rPr>
          <w:rFonts w:cs="Arial"/>
          <w:b/>
          <w:color w:val="000000"/>
          <w:sz w:val="24"/>
          <w:szCs w:val="24"/>
        </w:rPr>
        <w:t xml:space="preserve">ENVIAR </w:t>
      </w:r>
      <w:r w:rsidR="00D02A0A">
        <w:rPr>
          <w:rFonts w:cs="Arial"/>
          <w:bCs/>
          <w:color w:val="000000"/>
          <w:sz w:val="24"/>
          <w:szCs w:val="24"/>
        </w:rPr>
        <w:t>la presente providencia a la Corte Constitucional para su eventual revisión, en caso de que no sea impugnada.</w:t>
      </w:r>
    </w:p>
    <w:p w14:paraId="4669B93D" w14:textId="646A0419" w:rsidR="00926AB0" w:rsidRDefault="00926AB0" w:rsidP="00E76F32">
      <w:pPr>
        <w:pStyle w:val="Textoindependiente21"/>
        <w:widowControl w:val="0"/>
        <w:spacing w:before="240" w:after="0"/>
        <w:ind w:left="0"/>
        <w:jc w:val="both"/>
        <w:rPr>
          <w:rFonts w:cs="Arial"/>
          <w:b/>
          <w:bCs/>
          <w:sz w:val="24"/>
          <w:szCs w:val="24"/>
        </w:rPr>
      </w:pPr>
      <w:r w:rsidRPr="00E77C3C">
        <w:rPr>
          <w:rFonts w:cs="Arial"/>
          <w:b/>
          <w:sz w:val="24"/>
          <w:szCs w:val="24"/>
        </w:rPr>
        <w:t>Notifíquese y Cúmplase</w:t>
      </w:r>
      <w:r w:rsidRPr="00F21E57">
        <w:rPr>
          <w:rFonts w:cs="Arial"/>
          <w:b/>
          <w:bCs/>
          <w:sz w:val="24"/>
          <w:szCs w:val="24"/>
        </w:rPr>
        <w:t>,</w:t>
      </w:r>
    </w:p>
    <w:p w14:paraId="703380B6" w14:textId="77777777" w:rsidR="00E76F32" w:rsidRPr="00E77C3C" w:rsidRDefault="00E76F32" w:rsidP="00E76F32">
      <w:pPr>
        <w:pStyle w:val="Textoindependiente21"/>
        <w:widowControl w:val="0"/>
        <w:spacing w:before="240" w:after="0"/>
        <w:ind w:left="0"/>
        <w:jc w:val="both"/>
        <w:rPr>
          <w:rFonts w:cs="Arial"/>
          <w:sz w:val="24"/>
          <w:szCs w:val="24"/>
        </w:rPr>
      </w:pPr>
    </w:p>
    <w:p w14:paraId="5C1DBA85" w14:textId="77777777" w:rsidR="00E76F32" w:rsidRPr="00E76F32" w:rsidRDefault="00E76F32" w:rsidP="00E76F32">
      <w:pPr>
        <w:widowControl w:val="0"/>
        <w:spacing w:after="0" w:line="240" w:lineRule="auto"/>
        <w:jc w:val="center"/>
        <w:rPr>
          <w:rFonts w:ascii="Arial" w:eastAsia="Verdana" w:hAnsi="Arial" w:cs="Arial"/>
          <w:b/>
          <w:sz w:val="24"/>
          <w:szCs w:val="24"/>
          <w:lang w:eastAsia="es-ES_tradnl"/>
        </w:rPr>
      </w:pPr>
      <w:r w:rsidRPr="00E76F32">
        <w:rPr>
          <w:rFonts w:ascii="Arial" w:eastAsia="Verdana" w:hAnsi="Arial" w:cs="Arial"/>
          <w:b/>
          <w:sz w:val="24"/>
          <w:szCs w:val="24"/>
          <w:lang w:eastAsia="es-ES_tradnl"/>
        </w:rPr>
        <w:t>NICOLÁS YEPES CORRALES</w:t>
      </w:r>
    </w:p>
    <w:p w14:paraId="7B8964DE" w14:textId="77777777" w:rsidR="00E76F32" w:rsidRPr="00E76F32" w:rsidRDefault="00E76F32" w:rsidP="00E76F32">
      <w:pPr>
        <w:widowControl w:val="0"/>
        <w:spacing w:after="0" w:line="240" w:lineRule="auto"/>
        <w:jc w:val="center"/>
        <w:rPr>
          <w:rFonts w:ascii="Arial" w:eastAsia="Verdana" w:hAnsi="Arial" w:cs="Arial"/>
          <w:b/>
          <w:sz w:val="24"/>
          <w:szCs w:val="24"/>
          <w:lang w:eastAsia="es-ES_tradnl"/>
        </w:rPr>
      </w:pPr>
      <w:r w:rsidRPr="00E76F32">
        <w:rPr>
          <w:rFonts w:ascii="Arial" w:eastAsia="Verdana" w:hAnsi="Arial" w:cs="Arial"/>
          <w:b/>
          <w:sz w:val="24"/>
          <w:szCs w:val="24"/>
          <w:lang w:eastAsia="es-ES_tradnl"/>
        </w:rPr>
        <w:t>Presidente de Sala</w:t>
      </w:r>
    </w:p>
    <w:p w14:paraId="1183ADA0" w14:textId="77777777" w:rsidR="00926AB0" w:rsidRPr="00E77C3C" w:rsidRDefault="00926AB0" w:rsidP="00E76F32">
      <w:pPr>
        <w:pStyle w:val="Textoindependiente21"/>
        <w:widowControl w:val="0"/>
        <w:spacing w:after="0"/>
        <w:ind w:left="0"/>
        <w:jc w:val="both"/>
        <w:rPr>
          <w:rFonts w:cs="Arial"/>
          <w:sz w:val="24"/>
          <w:szCs w:val="24"/>
        </w:rPr>
      </w:pPr>
    </w:p>
    <w:p w14:paraId="03A89597" w14:textId="77777777" w:rsidR="00926AB0" w:rsidRPr="00E77C3C" w:rsidRDefault="00926AB0" w:rsidP="00E76F32">
      <w:pPr>
        <w:pStyle w:val="Textoindependiente21"/>
        <w:widowControl w:val="0"/>
        <w:spacing w:after="0"/>
        <w:ind w:left="0"/>
        <w:jc w:val="both"/>
        <w:rPr>
          <w:rFonts w:cs="Arial"/>
          <w:sz w:val="24"/>
          <w:szCs w:val="24"/>
        </w:rPr>
      </w:pPr>
    </w:p>
    <w:p w14:paraId="757F79C0" w14:textId="77777777" w:rsidR="00926AB0" w:rsidRPr="00E77C3C" w:rsidRDefault="00926AB0" w:rsidP="00E76F32">
      <w:pPr>
        <w:pStyle w:val="Textoindependiente21"/>
        <w:widowControl w:val="0"/>
        <w:spacing w:after="0"/>
        <w:ind w:left="0"/>
        <w:jc w:val="center"/>
        <w:rPr>
          <w:rFonts w:cs="Arial"/>
          <w:sz w:val="24"/>
          <w:szCs w:val="24"/>
        </w:rPr>
      </w:pPr>
    </w:p>
    <w:p w14:paraId="366EA7EC" w14:textId="77777777" w:rsidR="00926AB0" w:rsidRPr="00E77C3C" w:rsidRDefault="00926AB0" w:rsidP="00E76F32">
      <w:pPr>
        <w:pStyle w:val="Textoindependiente21"/>
        <w:widowControl w:val="0"/>
        <w:spacing w:after="0"/>
        <w:ind w:left="0"/>
        <w:jc w:val="center"/>
        <w:rPr>
          <w:rFonts w:cs="Arial"/>
          <w:b/>
          <w:sz w:val="24"/>
          <w:szCs w:val="24"/>
        </w:rPr>
      </w:pPr>
      <w:r w:rsidRPr="00E77C3C">
        <w:rPr>
          <w:rFonts w:cs="Arial"/>
          <w:b/>
          <w:sz w:val="24"/>
          <w:szCs w:val="24"/>
        </w:rPr>
        <w:t>JAIME ENRIQUE RODRÍGUEZ NAVAS</w:t>
      </w:r>
    </w:p>
    <w:p w14:paraId="4E2CD53C" w14:textId="3B250969" w:rsidR="00926AB0" w:rsidRDefault="00926AB0" w:rsidP="00E76F32">
      <w:pPr>
        <w:pStyle w:val="Textoindependiente21"/>
        <w:widowControl w:val="0"/>
        <w:spacing w:after="0"/>
        <w:ind w:left="0"/>
        <w:jc w:val="center"/>
        <w:rPr>
          <w:rFonts w:cs="Arial"/>
          <w:b/>
          <w:sz w:val="24"/>
          <w:szCs w:val="24"/>
        </w:rPr>
      </w:pPr>
      <w:r w:rsidRPr="00E77C3C">
        <w:rPr>
          <w:rFonts w:cs="Arial"/>
          <w:b/>
          <w:sz w:val="24"/>
          <w:szCs w:val="24"/>
        </w:rPr>
        <w:t>Magistrado</w:t>
      </w:r>
    </w:p>
    <w:p w14:paraId="16E6D9DD" w14:textId="78A80AD4" w:rsidR="00E76F32" w:rsidRDefault="00E76F32" w:rsidP="00E76F32">
      <w:pPr>
        <w:pStyle w:val="Textoindependiente21"/>
        <w:widowControl w:val="0"/>
        <w:spacing w:after="0"/>
        <w:ind w:left="0"/>
        <w:jc w:val="center"/>
        <w:rPr>
          <w:rFonts w:cs="Arial"/>
          <w:b/>
          <w:sz w:val="24"/>
          <w:szCs w:val="24"/>
        </w:rPr>
      </w:pPr>
    </w:p>
    <w:p w14:paraId="61B45B9A" w14:textId="292B1167" w:rsidR="00E76F32" w:rsidRDefault="00E76F32" w:rsidP="00E76F32">
      <w:pPr>
        <w:pStyle w:val="Textoindependiente21"/>
        <w:widowControl w:val="0"/>
        <w:spacing w:after="0"/>
        <w:ind w:left="0"/>
        <w:jc w:val="center"/>
        <w:rPr>
          <w:rFonts w:cs="Arial"/>
          <w:b/>
          <w:sz w:val="24"/>
          <w:szCs w:val="24"/>
        </w:rPr>
      </w:pPr>
    </w:p>
    <w:p w14:paraId="74476D43" w14:textId="03BDA1E2" w:rsidR="00E76F32" w:rsidRDefault="00E76F32" w:rsidP="00E76F32">
      <w:pPr>
        <w:pStyle w:val="Textoindependiente21"/>
        <w:widowControl w:val="0"/>
        <w:spacing w:after="0"/>
        <w:ind w:left="0"/>
        <w:jc w:val="center"/>
        <w:rPr>
          <w:rFonts w:cs="Arial"/>
          <w:b/>
          <w:sz w:val="24"/>
          <w:szCs w:val="24"/>
        </w:rPr>
      </w:pPr>
    </w:p>
    <w:p w14:paraId="465AD27D" w14:textId="77777777" w:rsidR="00E76F32" w:rsidRPr="00E76F32" w:rsidRDefault="00E76F32" w:rsidP="00E76F32">
      <w:pPr>
        <w:pStyle w:val="Textoindependiente21"/>
        <w:widowControl w:val="0"/>
        <w:spacing w:after="0"/>
        <w:jc w:val="center"/>
        <w:rPr>
          <w:rFonts w:cs="Arial"/>
          <w:b/>
          <w:bCs/>
          <w:sz w:val="24"/>
          <w:szCs w:val="24"/>
        </w:rPr>
      </w:pPr>
      <w:r w:rsidRPr="00E76F32">
        <w:rPr>
          <w:rFonts w:cs="Arial"/>
          <w:b/>
          <w:bCs/>
          <w:sz w:val="24"/>
          <w:szCs w:val="24"/>
        </w:rPr>
        <w:t>GUILLERMO SÁNCHEZ LUQUE</w:t>
      </w:r>
    </w:p>
    <w:p w14:paraId="1CF81912" w14:textId="05AFC0AF" w:rsidR="00E76F32" w:rsidRDefault="00E76F32" w:rsidP="00E76F32">
      <w:pPr>
        <w:pStyle w:val="Textoindependiente21"/>
        <w:widowControl w:val="0"/>
        <w:spacing w:after="0"/>
        <w:ind w:left="0"/>
        <w:jc w:val="center"/>
        <w:rPr>
          <w:rFonts w:cs="Arial"/>
          <w:b/>
          <w:bCs/>
          <w:sz w:val="24"/>
          <w:szCs w:val="24"/>
        </w:rPr>
      </w:pPr>
      <w:r w:rsidRPr="00E76F32">
        <w:rPr>
          <w:rFonts w:cs="Arial"/>
          <w:b/>
          <w:bCs/>
          <w:sz w:val="24"/>
          <w:szCs w:val="24"/>
        </w:rPr>
        <w:t>Magistrado</w:t>
      </w:r>
    </w:p>
    <w:p w14:paraId="427FBC8F" w14:textId="5AC921EF" w:rsidR="00E76F32" w:rsidRDefault="00E76F32" w:rsidP="00E76F32">
      <w:pPr>
        <w:pStyle w:val="Textoindependiente21"/>
        <w:widowControl w:val="0"/>
        <w:spacing w:after="0"/>
        <w:ind w:left="0"/>
        <w:jc w:val="center"/>
        <w:rPr>
          <w:rFonts w:cs="Arial"/>
          <w:b/>
          <w:bCs/>
          <w:sz w:val="24"/>
          <w:szCs w:val="24"/>
        </w:rPr>
      </w:pPr>
    </w:p>
    <w:p w14:paraId="653B82D9" w14:textId="793DA187" w:rsidR="00691671" w:rsidRPr="00017F6A" w:rsidRDefault="00E76F32" w:rsidP="00017F6A">
      <w:pPr>
        <w:pStyle w:val="Textoindependiente21"/>
        <w:widowControl w:val="0"/>
        <w:spacing w:after="0"/>
        <w:ind w:left="0"/>
        <w:rPr>
          <w:rFonts w:cs="Arial"/>
          <w:szCs w:val="16"/>
        </w:rPr>
      </w:pPr>
      <w:r>
        <w:rPr>
          <w:rFonts w:cs="Arial"/>
          <w:szCs w:val="16"/>
        </w:rPr>
        <w:t>MOG</w:t>
      </w:r>
      <w:bookmarkEnd w:id="0"/>
    </w:p>
    <w:sectPr w:rsidR="00691671" w:rsidRPr="00017F6A" w:rsidSect="00721983">
      <w:headerReference w:type="default" r:id="rId11"/>
      <w:footerReference w:type="default" r:id="rId12"/>
      <w:headerReference w:type="first" r:id="rId13"/>
      <w:footerReference w:type="first" r:id="rId14"/>
      <w:pgSz w:w="12240" w:h="20160" w:code="5"/>
      <w:pgMar w:top="1417" w:right="1701" w:bottom="1417"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36ED0" w14:textId="77777777" w:rsidR="002A491A" w:rsidRDefault="002A491A" w:rsidP="00926AB0">
      <w:pPr>
        <w:spacing w:after="0" w:line="240" w:lineRule="auto"/>
      </w:pPr>
      <w:r>
        <w:separator/>
      </w:r>
    </w:p>
  </w:endnote>
  <w:endnote w:type="continuationSeparator" w:id="0">
    <w:p w14:paraId="2D344361" w14:textId="77777777" w:rsidR="002A491A" w:rsidRDefault="002A491A" w:rsidP="0092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0EBF4B15" w14:textId="77777777" w:rsidTr="00B82AE5">
      <w:trPr>
        <w:jc w:val="right"/>
      </w:trPr>
      <w:tc>
        <w:tcPr>
          <w:tcW w:w="4795" w:type="dxa"/>
          <w:vAlign w:val="center"/>
        </w:tcPr>
        <w:p w14:paraId="2F00ECAD" w14:textId="77777777" w:rsidR="00C53B7C" w:rsidRDefault="00F847A1" w:rsidP="00C53B7C">
          <w:pPr>
            <w:pStyle w:val="Encabezado"/>
            <w:jc w:val="center"/>
            <w:rPr>
              <w:color w:val="767171"/>
              <w:sz w:val="20"/>
              <w:szCs w:val="20"/>
            </w:rPr>
          </w:pPr>
          <w:r w:rsidRPr="00A21194">
            <w:rPr>
              <w:color w:val="767171"/>
              <w:sz w:val="20"/>
              <w:szCs w:val="20"/>
            </w:rPr>
            <w:t>Calle 12 No. 7-65 – Tel: (57-1) 350-6700 – Bogotá D.C. – Colombia</w:t>
          </w:r>
        </w:p>
        <w:p w14:paraId="51848828" w14:textId="77777777" w:rsidR="00C53B7C" w:rsidRPr="00A21194" w:rsidRDefault="00F847A1" w:rsidP="00C53B7C">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6468422B" w14:textId="77777777" w:rsidR="00C53B7C" w:rsidRPr="00721983" w:rsidRDefault="00F847A1" w:rsidP="00C53B7C">
          <w:pPr>
            <w:pStyle w:val="Piedepgina"/>
            <w:jc w:val="center"/>
            <w:rPr>
              <w:sz w:val="20"/>
              <w:szCs w:val="20"/>
            </w:rPr>
          </w:pPr>
          <w:r w:rsidRPr="00721983">
            <w:rPr>
              <w:sz w:val="20"/>
              <w:szCs w:val="20"/>
            </w:rPr>
            <w:fldChar w:fldCharType="begin"/>
          </w:r>
          <w:r w:rsidRPr="00721983">
            <w:rPr>
              <w:sz w:val="20"/>
              <w:szCs w:val="20"/>
            </w:rPr>
            <w:instrText>PAGE   \* MERGEFORMAT</w:instrText>
          </w:r>
          <w:r w:rsidRPr="00721983">
            <w:rPr>
              <w:sz w:val="20"/>
              <w:szCs w:val="20"/>
            </w:rPr>
            <w:fldChar w:fldCharType="separate"/>
          </w:r>
          <w:r w:rsidR="00DE0A11" w:rsidRPr="00721983">
            <w:rPr>
              <w:noProof/>
              <w:sz w:val="20"/>
              <w:szCs w:val="20"/>
              <w:lang w:val="es-ES"/>
            </w:rPr>
            <w:t>10</w:t>
          </w:r>
          <w:r w:rsidRPr="00721983">
            <w:rPr>
              <w:sz w:val="20"/>
              <w:szCs w:val="20"/>
            </w:rPr>
            <w:fldChar w:fldCharType="end"/>
          </w:r>
        </w:p>
      </w:tc>
    </w:tr>
  </w:tbl>
  <w:p w14:paraId="5BB027D7" w14:textId="77777777" w:rsidR="00EC38ED" w:rsidRPr="00C53B7C" w:rsidRDefault="002A491A"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14:paraId="5CADFE4D" w14:textId="77777777" w:rsidTr="00B82AE5">
      <w:trPr>
        <w:jc w:val="right"/>
      </w:trPr>
      <w:tc>
        <w:tcPr>
          <w:tcW w:w="4795" w:type="dxa"/>
          <w:vAlign w:val="center"/>
        </w:tcPr>
        <w:p w14:paraId="02BDD4E2" w14:textId="77777777" w:rsidR="00C53B7C" w:rsidRPr="00721983" w:rsidRDefault="00F847A1" w:rsidP="00C53B7C">
          <w:pPr>
            <w:pStyle w:val="Encabezado"/>
            <w:jc w:val="center"/>
            <w:rPr>
              <w:color w:val="767171"/>
              <w:sz w:val="20"/>
              <w:szCs w:val="20"/>
            </w:rPr>
          </w:pPr>
          <w:r w:rsidRPr="00721983">
            <w:rPr>
              <w:color w:val="767171"/>
              <w:sz w:val="20"/>
              <w:szCs w:val="20"/>
            </w:rPr>
            <w:t>Calle 12 No. 7-65 – Tel: (57-1) 350-6700 – Bogotá D.C. – Colombia</w:t>
          </w:r>
        </w:p>
        <w:p w14:paraId="479C9A39" w14:textId="77777777" w:rsidR="00C53B7C" w:rsidRPr="00721983" w:rsidRDefault="00F847A1" w:rsidP="00C53B7C">
          <w:pPr>
            <w:pStyle w:val="Encabezado"/>
            <w:jc w:val="center"/>
            <w:rPr>
              <w:caps/>
              <w:color w:val="000000"/>
              <w:sz w:val="20"/>
              <w:szCs w:val="20"/>
            </w:rPr>
          </w:pPr>
          <w:r w:rsidRPr="00721983">
            <w:rPr>
              <w:color w:val="767171"/>
              <w:sz w:val="20"/>
              <w:szCs w:val="20"/>
            </w:rPr>
            <w:t>www.consejodeestado.gov.co</w:t>
          </w:r>
        </w:p>
      </w:tc>
      <w:tc>
        <w:tcPr>
          <w:tcW w:w="250" w:type="pct"/>
          <w:shd w:val="clear" w:color="auto" w:fill="auto"/>
          <w:vAlign w:val="center"/>
        </w:tcPr>
        <w:p w14:paraId="5DD5586C" w14:textId="77777777" w:rsidR="00C53B7C" w:rsidRPr="00721983" w:rsidRDefault="00F847A1" w:rsidP="00C53B7C">
          <w:pPr>
            <w:pStyle w:val="Piedepgina"/>
            <w:jc w:val="center"/>
            <w:rPr>
              <w:sz w:val="20"/>
              <w:szCs w:val="20"/>
            </w:rPr>
          </w:pPr>
          <w:r w:rsidRPr="00721983">
            <w:rPr>
              <w:sz w:val="20"/>
              <w:szCs w:val="20"/>
            </w:rPr>
            <w:fldChar w:fldCharType="begin"/>
          </w:r>
          <w:r w:rsidRPr="00721983">
            <w:rPr>
              <w:sz w:val="20"/>
              <w:szCs w:val="20"/>
            </w:rPr>
            <w:instrText>PAGE   \* MERGEFORMAT</w:instrText>
          </w:r>
          <w:r w:rsidRPr="00721983">
            <w:rPr>
              <w:sz w:val="20"/>
              <w:szCs w:val="20"/>
            </w:rPr>
            <w:fldChar w:fldCharType="separate"/>
          </w:r>
          <w:r w:rsidR="00DE0A11" w:rsidRPr="00721983">
            <w:rPr>
              <w:noProof/>
              <w:sz w:val="20"/>
              <w:szCs w:val="20"/>
              <w:lang w:val="es-ES"/>
            </w:rPr>
            <w:t>1</w:t>
          </w:r>
          <w:r w:rsidRPr="00721983">
            <w:rPr>
              <w:sz w:val="20"/>
              <w:szCs w:val="20"/>
            </w:rPr>
            <w:fldChar w:fldCharType="end"/>
          </w:r>
        </w:p>
      </w:tc>
    </w:tr>
  </w:tbl>
  <w:p w14:paraId="1A01AC5D" w14:textId="77777777" w:rsidR="00F91B32" w:rsidRPr="00C53B7C" w:rsidRDefault="002A491A"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CD943" w14:textId="77777777" w:rsidR="002A491A" w:rsidRDefault="002A491A" w:rsidP="00926AB0">
      <w:pPr>
        <w:spacing w:after="0" w:line="240" w:lineRule="auto"/>
      </w:pPr>
      <w:r>
        <w:separator/>
      </w:r>
    </w:p>
  </w:footnote>
  <w:footnote w:type="continuationSeparator" w:id="0">
    <w:p w14:paraId="3A58D396" w14:textId="77777777" w:rsidR="002A491A" w:rsidRDefault="002A491A" w:rsidP="00926AB0">
      <w:pPr>
        <w:spacing w:after="0" w:line="240" w:lineRule="auto"/>
      </w:pPr>
      <w:r>
        <w:continuationSeparator/>
      </w:r>
    </w:p>
  </w:footnote>
  <w:footnote w:id="1">
    <w:p w14:paraId="28FD4A19" w14:textId="0C1413C2" w:rsidR="00926AB0" w:rsidRDefault="00926AB0" w:rsidP="00926AB0">
      <w:pPr>
        <w:pStyle w:val="Textonotapie"/>
      </w:pPr>
      <w:r>
        <w:rPr>
          <w:rStyle w:val="Refdenotaalpie"/>
        </w:rPr>
        <w:footnoteRef/>
      </w:r>
      <w:r>
        <w:t xml:space="preserve"> Archivo electrónico identificado con certificado </w:t>
      </w:r>
      <w:r w:rsidR="007B239E" w:rsidRPr="007B239E">
        <w:t>497DB9FB085883CF 8437793434F9660C B975D592DF119D58 EE8F54E9BA48DEE8</w:t>
      </w:r>
      <w:r>
        <w:t xml:space="preserve">, ubicado en el índice </w:t>
      </w:r>
      <w:r w:rsidR="007B239E">
        <w:t xml:space="preserve">2 </w:t>
      </w:r>
      <w:r>
        <w:t>del expediente digital.</w:t>
      </w:r>
    </w:p>
  </w:footnote>
  <w:footnote w:id="2">
    <w:p w14:paraId="186650EC" w14:textId="77777777" w:rsidR="00945243" w:rsidRDefault="00945243" w:rsidP="00945243">
      <w:pPr>
        <w:pStyle w:val="Textonotapie"/>
      </w:pPr>
      <w:r>
        <w:rPr>
          <w:rStyle w:val="Refdenotaalpie"/>
        </w:rPr>
        <w:footnoteRef/>
      </w:r>
      <w:r>
        <w:t xml:space="preserve"> “Por medio del cual se adelanta el proceso de selección y se convoca al concurso de méritos para la provisión de los cargos de funcionarios de la Rama Judicial”.</w:t>
      </w:r>
    </w:p>
  </w:footnote>
  <w:footnote w:id="3">
    <w:p w14:paraId="2745314B" w14:textId="147F1741" w:rsidR="004D723D" w:rsidRDefault="004D723D">
      <w:pPr>
        <w:pStyle w:val="Textonotapie"/>
      </w:pPr>
      <w:r>
        <w:rPr>
          <w:rStyle w:val="Refdenotaalpie"/>
        </w:rPr>
        <w:footnoteRef/>
      </w:r>
      <w:r>
        <w:t xml:space="preserve"> Archivo electrónico identificado con certificado </w:t>
      </w:r>
      <w:r w:rsidRPr="004D723D">
        <w:t>CB1C51160EC301EA 11BC1B8B7FB2406E C41643D0554097A2 F9C94F5E7A5C7576</w:t>
      </w:r>
      <w:r>
        <w:t>, ubicado en el índice 2 del expediente digital.</w:t>
      </w:r>
    </w:p>
  </w:footnote>
  <w:footnote w:id="4">
    <w:p w14:paraId="659567FE" w14:textId="77777777" w:rsidR="000B0E92" w:rsidRDefault="000B0E92" w:rsidP="000B0E92">
      <w:pPr>
        <w:pStyle w:val="Textonotapie"/>
      </w:pPr>
      <w:r>
        <w:rPr>
          <w:rStyle w:val="Refdenotaalpie"/>
        </w:rPr>
        <w:footnoteRef/>
      </w:r>
      <w:r>
        <w:t xml:space="preserve"> Archivo electrónico identificado con certificado </w:t>
      </w:r>
      <w:r w:rsidRPr="007B239E">
        <w:t>A69D889AA60956A1 D5BCEE24175DCAB4 6D3DDC2263AE88FC 0820FF5B20EC6879</w:t>
      </w:r>
      <w:r>
        <w:t>, ubicado en el índice 2 del expediente digital.</w:t>
      </w:r>
    </w:p>
  </w:footnote>
  <w:footnote w:id="5">
    <w:p w14:paraId="17F0B0CB" w14:textId="56C4063C" w:rsidR="00DD7A4C" w:rsidRDefault="00DD7A4C">
      <w:pPr>
        <w:pStyle w:val="Textonotapie"/>
      </w:pPr>
      <w:r>
        <w:rPr>
          <w:rStyle w:val="Refdenotaalpie"/>
        </w:rPr>
        <w:footnoteRef/>
      </w:r>
      <w:r>
        <w:t xml:space="preserve"> Corte Constitucional, sentencia SU-067 de 2022.</w:t>
      </w:r>
    </w:p>
  </w:footnote>
  <w:footnote w:id="6">
    <w:p w14:paraId="2E99FDF9" w14:textId="77777777" w:rsidR="00B85B07" w:rsidRDefault="00B85B07" w:rsidP="00B85B07">
      <w:pPr>
        <w:pStyle w:val="Textonotapie"/>
      </w:pPr>
      <w:r>
        <w:rPr>
          <w:rStyle w:val="Refdenotaalpie"/>
        </w:rPr>
        <w:footnoteRef/>
      </w:r>
      <w:r>
        <w:t xml:space="preserve"> El cronograma de la Convocatoria 27 se puede consultar en el siguiente enlace: </w:t>
      </w:r>
      <w:hyperlink r:id="rId1" w:history="1">
        <w:r w:rsidRPr="00F448E8">
          <w:rPr>
            <w:rStyle w:val="Hipervnculo"/>
          </w:rPr>
          <w:t>https://www.ramajudicial.gov.co/documents/7227621/19224448/Cronograma+Convocatoria+27-20220512.pdf/e639d32f-4adf-497b-9ea1-63167f2e37b4</w:t>
        </w:r>
      </w:hyperlink>
      <w:r>
        <w:t xml:space="preserve">. Archivo electrónico identificado con certificado </w:t>
      </w:r>
      <w:r w:rsidRPr="009B72BC">
        <w:t>7A07F026FE3DCCFA 6168F7BE217D591E 8DCA0779666C5066 8C88098C60506B0B</w:t>
      </w:r>
      <w:r>
        <w:t>, ubicado en el índice 2 del expediente digital.</w:t>
      </w:r>
    </w:p>
  </w:footnote>
  <w:footnote w:id="7">
    <w:p w14:paraId="7E18CA3C" w14:textId="77777777" w:rsidR="00532CC7" w:rsidRDefault="00532CC7" w:rsidP="00532CC7">
      <w:pPr>
        <w:pStyle w:val="Textonotapie"/>
      </w:pPr>
      <w:r>
        <w:rPr>
          <w:rStyle w:val="Refdenotaalpie"/>
        </w:rPr>
        <w:footnoteRef/>
      </w:r>
      <w:r>
        <w:t xml:space="preserve"> Archivo electrónico identificado con certificado </w:t>
      </w:r>
      <w:r w:rsidRPr="004D723D">
        <w:t>11BC28E59608FB59 2D7F29EFD48F72F4 4ABC51CC0ADF31E6 3080A84C38ED0819</w:t>
      </w:r>
      <w:r>
        <w:t>, ubicado en el índice 2 del expediente digital.</w:t>
      </w:r>
    </w:p>
  </w:footnote>
  <w:footnote w:id="8">
    <w:p w14:paraId="751B9524" w14:textId="00762167" w:rsidR="00D165BC" w:rsidRDefault="00D165BC">
      <w:pPr>
        <w:pStyle w:val="Textonotapie"/>
      </w:pPr>
      <w:r>
        <w:rPr>
          <w:rStyle w:val="Refdenotaalpie"/>
        </w:rPr>
        <w:footnoteRef/>
      </w:r>
      <w:r>
        <w:t xml:space="preserve"> Archivo electrónico identificado con certificado </w:t>
      </w:r>
      <w:r w:rsidRPr="00D165BC">
        <w:t>F20A3B0114D42575 456DD1DECBCADE35 F2A5078FA85675E0 FCCE04C7549AE3F3</w:t>
      </w:r>
      <w:r>
        <w:t>, ubicado en el índice 11 del expediente digital.</w:t>
      </w:r>
    </w:p>
  </w:footnote>
  <w:footnote w:id="9">
    <w:p w14:paraId="0B6DE15C" w14:textId="6E5626BF" w:rsidR="007B239E" w:rsidRDefault="007B239E">
      <w:pPr>
        <w:pStyle w:val="Textonotapie"/>
      </w:pPr>
      <w:r>
        <w:rPr>
          <w:rStyle w:val="Refdenotaalpie"/>
        </w:rPr>
        <w:footnoteRef/>
      </w:r>
      <w:r>
        <w:t xml:space="preserve"> Archivo electrónico identificado con certificado </w:t>
      </w:r>
      <w:r w:rsidRPr="007B239E">
        <w:t>44338B6CFAE2ECB2 D0E2832693703272 E86A60B4140412BA 93D001337A443C9A</w:t>
      </w:r>
      <w:r>
        <w:t>, ubicado en el índice 2 del expediente digital.</w:t>
      </w:r>
    </w:p>
  </w:footnote>
  <w:footnote w:id="10">
    <w:p w14:paraId="7811804E" w14:textId="3A24B6A5" w:rsidR="000E3635" w:rsidRDefault="000E3635">
      <w:pPr>
        <w:pStyle w:val="Textonotapie"/>
      </w:pPr>
      <w:r>
        <w:rPr>
          <w:rStyle w:val="Refdenotaalpie"/>
        </w:rPr>
        <w:footnoteRef/>
      </w:r>
      <w:r>
        <w:t xml:space="preserve"> Archivo electrónico identificado con certificado </w:t>
      </w:r>
      <w:r w:rsidR="00C1518C" w:rsidRPr="00C1518C">
        <w:t>1341368A82CD5E8F A91CCE2B726D641A 91476C1BAC010059 5235520C0FD8E31D</w:t>
      </w:r>
      <w:r w:rsidR="00C1518C">
        <w:t>, ubicado en el índice 2 del expediente digital.</w:t>
      </w:r>
    </w:p>
  </w:footnote>
  <w:footnote w:id="11">
    <w:p w14:paraId="3F5EA122" w14:textId="10DF31F5" w:rsidR="000B4A06" w:rsidRDefault="000B4A06">
      <w:pPr>
        <w:pStyle w:val="Textonotapie"/>
      </w:pPr>
      <w:r>
        <w:rPr>
          <w:rStyle w:val="Refdenotaalpie"/>
        </w:rPr>
        <w:footnoteRef/>
      </w:r>
      <w:r>
        <w:t xml:space="preserve"> Ibidem.</w:t>
      </w:r>
    </w:p>
  </w:footnote>
  <w:footnote w:id="12">
    <w:p w14:paraId="67365B7C" w14:textId="3BF22A73" w:rsidR="000B4A06" w:rsidRDefault="000B4A06">
      <w:pPr>
        <w:pStyle w:val="Textonotapie"/>
      </w:pPr>
      <w:r>
        <w:rPr>
          <w:rStyle w:val="Refdenotaalpie"/>
        </w:rPr>
        <w:footnoteRef/>
      </w:r>
      <w:r>
        <w:t xml:space="preserve"> Archivo electrónico identificado con certificado </w:t>
      </w:r>
      <w:r w:rsidRPr="000B4A06">
        <w:t>92E6BD7A69A07A5E 2D2AC99A83B6FBE6 C2813C70EFD2204F 116054230B066344</w:t>
      </w:r>
      <w:r>
        <w:t>, ubicado en el índice 2 del expediente digital.</w:t>
      </w:r>
    </w:p>
  </w:footnote>
  <w:footnote w:id="13">
    <w:p w14:paraId="261AFD43" w14:textId="401E1803" w:rsidR="006E7ED2" w:rsidRDefault="006E7ED2">
      <w:pPr>
        <w:pStyle w:val="Textonotapie"/>
      </w:pPr>
      <w:r>
        <w:rPr>
          <w:rStyle w:val="Refdenotaalpie"/>
        </w:rPr>
        <w:footnoteRef/>
      </w:r>
      <w:r>
        <w:t xml:space="preserve"> Ibidem.</w:t>
      </w:r>
    </w:p>
  </w:footnote>
  <w:footnote w:id="14">
    <w:p w14:paraId="59153782" w14:textId="62A6CC7A" w:rsidR="009E3636" w:rsidRDefault="009E3636">
      <w:pPr>
        <w:pStyle w:val="Textonotapie"/>
      </w:pPr>
      <w:r>
        <w:rPr>
          <w:rStyle w:val="Refdenotaalpie"/>
        </w:rPr>
        <w:footnoteRef/>
      </w:r>
      <w:r>
        <w:t xml:space="preserve"> </w:t>
      </w:r>
      <w:r w:rsidRPr="009E3636">
        <w:t>Resolución CJR22-0351 de 1º de septiembre de 2022</w:t>
      </w:r>
      <w:r>
        <w:t xml:space="preserve">, </w:t>
      </w:r>
      <w:r w:rsidRPr="0025344A">
        <w:t>"Por medio de la cual se publican los resultados de la prueba de aptitudes y conocimientos correspondiente al concurso de méritos para la provisión de los cargos de Funcionarios de la Rama Judicial".</w:t>
      </w:r>
      <w:r>
        <w:t xml:space="preserve"> La Resolución </w:t>
      </w:r>
      <w:r w:rsidRPr="0025344A">
        <w:t>CJR22-0351</w:t>
      </w:r>
      <w:r>
        <w:t xml:space="preserve"> del 1º de septiembre de 2022 se puede consultar en el siguiente enlace: </w:t>
      </w:r>
      <w:hyperlink r:id="rId2" w:history="1">
        <w:r w:rsidRPr="008708D2">
          <w:rPr>
            <w:rStyle w:val="Hipervnculo"/>
          </w:rPr>
          <w:t>https://www.ramajudicial.gov.co/documents/7227621/63321370/CJR22-0351.pdf/f571da2a-b553-4ff5-aa84-d76b7b1ccd5f</w:t>
        </w:r>
      </w:hyperlink>
      <w:r>
        <w:t>.</w:t>
      </w:r>
    </w:p>
  </w:footnote>
  <w:footnote w:id="15">
    <w:p w14:paraId="0BE8C6F1" w14:textId="77777777" w:rsidR="009E3636" w:rsidRDefault="009E3636" w:rsidP="009E3636">
      <w:pPr>
        <w:pStyle w:val="Textonotapie"/>
      </w:pPr>
      <w:r>
        <w:rPr>
          <w:rStyle w:val="Refdenotaalpie"/>
        </w:rPr>
        <w:footnoteRef/>
      </w:r>
      <w:r>
        <w:t xml:space="preserve"> </w:t>
      </w:r>
      <w:r w:rsidRPr="005F5825">
        <w:t>“Por medio de la cual se resuelven los recursos de reposición presentados contra la Resolución CJR22-0351 de 1° de septiembre de 2022, mediante la cual se publicaron los resultados de la prueba de aptitudes y conocimientos, correspondientes al concurso de méritos para la provisión del cargo de Juez Promiscuo Municipal de la Rama Judicial”</w:t>
      </w:r>
      <w:r>
        <w:t xml:space="preserve">. Archivo electrónico identificado con certificado </w:t>
      </w:r>
      <w:r w:rsidRPr="005F5825">
        <w:t>9ACC239EC0E9CC93 AAD927E9A6B4B67B 9915FD634F5B6A3E 553ED0F4EA18009F</w:t>
      </w:r>
      <w:r>
        <w:t>, ubicado en el índice 2 del expediente digital.</w:t>
      </w:r>
    </w:p>
  </w:footnote>
  <w:footnote w:id="16">
    <w:p w14:paraId="321E41F6" w14:textId="75497B2B" w:rsidR="0025344A" w:rsidRDefault="0025344A">
      <w:pPr>
        <w:pStyle w:val="Textonotapie"/>
      </w:pPr>
      <w:r>
        <w:rPr>
          <w:rStyle w:val="Refdenotaalpie"/>
        </w:rPr>
        <w:footnoteRef/>
      </w:r>
      <w:r>
        <w:t xml:space="preserve"> Ibidem.</w:t>
      </w:r>
    </w:p>
  </w:footnote>
  <w:footnote w:id="17">
    <w:p w14:paraId="178A1B1E" w14:textId="77777777" w:rsidR="009E3636" w:rsidRPr="0025344A" w:rsidRDefault="009E3636" w:rsidP="009E3636">
      <w:pPr>
        <w:pStyle w:val="Textonotapie"/>
      </w:pPr>
      <w:r>
        <w:rPr>
          <w:rStyle w:val="Refdenotaalpie"/>
        </w:rPr>
        <w:footnoteRef/>
      </w:r>
      <w:r>
        <w:t xml:space="preserve"> Ley 1437 de 2011, artículo 77. “Requisitos. </w:t>
      </w:r>
      <w:r w:rsidRPr="0025344A">
        <w:t>Por regla general los recursos se interpondrán por escrito que no requiere de presentación personal si quien lo presenta ha sido reconocido en la actuación. Igualmente, podrán presentarse por medios electrónicos.</w:t>
      </w:r>
    </w:p>
    <w:p w14:paraId="283EFE14" w14:textId="77777777" w:rsidR="009E3636" w:rsidRPr="0025344A" w:rsidRDefault="009E3636" w:rsidP="009E3636">
      <w:pPr>
        <w:pStyle w:val="Textonotapie"/>
      </w:pPr>
      <w:r w:rsidRPr="0025344A">
        <w:t>Los recursos deberán reunir, además, los siguientes requisitos:</w:t>
      </w:r>
    </w:p>
    <w:p w14:paraId="13A6173D" w14:textId="77777777" w:rsidR="009E3636" w:rsidRPr="0025344A" w:rsidRDefault="009E3636" w:rsidP="009E3636">
      <w:pPr>
        <w:pStyle w:val="Textonotapie"/>
      </w:pPr>
      <w:r w:rsidRPr="0025344A">
        <w:t>1. Interponerse dentro del plazo legal, por el interesado o su representante o apoderado debidamente constituido.</w:t>
      </w:r>
    </w:p>
    <w:p w14:paraId="65D64E0F" w14:textId="77777777" w:rsidR="009E3636" w:rsidRPr="0025344A" w:rsidRDefault="009E3636" w:rsidP="009E3636">
      <w:pPr>
        <w:pStyle w:val="Textonotapie"/>
      </w:pPr>
      <w:r w:rsidRPr="0025344A">
        <w:t xml:space="preserve">2. </w:t>
      </w:r>
      <w:r w:rsidRPr="0025344A">
        <w:rPr>
          <w:b/>
          <w:bCs/>
          <w:u w:val="single"/>
        </w:rPr>
        <w:t>Sustentarse con expresión concreta de los motivos de inconformidad</w:t>
      </w:r>
      <w:r w:rsidRPr="0025344A">
        <w:t>.</w:t>
      </w:r>
    </w:p>
    <w:p w14:paraId="697D798D" w14:textId="77777777" w:rsidR="009E3636" w:rsidRPr="0025344A" w:rsidRDefault="009E3636" w:rsidP="009E3636">
      <w:pPr>
        <w:pStyle w:val="Textonotapie"/>
      </w:pPr>
      <w:r w:rsidRPr="0025344A">
        <w:t>3. Solicitar y aportar las pruebas que se pretende hacer valer.</w:t>
      </w:r>
    </w:p>
    <w:p w14:paraId="0DAD09D7" w14:textId="77777777" w:rsidR="009E3636" w:rsidRPr="0025344A" w:rsidRDefault="009E3636" w:rsidP="009E3636">
      <w:pPr>
        <w:pStyle w:val="Textonotapie"/>
      </w:pPr>
      <w:r w:rsidRPr="0025344A">
        <w:t>4. Indicar el nombre y la dirección del recurrente, así como la dirección electrónica si desea ser notificado por este medio.</w:t>
      </w:r>
    </w:p>
    <w:p w14:paraId="425F3AFF" w14:textId="77777777" w:rsidR="009E3636" w:rsidRPr="0025344A" w:rsidRDefault="009E3636" w:rsidP="009E3636">
      <w:pPr>
        <w:pStyle w:val="Textonotapie"/>
      </w:pPr>
      <w:r w:rsidRPr="0025344A">
        <w:t>Sólo los abogados en ejercicio podrán ser apoderados. Si el recurrente obra como agente oficioso, deberá acreditar la calidad de abogado en ejercicio, y prestar la caución que se le señale para garantizar que la persona por quien obra ratificará su actuación dentro del término de dos (2) meses.</w:t>
      </w:r>
    </w:p>
    <w:p w14:paraId="5A6723D3" w14:textId="77777777" w:rsidR="009E3636" w:rsidRPr="0025344A" w:rsidRDefault="009E3636" w:rsidP="009E3636">
      <w:pPr>
        <w:pStyle w:val="Textonotapie"/>
      </w:pPr>
      <w:r w:rsidRPr="0025344A">
        <w:t>Si no hay ratificación se hará efectiva la caución y se archivará el expediente.</w:t>
      </w:r>
    </w:p>
    <w:p w14:paraId="41D631AA" w14:textId="77777777" w:rsidR="009E3636" w:rsidRDefault="009E3636" w:rsidP="009E3636">
      <w:pPr>
        <w:pStyle w:val="Textonotapie"/>
      </w:pPr>
      <w:r w:rsidRPr="0025344A">
        <w:t>Para el trámite del recurso el recurrente no está en la obligación de pagar la suma que el acto recurrido le exija. Con todo, podrá pagar lo que reconoce deber</w:t>
      </w:r>
      <w:r>
        <w:t>”. (Negritas y subrayado por fuera de texto).</w:t>
      </w:r>
    </w:p>
  </w:footnote>
  <w:footnote w:id="18">
    <w:p w14:paraId="356EE5FF" w14:textId="6B913AB2" w:rsidR="0025344A" w:rsidRDefault="0025344A">
      <w:pPr>
        <w:pStyle w:val="Textonotapie"/>
      </w:pPr>
      <w:r>
        <w:rPr>
          <w:rStyle w:val="Refdenotaalpie"/>
        </w:rPr>
        <w:footnoteRef/>
      </w:r>
      <w:r>
        <w:t xml:space="preserve"> Unidad de Administración de Carrera Judicial del Consejo Superior de la Judicatura, Resolución </w:t>
      </w:r>
      <w:r w:rsidRPr="0025344A">
        <w:t>CJR22-0351</w:t>
      </w:r>
      <w:r>
        <w:t xml:space="preserve"> del 1º de septiembre de 2022.</w:t>
      </w:r>
    </w:p>
  </w:footnote>
  <w:footnote w:id="19">
    <w:p w14:paraId="222766B8" w14:textId="272057C8" w:rsidR="00BD7349" w:rsidRDefault="00BD7349">
      <w:pPr>
        <w:pStyle w:val="Textonotapie"/>
      </w:pPr>
      <w:r>
        <w:rPr>
          <w:rStyle w:val="Refdenotaalpie"/>
        </w:rPr>
        <w:footnoteRef/>
      </w:r>
      <w:r>
        <w:t xml:space="preserve"> Cita textual del escrito de tutela. La autoridad a la que se refiere el accionante es la Comisión Nacional de Disciplina Judicial.</w:t>
      </w:r>
    </w:p>
  </w:footnote>
  <w:footnote w:id="20">
    <w:p w14:paraId="5E7781C6" w14:textId="126212B0" w:rsidR="00B8405B" w:rsidRDefault="00B8405B">
      <w:pPr>
        <w:pStyle w:val="Textonotapie"/>
      </w:pPr>
      <w:r>
        <w:rPr>
          <w:rStyle w:val="Refdenotaalpie"/>
        </w:rPr>
        <w:footnoteRef/>
      </w:r>
      <w:r>
        <w:t xml:space="preserve"> Archivo electrónico identificado con certificado </w:t>
      </w:r>
      <w:r w:rsidRPr="00B8405B">
        <w:t>497DB9FB085883CF 8437793434F9660C B975D592DF119D58 EE8F54E9BA48DEE8</w:t>
      </w:r>
      <w:r>
        <w:t>, ubicado en el índice 2 del expediente digital.</w:t>
      </w:r>
    </w:p>
  </w:footnote>
  <w:footnote w:id="21">
    <w:p w14:paraId="45256346" w14:textId="77777777" w:rsidR="008B7B13" w:rsidRDefault="008B7B13" w:rsidP="008B7B13">
      <w:pPr>
        <w:pStyle w:val="Textonotapie"/>
      </w:pPr>
      <w:r>
        <w:rPr>
          <w:rStyle w:val="Refdenotaalpie"/>
        </w:rPr>
        <w:footnoteRef/>
      </w:r>
      <w:r>
        <w:t xml:space="preserve"> Archivo electrónico identificado con certificado </w:t>
      </w:r>
      <w:r w:rsidRPr="00B8405B">
        <w:t>EC2FD2832CD66B96 3DEE4054C3F0256C 6849BFF155CB154A B690816FEE69DBE8</w:t>
      </w:r>
      <w:r>
        <w:t>, ubicado en el índice 2 del expediente digital.</w:t>
      </w:r>
    </w:p>
  </w:footnote>
  <w:footnote w:id="22">
    <w:p w14:paraId="465E4979" w14:textId="77777777" w:rsidR="008B7B13" w:rsidRDefault="008B7B13" w:rsidP="008B7B13">
      <w:pPr>
        <w:pStyle w:val="Textonotapie"/>
      </w:pPr>
      <w:r>
        <w:rPr>
          <w:rStyle w:val="Refdenotaalpie"/>
        </w:rPr>
        <w:footnoteRef/>
      </w:r>
      <w:r>
        <w:t xml:space="preserve"> Archivo electrónico identificado con certificado </w:t>
      </w:r>
      <w:r w:rsidRPr="00470D9E">
        <w:t>81A108AD2312BB73 95EECE1B368E70B4 5E16058F624DD250 03DF520E93242130</w:t>
      </w:r>
      <w:r>
        <w:t>, ubicado en el índice 9 del expediente digital.</w:t>
      </w:r>
    </w:p>
  </w:footnote>
  <w:footnote w:id="23">
    <w:p w14:paraId="2A358704" w14:textId="77777777" w:rsidR="008B7B13" w:rsidRDefault="008B7B13" w:rsidP="008B7B13">
      <w:pPr>
        <w:pStyle w:val="Textonotapie"/>
      </w:pPr>
      <w:r>
        <w:rPr>
          <w:rStyle w:val="Refdenotaalpie"/>
        </w:rPr>
        <w:footnoteRef/>
      </w:r>
      <w:r>
        <w:t xml:space="preserve"> Archivo electrónico identificado con certificado </w:t>
      </w:r>
      <w:r w:rsidRPr="00470D9E">
        <w:t>2A85E8DB8AEB348F 7F6929C2D66820A1 4CAA0E75715BC078 282320D34E54620E</w:t>
      </w:r>
      <w:r>
        <w:t>, ubicado en el índice 9 del expediente digital.</w:t>
      </w:r>
    </w:p>
  </w:footnote>
  <w:footnote w:id="24">
    <w:p w14:paraId="0137B2E1" w14:textId="77777777" w:rsidR="008B7B13" w:rsidRDefault="008B7B13" w:rsidP="008B7B13">
      <w:pPr>
        <w:pStyle w:val="Textonotapie"/>
      </w:pPr>
      <w:r>
        <w:rPr>
          <w:rStyle w:val="Refdenotaalpie"/>
        </w:rPr>
        <w:footnoteRef/>
      </w:r>
      <w:r>
        <w:t xml:space="preserve"> Archivo electrónico identificado con certificado </w:t>
      </w:r>
      <w:r w:rsidRPr="007017B0">
        <w:t>E55FECE465379212 FDF87D2F417FFD37 A51415215273A03B 2A29A603A47F63BE</w:t>
      </w:r>
      <w:r>
        <w:t>, ubicado en el índice 19 del expediente digital.</w:t>
      </w:r>
    </w:p>
  </w:footnote>
  <w:footnote w:id="25">
    <w:p w14:paraId="50D603AE" w14:textId="77777777" w:rsidR="008B7B13" w:rsidRDefault="008B7B13" w:rsidP="008B7B13">
      <w:pPr>
        <w:pStyle w:val="Textonotapie"/>
      </w:pPr>
      <w:r>
        <w:rPr>
          <w:rStyle w:val="Refdenotaalpie"/>
        </w:rPr>
        <w:footnoteRef/>
      </w:r>
      <w:r>
        <w:t xml:space="preserve"> Archivo electrónico identificado con certificado </w:t>
      </w:r>
      <w:r w:rsidRPr="007017B0">
        <w:t>6E6B9B665102BC02 1D9DF7DB4FB6694E 396052803162F8FF 3BF944B1BC24F460</w:t>
      </w:r>
      <w:r>
        <w:t>, ubicado en el índice 20 del expediente digital.</w:t>
      </w:r>
    </w:p>
  </w:footnote>
  <w:footnote w:id="26">
    <w:p w14:paraId="574042AE" w14:textId="30BFF5D9" w:rsidR="003D47C3" w:rsidRDefault="003D47C3">
      <w:pPr>
        <w:pStyle w:val="Textonotapie"/>
      </w:pPr>
      <w:r>
        <w:rPr>
          <w:rStyle w:val="Refdenotaalpie"/>
        </w:rPr>
        <w:footnoteRef/>
      </w:r>
      <w:r>
        <w:t xml:space="preserve"> Archivo electrónico identificado con certificado </w:t>
      </w:r>
      <w:r w:rsidRPr="003D47C3">
        <w:t>F20A3B0114D42575 456DD1DECBCADE35 F2A5078FA85675E0 FCCE04C7549AE3F3</w:t>
      </w:r>
      <w:r>
        <w:t>, ubicado en el índice 11 del expediente digital.</w:t>
      </w:r>
    </w:p>
  </w:footnote>
  <w:footnote w:id="27">
    <w:p w14:paraId="618B23BD" w14:textId="5E8E54AB" w:rsidR="003D47C3" w:rsidRDefault="003D47C3">
      <w:pPr>
        <w:pStyle w:val="Textonotapie"/>
      </w:pPr>
      <w:r>
        <w:rPr>
          <w:rStyle w:val="Refdenotaalpie"/>
        </w:rPr>
        <w:footnoteRef/>
      </w:r>
      <w:r>
        <w:t xml:space="preserve"> Ibidem.</w:t>
      </w:r>
    </w:p>
  </w:footnote>
  <w:footnote w:id="28">
    <w:p w14:paraId="2CB7CD64" w14:textId="168F8873" w:rsidR="00EF4229" w:rsidRDefault="00EF4229">
      <w:pPr>
        <w:pStyle w:val="Textonotapie"/>
      </w:pPr>
      <w:r>
        <w:rPr>
          <w:rStyle w:val="Refdenotaalpie"/>
        </w:rPr>
        <w:footnoteRef/>
      </w:r>
      <w:r>
        <w:t xml:space="preserve"> Ibidem.</w:t>
      </w:r>
    </w:p>
  </w:footnote>
  <w:footnote w:id="29">
    <w:p w14:paraId="4D42F6BA" w14:textId="7DDABE7C" w:rsidR="00E74297" w:rsidRDefault="00E74297">
      <w:pPr>
        <w:pStyle w:val="Textonotapie"/>
      </w:pPr>
      <w:r>
        <w:rPr>
          <w:rStyle w:val="Refdenotaalpie"/>
        </w:rPr>
        <w:footnoteRef/>
      </w:r>
      <w:r>
        <w:t xml:space="preserve"> Ibidem.</w:t>
      </w:r>
    </w:p>
  </w:footnote>
  <w:footnote w:id="30">
    <w:p w14:paraId="61FB1279" w14:textId="1E1975F2" w:rsidR="00E74297" w:rsidRDefault="00E74297">
      <w:pPr>
        <w:pStyle w:val="Textonotapie"/>
      </w:pPr>
      <w:r>
        <w:rPr>
          <w:rStyle w:val="Refdenotaalpie"/>
        </w:rPr>
        <w:footnoteRef/>
      </w:r>
      <w:r>
        <w:t xml:space="preserve"> Ibidem.</w:t>
      </w:r>
    </w:p>
  </w:footnote>
  <w:footnote w:id="31">
    <w:p w14:paraId="6D092B60" w14:textId="55FFBA26" w:rsidR="00355BEA" w:rsidRDefault="00355BEA">
      <w:pPr>
        <w:pStyle w:val="Textonotapie"/>
      </w:pPr>
      <w:r>
        <w:rPr>
          <w:rStyle w:val="Refdenotaalpie"/>
        </w:rPr>
        <w:footnoteRef/>
      </w:r>
      <w:r>
        <w:t xml:space="preserve"> Archivo electrónico identificado con certificado</w:t>
      </w:r>
      <w:r w:rsidR="006860AF">
        <w:t xml:space="preserve"> </w:t>
      </w:r>
      <w:r w:rsidR="006860AF" w:rsidRPr="006860AF">
        <w:t>5CD140002695F0E4 0D1500B37FE5CEFE 766A7545DA45456E C1CFDB216B7976C8</w:t>
      </w:r>
      <w:r w:rsidR="006860AF">
        <w:t>, ubicado en el índice 15 del expediente digital.</w:t>
      </w:r>
    </w:p>
  </w:footnote>
  <w:footnote w:id="32">
    <w:p w14:paraId="4599FDFE" w14:textId="1FCFCD43" w:rsidR="00226525" w:rsidRDefault="00226525">
      <w:pPr>
        <w:pStyle w:val="Textonotapie"/>
      </w:pPr>
      <w:r>
        <w:rPr>
          <w:rStyle w:val="Refdenotaalpie"/>
        </w:rPr>
        <w:footnoteRef/>
      </w:r>
      <w:r>
        <w:t xml:space="preserve"> Ibidem.</w:t>
      </w:r>
    </w:p>
  </w:footnote>
  <w:footnote w:id="33">
    <w:p w14:paraId="4E2CD282" w14:textId="0C7C00B5" w:rsidR="00E3213E" w:rsidRDefault="00E3213E">
      <w:pPr>
        <w:pStyle w:val="Textonotapie"/>
      </w:pPr>
      <w:r>
        <w:rPr>
          <w:rStyle w:val="Refdenotaalpie"/>
        </w:rPr>
        <w:footnoteRef/>
      </w:r>
      <w:r>
        <w:t xml:space="preserve"> Ley 1437 de 2011, artículo 41. “</w:t>
      </w:r>
      <w:r w:rsidR="0053752C">
        <w:t xml:space="preserve">Corrección de irregularidades en la actuación administrativa. </w:t>
      </w:r>
      <w:r w:rsidR="0053752C" w:rsidRPr="0053752C">
        <w:t>La autoridad, en cualquier momento anterior a la expedición del acto, de oficio o a petición de parte, corregirá las irregularidades que se hayan presentado en la actuación administrativa para ajustarla a derecho, y adoptará las medidas necesarias para concluirla</w:t>
      </w:r>
      <w:r w:rsidR="0053752C">
        <w:t>”</w:t>
      </w:r>
      <w:r w:rsidR="0053752C" w:rsidRPr="0053752C">
        <w:t>.</w:t>
      </w:r>
    </w:p>
  </w:footnote>
  <w:footnote w:id="34">
    <w:p w14:paraId="33209DC7" w14:textId="7E3E9509" w:rsidR="001C59CE" w:rsidRDefault="001C59CE">
      <w:pPr>
        <w:pStyle w:val="Textonotapie"/>
      </w:pPr>
      <w:r>
        <w:rPr>
          <w:rStyle w:val="Refdenotaalpie"/>
        </w:rPr>
        <w:footnoteRef/>
      </w:r>
      <w:r>
        <w:t xml:space="preserve"> Archivo electrónico identificado con certificado </w:t>
      </w:r>
      <w:r w:rsidRPr="006860AF">
        <w:t>5CD140002695F0E4 0D1500B37FE5CEFE 766A7545DA45456E C1CFDB216B7976C8</w:t>
      </w:r>
      <w:r>
        <w:t>, ubicado en el índice 15 del expediente digital.</w:t>
      </w:r>
    </w:p>
  </w:footnote>
  <w:footnote w:id="35">
    <w:p w14:paraId="618E2416" w14:textId="234B840F" w:rsidR="00470D9E" w:rsidRDefault="00470D9E">
      <w:pPr>
        <w:pStyle w:val="Textonotapie"/>
      </w:pPr>
      <w:r>
        <w:rPr>
          <w:rStyle w:val="Refdenotaalpie"/>
        </w:rPr>
        <w:footnoteRef/>
      </w:r>
      <w:r>
        <w:t xml:space="preserve"> Archivo electrónico identificado con certificado </w:t>
      </w:r>
      <w:r w:rsidR="000647AA" w:rsidRPr="000647AA">
        <w:t>11F7380DECD1D4F9 4156A7878AF6105F 85B65A3B32905476 AD00BE670D6B89E6</w:t>
      </w:r>
      <w:r w:rsidR="000647AA">
        <w:t>, ubicado en el índice 13 del expediente digital.</w:t>
      </w:r>
    </w:p>
  </w:footnote>
  <w:footnote w:id="36">
    <w:p w14:paraId="676B4D96" w14:textId="29BF0664" w:rsidR="000647AA" w:rsidRDefault="000647AA">
      <w:pPr>
        <w:pStyle w:val="Textonotapie"/>
      </w:pPr>
      <w:r>
        <w:rPr>
          <w:rStyle w:val="Refdenotaalpie"/>
        </w:rPr>
        <w:footnoteRef/>
      </w:r>
      <w:r>
        <w:t xml:space="preserve"> Archivo electrónico identificado con certificado </w:t>
      </w:r>
      <w:r w:rsidRPr="000647AA">
        <w:t>0AFB8178B4F2DB77 A5F8537438365745 81567AAAB3A068EA A0BC18687FCE0DFA</w:t>
      </w:r>
      <w:r>
        <w:t>, ubicado en el índice 13 del expediente digital.</w:t>
      </w:r>
    </w:p>
  </w:footnote>
  <w:footnote w:id="37">
    <w:p w14:paraId="6DFEF2F6" w14:textId="0E0C8464" w:rsidR="004527EA" w:rsidRDefault="004527EA">
      <w:pPr>
        <w:pStyle w:val="Textonotapie"/>
      </w:pPr>
      <w:r>
        <w:rPr>
          <w:rStyle w:val="Refdenotaalpie"/>
        </w:rPr>
        <w:footnoteRef/>
      </w:r>
      <w:r>
        <w:t xml:space="preserve"> Archivo electrónico identificado con certificado </w:t>
      </w:r>
      <w:r w:rsidRPr="004527EA">
        <w:t>5A203AE433DA736F 2E7AE0821B03440D FF465B93B0CC3D44 C2B852893B1F3833</w:t>
      </w:r>
      <w:r>
        <w:t>, ubicado en el índice 14 del expediente digital.</w:t>
      </w:r>
    </w:p>
  </w:footnote>
  <w:footnote w:id="38">
    <w:p w14:paraId="715F7EA1" w14:textId="333EC238" w:rsidR="00EF0DC5" w:rsidRDefault="00EF0DC5">
      <w:pPr>
        <w:pStyle w:val="Textonotapie"/>
      </w:pPr>
      <w:r>
        <w:rPr>
          <w:rStyle w:val="Refdenotaalpie"/>
        </w:rPr>
        <w:footnoteRef/>
      </w:r>
      <w:r>
        <w:t xml:space="preserve"> “Por medio de la cual se publican los resultados de la prueba de aptitudes y conocimientos supletoria correspondiente al concurso de méritos para la provisión de los cargos de funcionarios de la Rama Judicial”. </w:t>
      </w:r>
    </w:p>
  </w:footnote>
  <w:footnote w:id="39">
    <w:p w14:paraId="42471D15" w14:textId="77777777" w:rsidR="00BE18F4" w:rsidRDefault="00BE18F4" w:rsidP="00BE18F4">
      <w:pPr>
        <w:pStyle w:val="Textonotapie"/>
      </w:pPr>
      <w:r>
        <w:rPr>
          <w:rStyle w:val="Refdenotaalpie"/>
        </w:rPr>
        <w:footnoteRef/>
      </w:r>
      <w:r>
        <w:t xml:space="preserve"> Archivo electrónico identificado con certificado </w:t>
      </w:r>
      <w:r w:rsidRPr="00BE18F4">
        <w:t>009C4BB754927D67 CEA5120ACFB25540 E23A6786F6C4DCAB 27746A6591C52263</w:t>
      </w:r>
      <w:r>
        <w:t>, ubicado en el índice 14 del expediente digital.</w:t>
      </w:r>
    </w:p>
  </w:footnote>
  <w:footnote w:id="40">
    <w:p w14:paraId="3896785C" w14:textId="772DC9ED" w:rsidR="0015118E" w:rsidRDefault="0015118E">
      <w:pPr>
        <w:pStyle w:val="Textonotapie"/>
      </w:pPr>
      <w:r>
        <w:rPr>
          <w:rStyle w:val="Refdenotaalpie"/>
        </w:rPr>
        <w:footnoteRef/>
      </w:r>
      <w:r>
        <w:t xml:space="preserve"> Archivo electrónico identificado con certificado </w:t>
      </w:r>
      <w:r w:rsidRPr="0015118E">
        <w:t>D9B32CA1DEEA2003 06BFADB04AF130E5 A6CFD80CED0563AD C9CF139E7F736306</w:t>
      </w:r>
      <w:r>
        <w:t>, ubicado en el índice 14 del expediente digital.</w:t>
      </w:r>
    </w:p>
  </w:footnote>
  <w:footnote w:id="41">
    <w:p w14:paraId="442FDA48" w14:textId="2EC61C28" w:rsidR="00094938" w:rsidRDefault="00094938">
      <w:pPr>
        <w:pStyle w:val="Textonotapie"/>
      </w:pPr>
      <w:r>
        <w:rPr>
          <w:rStyle w:val="Refdenotaalpie"/>
        </w:rPr>
        <w:footnoteRef/>
      </w:r>
      <w:r>
        <w:t xml:space="preserve"> </w:t>
      </w:r>
      <w:r w:rsidR="007B1271">
        <w:t xml:space="preserve">De conformidad con el Acuerdo </w:t>
      </w:r>
      <w:r w:rsidR="007B1271" w:rsidRPr="007B1271">
        <w:rPr>
          <w:lang w:val="es-ES"/>
        </w:rPr>
        <w:t xml:space="preserve">PSAA05-2961 </w:t>
      </w:r>
      <w:r w:rsidR="007B1271">
        <w:rPr>
          <w:lang w:val="es-ES"/>
        </w:rPr>
        <w:t>de</w:t>
      </w:r>
      <w:r w:rsidR="007B1271" w:rsidRPr="007B1271">
        <w:rPr>
          <w:lang w:val="es-ES"/>
        </w:rPr>
        <w:t xml:space="preserve"> 2005</w:t>
      </w:r>
      <w:r w:rsidR="007B1271">
        <w:rPr>
          <w:lang w:val="es-ES"/>
        </w:rPr>
        <w:t>, son</w:t>
      </w:r>
      <w:r>
        <w:t xml:space="preserve"> funciones de la Directora de la Unidad de Administración de Carrera Judicial del Consejo Superior de la Judicatura, “</w:t>
      </w:r>
      <w:r w:rsidR="007B1271">
        <w:t>[p]</w:t>
      </w:r>
      <w:proofErr w:type="spellStart"/>
      <w:r>
        <w:t>lanear</w:t>
      </w:r>
      <w:proofErr w:type="spellEnd"/>
      <w:r>
        <w:t>, dirigir, evaluar y coordinar los estudios y proyectos que en materia de procesos de selección, concursos, control de rendimiento, escalafón y traslados desarrolle la Unidad”</w:t>
      </w:r>
      <w:r w:rsidR="007B1271">
        <w:t xml:space="preserve">. </w:t>
      </w:r>
    </w:p>
  </w:footnote>
  <w:footnote w:id="42">
    <w:p w14:paraId="4A5DED21" w14:textId="11C760E2" w:rsidR="007B1271" w:rsidRDefault="007B1271">
      <w:pPr>
        <w:pStyle w:val="Textonotapie"/>
      </w:pPr>
      <w:r>
        <w:rPr>
          <w:rStyle w:val="Refdenotaalpie"/>
        </w:rPr>
        <w:footnoteRef/>
      </w:r>
      <w:r>
        <w:t xml:space="preserve"> Ley 1952 de 2019, artículo 217. “Suspensión provisional. </w:t>
      </w:r>
      <w:r w:rsidRPr="007B1271">
        <w:t>Durante la investigación disciplinaría o el juzgamiento por faltas calificadas como gravísimas o graves, el funcionario que la esté adelantando podrá ordenar motivadamente la suspensión provisional del servidor público, sin derecho a remuneración alguna, siempre y cuando se evidencien serios elementos de juicio que permitan establecer que la permanencia en el cargo, función o servicio público posibilita la interferencia del autor de la falta en el trámite de la investigación o permite que continúe cometiéndola o que la reitere.</w:t>
      </w:r>
    </w:p>
    <w:p w14:paraId="28DC8583" w14:textId="25A2D86F" w:rsidR="007B1271" w:rsidRDefault="007B1271">
      <w:pPr>
        <w:pStyle w:val="Textonotapie"/>
      </w:pPr>
      <w:r w:rsidRPr="007B1271">
        <w:t>El término de la suspensión provisional será de tres meses, prorrogable hasta en otro tanto. Dicha suspensión podrá prorrogarse por otros tres meses, una vez proferido el fallo de primera o única instancia.</w:t>
      </w:r>
    </w:p>
    <w:p w14:paraId="06DF83A7" w14:textId="77777777" w:rsidR="007B1271" w:rsidRPr="007B1271" w:rsidRDefault="007B1271" w:rsidP="007B1271">
      <w:pPr>
        <w:pStyle w:val="Textonotapie"/>
      </w:pPr>
      <w:r w:rsidRPr="007B1271">
        <w:t>El auto que decreta la suspensión provisional y las decisiones de prórroga serán objeto de consulta, sin perjuicio de su inmediato cumplimiento.</w:t>
      </w:r>
    </w:p>
    <w:p w14:paraId="47CA61B4" w14:textId="77777777" w:rsidR="007B1271" w:rsidRPr="007B1271" w:rsidRDefault="007B1271" w:rsidP="007B1271">
      <w:pPr>
        <w:pStyle w:val="Textonotapie"/>
      </w:pPr>
      <w:r w:rsidRPr="007B1271">
        <w:t>Para los efectos propios de la consulta, el funcionario remitirá de inmediato el proceso al superior, previa comunicación de la decisión al afectado.</w:t>
      </w:r>
    </w:p>
    <w:p w14:paraId="3A130D88" w14:textId="77777777" w:rsidR="007B1271" w:rsidRPr="007B1271" w:rsidRDefault="007B1271" w:rsidP="007B1271">
      <w:pPr>
        <w:pStyle w:val="Textonotapie"/>
      </w:pPr>
      <w:r w:rsidRPr="007B1271">
        <w:t>Recibido el expediente, el superior dispondrá que permanezca en Secretaría por el término de tres días, durante los cuales el disciplinado podrá presentar alegaciones en su favor, acompañadas de las pruebas en que las sustente. Vencido dicho término, se decidirá dentro de los diez días siguientes.</w:t>
      </w:r>
    </w:p>
    <w:p w14:paraId="07FAFDC4" w14:textId="77777777" w:rsidR="007B1271" w:rsidRPr="007B1271" w:rsidRDefault="007B1271" w:rsidP="007B1271">
      <w:pPr>
        <w:pStyle w:val="Textonotapie"/>
      </w:pPr>
      <w:r w:rsidRPr="007B1271">
        <w:t>Cuando desaparezcan los motivos que dieron lugar a la medida, la suspensión provisional deberá ser revocada en cualquier momento por quien la profirió, o por el superior funcional del funcionario competente para dictar el fallo de primera instancia.</w:t>
      </w:r>
    </w:p>
    <w:p w14:paraId="7355E300" w14:textId="0FCBB420" w:rsidR="007B1271" w:rsidRDefault="007B1271">
      <w:pPr>
        <w:pStyle w:val="Textonotapie"/>
      </w:pPr>
      <w:r w:rsidRPr="007B1271">
        <w:t>Parágrafo. Cuando la sanción impuesta fuere de suspensión e inhabilidad o únicamente de suspensión, para su cumplimiento se tendrá en cuenta el lapso en que el disciplinado permaneció suspendido provisionalmente. Si la sanción fuere de suspensión inferior al término de la aplicada provisionalmente, tendrá derecho a percibir la diferencia</w:t>
      </w:r>
      <w:r>
        <w:t>”</w:t>
      </w:r>
      <w:r w:rsidRPr="007B1271">
        <w:t>.</w:t>
      </w:r>
    </w:p>
  </w:footnote>
  <w:footnote w:id="43">
    <w:p w14:paraId="2D65494C" w14:textId="733B2978" w:rsidR="007B1271" w:rsidRDefault="007B1271">
      <w:pPr>
        <w:pStyle w:val="Textonotapie"/>
      </w:pPr>
      <w:r>
        <w:rPr>
          <w:rStyle w:val="Refdenotaalpie"/>
        </w:rPr>
        <w:footnoteRef/>
      </w:r>
      <w:r>
        <w:t xml:space="preserve"> Archivo electrónico identificado con certificado </w:t>
      </w:r>
      <w:r w:rsidRPr="0015118E">
        <w:t>D9B32CA1DEEA2003 06BFADB04AF130E5 A6CFD80CED0563AD C9CF139E7F736306</w:t>
      </w:r>
      <w:r>
        <w:t>, ubicado en el índice 14 del expediente digital.</w:t>
      </w:r>
    </w:p>
  </w:footnote>
  <w:footnote w:id="44">
    <w:p w14:paraId="2DB841A8" w14:textId="145C01D2" w:rsidR="006318FB" w:rsidRDefault="006318FB">
      <w:pPr>
        <w:pStyle w:val="Textonotapie"/>
      </w:pPr>
      <w:r>
        <w:rPr>
          <w:rStyle w:val="Refdenotaalpie"/>
        </w:rPr>
        <w:footnoteRef/>
      </w:r>
      <w:r>
        <w:t xml:space="preserve"> Archivo electrónico identificado con certificado </w:t>
      </w:r>
      <w:r w:rsidRPr="006318FB">
        <w:t>1FD231CE281161D5 E8AC65AEFBD25BFC F18E5B8C7C9A9CEB C161CD00C54527D6</w:t>
      </w:r>
      <w:r>
        <w:t>, ubicado en el índice 14 del expediente digital.</w:t>
      </w:r>
    </w:p>
  </w:footnote>
  <w:footnote w:id="45">
    <w:p w14:paraId="578CEE07" w14:textId="5A0657DC" w:rsidR="008B7B13" w:rsidRDefault="008B7B13">
      <w:pPr>
        <w:pStyle w:val="Textonotapie"/>
      </w:pPr>
      <w:r>
        <w:rPr>
          <w:rStyle w:val="Refdenotaalpie"/>
        </w:rPr>
        <w:footnoteRef/>
      </w:r>
      <w:r>
        <w:t xml:space="preserve"> Ibidem.</w:t>
      </w:r>
    </w:p>
  </w:footnote>
  <w:footnote w:id="46">
    <w:p w14:paraId="7E076391" w14:textId="3E4346E3" w:rsidR="00531A83" w:rsidRDefault="00531A83">
      <w:pPr>
        <w:pStyle w:val="Textonotapie"/>
      </w:pPr>
      <w:r>
        <w:rPr>
          <w:rStyle w:val="Refdenotaalpie"/>
        </w:rPr>
        <w:footnoteRef/>
      </w:r>
      <w:r>
        <w:t xml:space="preserve"> Ibidem.</w:t>
      </w:r>
    </w:p>
  </w:footnote>
  <w:footnote w:id="47">
    <w:p w14:paraId="597F9630" w14:textId="37F7F363" w:rsidR="00593D16" w:rsidRDefault="00593D16">
      <w:pPr>
        <w:pStyle w:val="Textonotapie"/>
      </w:pPr>
      <w:r>
        <w:rPr>
          <w:rStyle w:val="Refdenotaalpie"/>
        </w:rPr>
        <w:footnoteRef/>
      </w:r>
      <w:r>
        <w:t xml:space="preserve"> Archivo electrónico identificado con certificado </w:t>
      </w:r>
      <w:r w:rsidRPr="004527EA">
        <w:t>5A203AE433DA736F 2E7AE0821B03440D FF465B93B0CC3D44 C2B852893B1F3833</w:t>
      </w:r>
      <w:r>
        <w:t>, ubicado en el índice 14 del expediente digital.</w:t>
      </w:r>
    </w:p>
  </w:footnote>
  <w:footnote w:id="48">
    <w:p w14:paraId="5CE47308" w14:textId="1C179A9B" w:rsidR="00593D16" w:rsidRDefault="00593D16">
      <w:pPr>
        <w:pStyle w:val="Textonotapie"/>
      </w:pPr>
      <w:r>
        <w:rPr>
          <w:rStyle w:val="Refdenotaalpie"/>
        </w:rPr>
        <w:footnoteRef/>
      </w:r>
      <w:r>
        <w:t xml:space="preserve"> Ibidem.</w:t>
      </w:r>
    </w:p>
  </w:footnote>
  <w:footnote w:id="49">
    <w:p w14:paraId="20958CB6" w14:textId="66CACCF9" w:rsidR="00593D16" w:rsidRDefault="00593D16">
      <w:pPr>
        <w:pStyle w:val="Textonotapie"/>
      </w:pPr>
      <w:r>
        <w:rPr>
          <w:rStyle w:val="Refdenotaalpie"/>
        </w:rPr>
        <w:footnoteRef/>
      </w:r>
      <w:r>
        <w:t xml:space="preserve"> Archivo electrónico identificado con certificado </w:t>
      </w:r>
      <w:r w:rsidRPr="00593D16">
        <w:t>C1C1B727301F973A C0AE92927207610A 705943512DC4A94A E1FCA3736FB54607</w:t>
      </w:r>
      <w:r>
        <w:t>, ubicado en el índice 14 del expediente digital.</w:t>
      </w:r>
    </w:p>
  </w:footnote>
  <w:footnote w:id="50">
    <w:p w14:paraId="6BB5172F" w14:textId="11D9FA8D" w:rsidR="00A1333D" w:rsidRDefault="00A1333D">
      <w:pPr>
        <w:pStyle w:val="Textonotapie"/>
      </w:pPr>
      <w:r>
        <w:rPr>
          <w:rStyle w:val="Refdenotaalpie"/>
        </w:rPr>
        <w:footnoteRef/>
      </w:r>
      <w:r>
        <w:t xml:space="preserve"> Ibidem.</w:t>
      </w:r>
    </w:p>
  </w:footnote>
  <w:footnote w:id="51">
    <w:p w14:paraId="479A1632" w14:textId="6ECFCE18" w:rsidR="00A1333D" w:rsidRDefault="00A1333D">
      <w:pPr>
        <w:pStyle w:val="Textonotapie"/>
      </w:pPr>
      <w:r>
        <w:rPr>
          <w:rStyle w:val="Refdenotaalpie"/>
        </w:rPr>
        <w:footnoteRef/>
      </w:r>
      <w:r>
        <w:t xml:space="preserve"> Ibidem.</w:t>
      </w:r>
    </w:p>
  </w:footnote>
  <w:footnote w:id="52">
    <w:p w14:paraId="3B56B225" w14:textId="7E0CDE1C" w:rsidR="00A1333D" w:rsidRDefault="00A1333D">
      <w:pPr>
        <w:pStyle w:val="Textonotapie"/>
      </w:pPr>
      <w:r>
        <w:rPr>
          <w:rStyle w:val="Refdenotaalpie"/>
        </w:rPr>
        <w:footnoteRef/>
      </w:r>
      <w:r>
        <w:t xml:space="preserve"> Archivo electrónico identificado con certificado </w:t>
      </w:r>
      <w:r w:rsidRPr="00A1333D">
        <w:t>6FE78B61D3EE9401 19DA95BA8C3A05DF 74B6BC4329CF7E92 E8A1C3BB2D83A1E5</w:t>
      </w:r>
      <w:r>
        <w:t>, ubicado en el índice 21 del expediente digital.</w:t>
      </w:r>
    </w:p>
  </w:footnote>
  <w:footnote w:id="53">
    <w:p w14:paraId="32417DA4" w14:textId="704A1F1B" w:rsidR="0069317D" w:rsidRDefault="0069317D">
      <w:pPr>
        <w:pStyle w:val="Textonotapie"/>
      </w:pPr>
      <w:r>
        <w:rPr>
          <w:rStyle w:val="Refdenotaalpie"/>
        </w:rPr>
        <w:footnoteRef/>
      </w:r>
      <w:r>
        <w:t xml:space="preserve"> Archivo electrónico identificado con certificado </w:t>
      </w:r>
      <w:r w:rsidRPr="0069317D">
        <w:t>9F8C406BF43E3CC4 7E46A62373F05FB9 2565CDD7E420C5DC 8E680D4C9F16896D</w:t>
      </w:r>
      <w:r>
        <w:t>, ubicado en el índice 23 del expediente digital.</w:t>
      </w:r>
    </w:p>
  </w:footnote>
  <w:footnote w:id="54">
    <w:p w14:paraId="7A306DE0" w14:textId="79B671DC" w:rsidR="0069317D" w:rsidRDefault="0069317D">
      <w:pPr>
        <w:pStyle w:val="Textonotapie"/>
      </w:pPr>
      <w:r>
        <w:rPr>
          <w:rStyle w:val="Refdenotaalpie"/>
        </w:rPr>
        <w:footnoteRef/>
      </w:r>
      <w:r>
        <w:t xml:space="preserve"> Ibidem.</w:t>
      </w:r>
    </w:p>
  </w:footnote>
  <w:footnote w:id="55">
    <w:p w14:paraId="5C4EC24A" w14:textId="55369664" w:rsidR="00642246" w:rsidRDefault="00642246">
      <w:pPr>
        <w:pStyle w:val="Textonotapie"/>
      </w:pPr>
      <w:r>
        <w:rPr>
          <w:rStyle w:val="Refdenotaalpie"/>
        </w:rPr>
        <w:footnoteRef/>
      </w:r>
      <w:r>
        <w:t xml:space="preserve"> Ibidem.</w:t>
      </w:r>
    </w:p>
  </w:footnote>
  <w:footnote w:id="56">
    <w:p w14:paraId="088A67AD" w14:textId="45BDE547" w:rsidR="00642246" w:rsidRDefault="00642246">
      <w:pPr>
        <w:pStyle w:val="Textonotapie"/>
      </w:pPr>
      <w:r>
        <w:rPr>
          <w:rStyle w:val="Refdenotaalpie"/>
        </w:rPr>
        <w:footnoteRef/>
      </w:r>
      <w:r>
        <w:t xml:space="preserve"> Ibidem.</w:t>
      </w:r>
    </w:p>
  </w:footnote>
  <w:footnote w:id="57">
    <w:p w14:paraId="6B48EAA5" w14:textId="6A14D6FA" w:rsidR="00642246" w:rsidRDefault="00642246">
      <w:pPr>
        <w:pStyle w:val="Textonotapie"/>
      </w:pPr>
      <w:r>
        <w:rPr>
          <w:rStyle w:val="Refdenotaalpie"/>
        </w:rPr>
        <w:footnoteRef/>
      </w:r>
      <w:r>
        <w:t xml:space="preserve"> Archivo electrónico identificado con certificado </w:t>
      </w:r>
      <w:r w:rsidRPr="00642246">
        <w:t>200F746C8E599D2F EADD761ECCED5B58 469D1045DC64C82A 6ED06ABB66747775</w:t>
      </w:r>
      <w:r>
        <w:t>, ubicado en el índice 25 del expediente digital.</w:t>
      </w:r>
    </w:p>
  </w:footnote>
  <w:footnote w:id="58">
    <w:p w14:paraId="66E9EAC6" w14:textId="6A0D9B8D" w:rsidR="001604CA" w:rsidRDefault="001604CA">
      <w:pPr>
        <w:pStyle w:val="Textonotapie"/>
      </w:pPr>
      <w:r>
        <w:rPr>
          <w:rStyle w:val="Refdenotaalpie"/>
        </w:rPr>
        <w:footnoteRef/>
      </w:r>
      <w:r>
        <w:t xml:space="preserve"> Ibidem.</w:t>
      </w:r>
    </w:p>
  </w:footnote>
  <w:footnote w:id="59">
    <w:p w14:paraId="527BFC73" w14:textId="332B36CB" w:rsidR="007017B0" w:rsidRDefault="007017B0">
      <w:pPr>
        <w:pStyle w:val="Textonotapie"/>
      </w:pPr>
      <w:r>
        <w:rPr>
          <w:rStyle w:val="Refdenotaalpie"/>
        </w:rPr>
        <w:footnoteRef/>
      </w:r>
      <w:r>
        <w:t xml:space="preserve"> Archivo electrónico identificado con certificado </w:t>
      </w:r>
      <w:r w:rsidR="00DE0A11" w:rsidRPr="00DE0A11">
        <w:t>18125EB27AC05ECF D1A7C9350FFC51DE 31E647AD7E8FAA74 CF9BB1106B1CE585</w:t>
      </w:r>
      <w:r w:rsidR="00DE0A11">
        <w:t>, ubicado en el índice 8 del expediente digital.</w:t>
      </w:r>
    </w:p>
  </w:footnote>
  <w:footnote w:id="60">
    <w:p w14:paraId="34D8659F" w14:textId="3F69D6C4" w:rsidR="009F59C9" w:rsidRDefault="009F59C9" w:rsidP="009F59C9">
      <w:pPr>
        <w:pStyle w:val="Textonotapie"/>
      </w:pPr>
      <w:r>
        <w:rPr>
          <w:rStyle w:val="Refdenotaalpie"/>
        </w:rPr>
        <w:footnoteRef/>
      </w:r>
      <w:r>
        <w:t xml:space="preserve"> </w:t>
      </w:r>
      <w:r w:rsidR="00DE0A11">
        <w:t xml:space="preserve">Archivo electrónico identificado con certificado </w:t>
      </w:r>
      <w:r w:rsidR="00DE0A11" w:rsidRPr="00DE0A11">
        <w:t>43A98A08AE80D6B1 DAE9AB517F18F5A7 B9A7F83E571AD95E 2525942DFCE5866D</w:t>
      </w:r>
      <w:r w:rsidR="00DE0A11">
        <w:t>, ubicado en el índice 10 del expediente digital.</w:t>
      </w:r>
    </w:p>
  </w:footnote>
  <w:footnote w:id="61">
    <w:p w14:paraId="49BEEF95" w14:textId="77777777" w:rsidR="009F59C9" w:rsidRDefault="009F59C9" w:rsidP="009F59C9">
      <w:pPr>
        <w:pStyle w:val="Textonotapie"/>
      </w:pPr>
      <w:r>
        <w:rPr>
          <w:rStyle w:val="Refdenotaalpie"/>
        </w:rPr>
        <w:footnoteRef/>
      </w:r>
      <w:r>
        <w:t xml:space="preserve"> Archivo electrónico identificado con certificado </w:t>
      </w:r>
      <w:r w:rsidRPr="009F59C9">
        <w:t>889AA72554BDC42A 719C0689E67B760B 715D458193E4E040 1778149DFB2532BE</w:t>
      </w:r>
      <w:r>
        <w:t>, ubicado en el índice 12 del expediente digital.</w:t>
      </w:r>
    </w:p>
  </w:footnote>
  <w:footnote w:id="62">
    <w:p w14:paraId="69E15169" w14:textId="65164240" w:rsidR="009F59C9" w:rsidRDefault="009F59C9">
      <w:pPr>
        <w:pStyle w:val="Textonotapie"/>
      </w:pPr>
      <w:r>
        <w:rPr>
          <w:rStyle w:val="Refdenotaalpie"/>
        </w:rPr>
        <w:footnoteRef/>
      </w:r>
      <w:r>
        <w:t xml:space="preserve"> Archivo electrónico ide</w:t>
      </w:r>
      <w:r w:rsidR="00CF5AF3">
        <w:t xml:space="preserve">ntificado con certificado </w:t>
      </w:r>
      <w:r w:rsidR="00CF5AF3" w:rsidRPr="00CF5AF3">
        <w:t>7B2B05CC3835DD12 0263FAA278DA1BFC ACBA51D85CB123F1 86F36CCB5BE42E2F</w:t>
      </w:r>
      <w:r w:rsidR="00CF5AF3">
        <w:t>, ubicado en el índice 22 del expediente digital.</w:t>
      </w:r>
    </w:p>
  </w:footnote>
  <w:footnote w:id="63">
    <w:p w14:paraId="25704745" w14:textId="1EF64637" w:rsidR="00EC1BC4" w:rsidRDefault="00EC1BC4">
      <w:pPr>
        <w:pStyle w:val="Textonotapie"/>
      </w:pPr>
      <w:r>
        <w:rPr>
          <w:rStyle w:val="Refdenotaalpie"/>
        </w:rPr>
        <w:footnoteRef/>
      </w:r>
      <w:r>
        <w:t xml:space="preserve"> Archivo electrónico identificado con certificado </w:t>
      </w:r>
      <w:r w:rsidRPr="00EC1BC4">
        <w:t>65F6581E982CBADF EC9B9E2E5F796214 3FD1661A90B02637 601802CE9BC6F093</w:t>
      </w:r>
      <w:r>
        <w:t>, ubicado en el índice 27 del expediente digital.</w:t>
      </w:r>
    </w:p>
  </w:footnote>
  <w:footnote w:id="64">
    <w:p w14:paraId="47ADD0A5" w14:textId="77777777" w:rsidR="009E58E8" w:rsidRDefault="009E58E8" w:rsidP="009E58E8">
      <w:pPr>
        <w:pStyle w:val="Textonotapie"/>
        <w:rPr>
          <w:lang w:val="es-MX"/>
        </w:rPr>
      </w:pPr>
      <w:r>
        <w:rPr>
          <w:rStyle w:val="Refdenotaalpie"/>
        </w:rPr>
        <w:footnoteRef/>
      </w:r>
      <w:r>
        <w:t xml:space="preserve"> </w:t>
      </w:r>
      <w:r>
        <w:rPr>
          <w:color w:val="000000"/>
          <w:shd w:val="clear" w:color="auto" w:fill="FFFFFF"/>
        </w:rPr>
        <w:t>Corte Constitucional, sentencia T-867 de 2013: “[e]</w:t>
      </w:r>
      <w:proofErr w:type="spellStart"/>
      <w:r>
        <w:rPr>
          <w:color w:val="000000"/>
          <w:shd w:val="clear" w:color="auto" w:fill="FFFFFF"/>
        </w:rPr>
        <w:t>sta</w:t>
      </w:r>
      <w:proofErr w:type="spellEnd"/>
      <w:r>
        <w:rPr>
          <w:color w:val="000000"/>
          <w:shd w:val="clear" w:color="auto" w:fill="FFFFFF"/>
        </w:rPr>
        <w:t xml:space="preserve"> Corporación, en ejercicio de su labor como intérprete autorizado de la Constitución, ha determinado en reiterada jurisprudencia, el alcance y contenido que el Constituyente otorgó al artículo 86 de la Carta Política, resaltando que la acción judicial en él contemplada, además de ostentar un carácter preferente y sumario, tiene por principal objeto, la protección concreta e inmediata de los derechos constitucionales fundamentales de los ciudadanos, siempre que estos se vean afectados o amenazados por la acción u omisión de cualquier autoridad pública, o de un particular que se encuentre dentro de los supuestos de hecho contemplados en la ley”. </w:t>
      </w:r>
    </w:p>
  </w:footnote>
  <w:footnote w:id="65">
    <w:p w14:paraId="5EEB7AC1" w14:textId="2B3A1BDC" w:rsidR="002A73DE" w:rsidRDefault="002A73DE">
      <w:pPr>
        <w:pStyle w:val="Textonotapie"/>
      </w:pPr>
      <w:r>
        <w:rPr>
          <w:rStyle w:val="Refdenotaalpie"/>
        </w:rPr>
        <w:footnoteRef/>
      </w:r>
      <w:r>
        <w:t xml:space="preserve"> Archivo electrónico identificado con certificado </w:t>
      </w:r>
      <w:r w:rsidRPr="002A73DE">
        <w:t>9848E5393A0C470E 21F9D5F941A96BB8 D0B7F75B9E7889A2 52EC827AF1D68D8E</w:t>
      </w:r>
      <w:r>
        <w:t>, ubicado en el índice 2 del expediente digital.</w:t>
      </w:r>
    </w:p>
  </w:footnote>
  <w:footnote w:id="66">
    <w:p w14:paraId="5CF29308" w14:textId="2FD99CD3" w:rsidR="00022BDE" w:rsidRPr="00B56051" w:rsidRDefault="00022BDE" w:rsidP="00022BDE">
      <w:pPr>
        <w:pStyle w:val="Textonotapie"/>
        <w:rPr>
          <w:szCs w:val="16"/>
          <w:lang w:val="es-ES_tradnl"/>
        </w:rPr>
      </w:pPr>
      <w:r w:rsidRPr="00B56051">
        <w:rPr>
          <w:rStyle w:val="Refdenotaalpie"/>
          <w:szCs w:val="16"/>
        </w:rPr>
        <w:footnoteRef/>
      </w:r>
      <w:r w:rsidRPr="00B56051">
        <w:rPr>
          <w:szCs w:val="16"/>
        </w:rPr>
        <w:t xml:space="preserve"> Cfr. Corte Constitucional</w:t>
      </w:r>
      <w:r>
        <w:rPr>
          <w:szCs w:val="16"/>
        </w:rPr>
        <w:t>, sentencias</w:t>
      </w:r>
      <w:r w:rsidRPr="00B56051">
        <w:rPr>
          <w:szCs w:val="16"/>
        </w:rPr>
        <w:t xml:space="preserve"> T-049 de 2019, T-315 de 1998, T-1198 de 2001, T-599 de 2002,</w:t>
      </w:r>
      <w:r>
        <w:rPr>
          <w:szCs w:val="16"/>
        </w:rPr>
        <w:t xml:space="preserve"> </w:t>
      </w:r>
      <w:r w:rsidRPr="00B56051">
        <w:rPr>
          <w:szCs w:val="16"/>
        </w:rPr>
        <w:t>T-602 de 2011 y T-682 de 2016.</w:t>
      </w:r>
    </w:p>
  </w:footnote>
  <w:footnote w:id="67">
    <w:p w14:paraId="7F8296CA" w14:textId="77777777" w:rsidR="00533B7F" w:rsidRPr="00533B7F" w:rsidRDefault="00533B7F" w:rsidP="00533B7F">
      <w:pPr>
        <w:pStyle w:val="Textonotapie"/>
        <w:rPr>
          <w:sz w:val="24"/>
          <w:szCs w:val="24"/>
          <w:lang w:val="es-MX"/>
        </w:rPr>
      </w:pPr>
      <w:r w:rsidRPr="00533B7F">
        <w:rPr>
          <w:rStyle w:val="Refdenotaalpie"/>
          <w:szCs w:val="24"/>
        </w:rPr>
        <w:footnoteRef/>
      </w:r>
      <w:r w:rsidRPr="00533B7F">
        <w:t xml:space="preserve"> </w:t>
      </w:r>
      <w:r w:rsidRPr="00533B7F">
        <w:rPr>
          <w:lang w:val="es-MX"/>
        </w:rPr>
        <w:t xml:space="preserve">Ley 1437 de 2011, artículo 43. “Actos definitivos. </w:t>
      </w:r>
      <w:r w:rsidRPr="00533B7F">
        <w:t>Son actos definitivos los que decidan directa o indirectamente el fondo del asunto o hagan imposible continuar la actuación”.</w:t>
      </w:r>
    </w:p>
  </w:footnote>
  <w:footnote w:id="68">
    <w:p w14:paraId="4FDFB439" w14:textId="77777777" w:rsidR="00533B7F" w:rsidRPr="0005601A" w:rsidRDefault="00533B7F" w:rsidP="00533B7F">
      <w:pPr>
        <w:pStyle w:val="Textonotapie"/>
        <w:rPr>
          <w:sz w:val="16"/>
          <w:szCs w:val="16"/>
          <w:lang w:val="es-MX"/>
        </w:rPr>
      </w:pPr>
      <w:r w:rsidRPr="00533B7F">
        <w:rPr>
          <w:rStyle w:val="Refdenotaalpie"/>
          <w:szCs w:val="24"/>
        </w:rPr>
        <w:footnoteRef/>
      </w:r>
      <w:r w:rsidRPr="00533B7F">
        <w:t xml:space="preserve"> Corte Constitucional, sentencia T-088 de 2005.</w:t>
      </w:r>
    </w:p>
  </w:footnote>
  <w:footnote w:id="69">
    <w:p w14:paraId="192D650B" w14:textId="4AC0FFBF" w:rsidR="00B73200" w:rsidRDefault="00B73200">
      <w:pPr>
        <w:pStyle w:val="Textonotapie"/>
      </w:pPr>
      <w:r>
        <w:rPr>
          <w:rStyle w:val="Refdenotaalpie"/>
        </w:rPr>
        <w:footnoteRef/>
      </w:r>
      <w:r>
        <w:t xml:space="preserve"> </w:t>
      </w:r>
      <w:r w:rsidRPr="00B73200">
        <w:t>Resolución CJR022-0042 del 16 de enero de 2023</w:t>
      </w:r>
      <w:r>
        <w:t xml:space="preserve">. </w:t>
      </w:r>
    </w:p>
  </w:footnote>
  <w:footnote w:id="70">
    <w:p w14:paraId="1A14BF9B" w14:textId="44274789" w:rsidR="00F52CDA" w:rsidRDefault="00F52CDA">
      <w:pPr>
        <w:pStyle w:val="Textonotapie"/>
      </w:pPr>
      <w:r>
        <w:rPr>
          <w:rStyle w:val="Refdenotaalpie"/>
        </w:rPr>
        <w:footnoteRef/>
      </w:r>
      <w:r>
        <w:t xml:space="preserve"> Acuerdo </w:t>
      </w:r>
      <w:r w:rsidRPr="00F52CDA">
        <w:t xml:space="preserve">PCSJA18-11077 </w:t>
      </w:r>
      <w:r>
        <w:t>del 16 de agosto</w:t>
      </w:r>
      <w:r w:rsidRPr="00F52CDA">
        <w:t xml:space="preserve"> 2018</w:t>
      </w:r>
      <w:r>
        <w:t>, artículo 2. “(…)</w:t>
      </w:r>
    </w:p>
    <w:p w14:paraId="31F01AC7" w14:textId="05DB34AF" w:rsidR="00F52CDA" w:rsidRDefault="00F52CDA">
      <w:pPr>
        <w:pStyle w:val="Textonotapie"/>
      </w:pPr>
      <w:r>
        <w:t>4. Etapas del concurso</w:t>
      </w:r>
    </w:p>
    <w:p w14:paraId="4580D206" w14:textId="29C7DDC2" w:rsidR="00F52CDA" w:rsidRDefault="00F52CDA">
      <w:pPr>
        <w:pStyle w:val="Textonotapie"/>
      </w:pPr>
      <w:r>
        <w:t>El concurso de méritos comprende dos (2) etapas: Selección y Clasificación.</w:t>
      </w:r>
    </w:p>
    <w:p w14:paraId="7E905DF2" w14:textId="22FBADAD" w:rsidR="00F52CDA" w:rsidRDefault="00F52CDA">
      <w:pPr>
        <w:pStyle w:val="Textonotapie"/>
      </w:pPr>
      <w:r>
        <w:t>4.1. Etapa de selección</w:t>
      </w:r>
    </w:p>
    <w:p w14:paraId="2C428B3C" w14:textId="207E2A60" w:rsidR="00F52CDA" w:rsidRDefault="00F52CDA">
      <w:pPr>
        <w:pStyle w:val="Textonotapie"/>
      </w:pPr>
      <w:r>
        <w:t>Comprende la Fase I - Prueba de Aptitudes y Conocimientos, la Fase II – Verificación de requisitos mínimos y la Fase III – Curso de Formación Judicial Inicial, las cuales ostentan carácter eliminatorio. (Artículos 164 - 4 y 168 LEAJ).</w:t>
      </w:r>
    </w:p>
    <w:p w14:paraId="232C6192" w14:textId="5E2730CE" w:rsidR="00F52CDA" w:rsidRDefault="00F52CDA">
      <w:pPr>
        <w:pStyle w:val="Textonotapie"/>
      </w:pPr>
      <w:r>
        <w:t>Fase I. Prueba de aptitudes y conocimientos</w:t>
      </w:r>
    </w:p>
    <w:p w14:paraId="20884A9F" w14:textId="7985F3A3" w:rsidR="00F52CDA" w:rsidRDefault="00F52CDA">
      <w:pPr>
        <w:pStyle w:val="Textonotapie"/>
      </w:pPr>
      <w:r>
        <w:t>(…)</w:t>
      </w:r>
    </w:p>
    <w:p w14:paraId="55188409" w14:textId="77777777" w:rsidR="00162B93" w:rsidRDefault="00162B93">
      <w:pPr>
        <w:pStyle w:val="Textonotapie"/>
      </w:pPr>
      <w:r>
        <w:t xml:space="preserve">Los aspirantes inscritos al concurso serán citados a presentar las pruebas, en la forma indicada en el numeral 5.1 del presente acuerdo, las cuales evaluarán los siguientes atributos: (i) aptitudes y (ii) conocimientos. La prueba de conocimientos se encuentra constituida por dos componentes: uno general y otro específico relacionado con la especialidad seleccionada. </w:t>
      </w:r>
    </w:p>
    <w:p w14:paraId="6F87F9F7" w14:textId="77777777" w:rsidR="00162B93" w:rsidRDefault="00162B93">
      <w:pPr>
        <w:pStyle w:val="Textonotapie"/>
      </w:pPr>
      <w:r>
        <w:t xml:space="preserve">En esta etapa, la calificación de las pruebas de aptitudes y conocimientos se hará a partir de una escala estándar entre 1 y 1.000 puntos. La prueba de aptitudes se calificará entre 1 y 300 puntos y la de conocimientos entre 1 y 700 puntos. </w:t>
      </w:r>
      <w:r w:rsidRPr="00162B93">
        <w:rPr>
          <w:b/>
          <w:bCs/>
          <w:u w:val="single"/>
        </w:rPr>
        <w:t>Para aprobar se requerirá obtener un mínimo de 800 puntos, sumando los puntajes de las dos pruebas</w:t>
      </w:r>
      <w:r>
        <w:t xml:space="preserve">. </w:t>
      </w:r>
    </w:p>
    <w:p w14:paraId="1FF2EDC9" w14:textId="77777777" w:rsidR="00162B93" w:rsidRDefault="00162B93">
      <w:pPr>
        <w:pStyle w:val="Textonotapie"/>
      </w:pPr>
      <w:r>
        <w:t xml:space="preserve">Los puntajes de aptitudes y conocimientos serán determinados mediante Resolución expedida por la Unidad de Administración de la Carrera Judicial, por delegación. </w:t>
      </w:r>
    </w:p>
    <w:p w14:paraId="1AA2A9DE" w14:textId="77777777" w:rsidR="00162B93" w:rsidRDefault="00162B93">
      <w:pPr>
        <w:pStyle w:val="Textonotapie"/>
      </w:pPr>
      <w:r>
        <w:t xml:space="preserve">Posteriormente, para valorar la etapa clasificatoria, a los concursantes que hayan obtenido 800 puntos o más, se les aplicará una nueva escala de calificación según se explica en el acápite 4.2 de este Acuerdo. </w:t>
      </w:r>
    </w:p>
    <w:p w14:paraId="6507C6AF" w14:textId="77777777" w:rsidR="00162B93" w:rsidRDefault="00162B93">
      <w:pPr>
        <w:pStyle w:val="Textonotapie"/>
      </w:pPr>
      <w:r>
        <w:t xml:space="preserve">El diseño, administración y aplicación de las pruebas serán los determinados por el Consejo Superior de la Judicatura. Al momento de presentar las pruebas, los aspirantes suscribirán declaración juramentada de cumplir los requisitos mínimos para el desempeño del cargo seleccionado y así recibir el correspondiente cuadernillo. </w:t>
      </w:r>
    </w:p>
    <w:p w14:paraId="22E0BC83" w14:textId="6D5B5CE6" w:rsidR="00F52CDA" w:rsidRDefault="00162B93">
      <w:pPr>
        <w:pStyle w:val="Textonotapie"/>
      </w:pPr>
      <w:r>
        <w:t>Las pruebas se llevarán a cabo en el lugar escogido al momento de la inscripción, no obstante los aspirantes podrán solicitar el cambio de sede para la presentación de las mismas, solamente dentro de los tres días siguientes a su citación. Una vez vencido el término, no se autorizarán cambios de sede para la presentación de la prueba.</w:t>
      </w:r>
    </w:p>
    <w:p w14:paraId="4904B325" w14:textId="429531C9" w:rsidR="00162B93" w:rsidRDefault="00162B93">
      <w:pPr>
        <w:pStyle w:val="Textonotapie"/>
      </w:pPr>
      <w:r>
        <w:t>La presentación y aprobación de las pruebas de aptitudes y conocimientos no garantiza la permanencia en el concurso, se requiere adicionalmente la acreditación, en debida forma, del cumplimiento de los requisitos mínimos.</w:t>
      </w:r>
    </w:p>
    <w:p w14:paraId="50B01EF9" w14:textId="11190534" w:rsidR="00162B93" w:rsidRDefault="00162B93">
      <w:pPr>
        <w:pStyle w:val="Textonotapie"/>
      </w:pPr>
      <w:r>
        <w:t>(…)”. (Negritas y subrayado por fuera de texto).</w:t>
      </w:r>
    </w:p>
  </w:footnote>
  <w:footnote w:id="71">
    <w:p w14:paraId="036E7DD9" w14:textId="77777777" w:rsidR="007936D7" w:rsidRPr="00155049" w:rsidRDefault="007936D7" w:rsidP="007936D7">
      <w:pPr>
        <w:pStyle w:val="Textonotapie"/>
        <w:rPr>
          <w:lang w:val="es-MX"/>
        </w:rPr>
      </w:pPr>
      <w:r w:rsidRPr="00155049">
        <w:rPr>
          <w:rStyle w:val="Refdenotaalpie"/>
          <w:szCs w:val="24"/>
        </w:rPr>
        <w:footnoteRef/>
      </w:r>
      <w:r w:rsidRPr="00155049">
        <w:t xml:space="preserve"> </w:t>
      </w:r>
      <w:r w:rsidRPr="00155049">
        <w:rPr>
          <w:lang w:val="es-MX"/>
        </w:rPr>
        <w:t>Corte Constitucional, sentencia T-405 de 2018.</w:t>
      </w:r>
    </w:p>
  </w:footnote>
  <w:footnote w:id="72">
    <w:p w14:paraId="5521BF57" w14:textId="77777777" w:rsidR="00155049" w:rsidRDefault="00155049" w:rsidP="00155049">
      <w:pPr>
        <w:pStyle w:val="Textonotapie"/>
      </w:pPr>
      <w:r>
        <w:rPr>
          <w:rStyle w:val="Refdenotaalpie"/>
        </w:rPr>
        <w:footnoteRef/>
      </w:r>
      <w:r>
        <w:t xml:space="preserve"> Archivo electrónico identificado con certificado </w:t>
      </w:r>
      <w:r w:rsidRPr="00B8405B">
        <w:t>497DB9FB085883CF 8437793434F9660C B975D592DF119D58 EE8F54E9BA48DEE8</w:t>
      </w:r>
      <w:r>
        <w:t>, ubicado en el índice 2 del expediente digital.</w:t>
      </w:r>
    </w:p>
  </w:footnote>
  <w:footnote w:id="73">
    <w:p w14:paraId="31864D90" w14:textId="768CA0F1" w:rsidR="006321DB" w:rsidRDefault="006321DB">
      <w:pPr>
        <w:pStyle w:val="Textonotapie"/>
      </w:pPr>
      <w:r>
        <w:rPr>
          <w:rStyle w:val="Refdenotaalpie"/>
        </w:rPr>
        <w:footnoteRef/>
      </w:r>
      <w:r>
        <w:t xml:space="preserve"> Archivo electrónico identificado con certificado </w:t>
      </w:r>
      <w:r w:rsidR="00D8040B" w:rsidRPr="00D8040B">
        <w:t>92E6BD7A69A07A5E 2D2AC99A83B6FBE6 C2813C70EFD2204F 116054230B066344</w:t>
      </w:r>
      <w:r w:rsidR="00D8040B">
        <w:t>, ubicado en el índice 2 del expediente digital.</w:t>
      </w:r>
    </w:p>
  </w:footnote>
  <w:footnote w:id="74">
    <w:p w14:paraId="58C77552" w14:textId="17BC5233" w:rsidR="00DF266A" w:rsidRDefault="00DF266A">
      <w:pPr>
        <w:pStyle w:val="Textonotapie"/>
      </w:pPr>
      <w:r>
        <w:rPr>
          <w:rStyle w:val="Refdenotaalpie"/>
        </w:rPr>
        <w:footnoteRef/>
      </w:r>
      <w:r>
        <w:t xml:space="preserve"> Ibidem.</w:t>
      </w:r>
    </w:p>
  </w:footnote>
  <w:footnote w:id="75">
    <w:p w14:paraId="54A0F903" w14:textId="3370862C" w:rsidR="00572631" w:rsidRDefault="00572631">
      <w:pPr>
        <w:pStyle w:val="Textonotapie"/>
      </w:pPr>
      <w:r>
        <w:rPr>
          <w:rStyle w:val="Refdenotaalpie"/>
        </w:rPr>
        <w:footnoteRef/>
      </w:r>
      <w:r>
        <w:t xml:space="preserve"> Corte Constitucional, sentencia C-487 de 1996, reiterada en la sentencia C-951 de 2014.</w:t>
      </w:r>
    </w:p>
  </w:footnote>
  <w:footnote w:id="76">
    <w:p w14:paraId="14C1328D" w14:textId="7E206A79" w:rsidR="00572631" w:rsidRDefault="00572631">
      <w:pPr>
        <w:pStyle w:val="Textonotapie"/>
      </w:pPr>
      <w:r>
        <w:rPr>
          <w:rStyle w:val="Refdenotaalpie"/>
        </w:rPr>
        <w:footnoteRef/>
      </w:r>
      <w:r>
        <w:t xml:space="preserve"> Ibidem.</w:t>
      </w:r>
    </w:p>
  </w:footnote>
  <w:footnote w:id="77">
    <w:p w14:paraId="611EAB72" w14:textId="28069993" w:rsidR="00CE3051" w:rsidRDefault="00CE3051">
      <w:pPr>
        <w:pStyle w:val="Textonotapie"/>
      </w:pPr>
      <w:r>
        <w:rPr>
          <w:rStyle w:val="Refdenotaalpie"/>
        </w:rPr>
        <w:footnoteRef/>
      </w:r>
      <w:r>
        <w:t xml:space="preserve"> Corte Constitucional, sentencia T-091 de 2007, reiterada en la sentencia C-951 de 2014.</w:t>
      </w:r>
    </w:p>
  </w:footnote>
  <w:footnote w:id="78">
    <w:p w14:paraId="002C7CB1" w14:textId="034E7660" w:rsidR="004B244B" w:rsidRDefault="004B244B">
      <w:pPr>
        <w:pStyle w:val="Textonotapie"/>
      </w:pPr>
      <w:r>
        <w:rPr>
          <w:rStyle w:val="Refdenotaalpie"/>
        </w:rPr>
        <w:footnoteRef/>
      </w:r>
      <w:r>
        <w:t xml:space="preserve"> Corte Constitucional, sentencia T-1075 de 2003.</w:t>
      </w:r>
    </w:p>
  </w:footnote>
  <w:footnote w:id="79">
    <w:p w14:paraId="656921C8" w14:textId="40145328" w:rsidR="00370F4B" w:rsidRDefault="00370F4B">
      <w:pPr>
        <w:pStyle w:val="Textonotapie"/>
      </w:pPr>
      <w:r>
        <w:rPr>
          <w:rStyle w:val="Refdenotaalpie"/>
        </w:rPr>
        <w:footnoteRef/>
      </w:r>
      <w:r>
        <w:t xml:space="preserve"> Archivo electrónico identificado con certificado </w:t>
      </w:r>
      <w:r w:rsidRPr="007B239E">
        <w:t>497DB9FB085883CF 8437793434F9660C B975D592DF119D58 EE8F54E9BA48DEE8</w:t>
      </w:r>
      <w:r>
        <w:t>, ubicado en el índice 2 del expediente digital.</w:t>
      </w:r>
      <w:r w:rsidR="00017F6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C6BF" w14:textId="43407832" w:rsidR="00D02A0A" w:rsidRDefault="00D02A0A" w:rsidP="000A5E31">
    <w:pPr>
      <w:pStyle w:val="Encabezado"/>
      <w:jc w:val="right"/>
      <w:rPr>
        <w:i/>
        <w:iCs/>
        <w:color w:val="767171"/>
        <w:sz w:val="20"/>
        <w:szCs w:val="20"/>
      </w:rPr>
    </w:pPr>
    <w:r>
      <w:rPr>
        <w:noProof/>
        <w:lang w:eastAsia="es-CO"/>
      </w:rPr>
      <w:drawing>
        <wp:anchor distT="0" distB="0" distL="114300" distR="114300" simplePos="0" relativeHeight="251660288" behindDoc="0" locked="0" layoutInCell="1" allowOverlap="1" wp14:anchorId="630B8178" wp14:editId="565E9958">
          <wp:simplePos x="0" y="0"/>
          <wp:positionH relativeFrom="column">
            <wp:posOffset>-334010</wp:posOffset>
          </wp:positionH>
          <wp:positionV relativeFrom="paragraph">
            <wp:posOffset>-134951</wp:posOffset>
          </wp:positionV>
          <wp:extent cx="855345" cy="795655"/>
          <wp:effectExtent l="0" t="0" r="0" b="4445"/>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345"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D11D4" w14:textId="04336899" w:rsidR="00A320DF" w:rsidRPr="00A320DF" w:rsidRDefault="000A5E31" w:rsidP="000A5E31">
    <w:pPr>
      <w:pStyle w:val="Encabezado"/>
      <w:jc w:val="right"/>
      <w:rPr>
        <w:i/>
        <w:iCs/>
        <w:color w:val="767171"/>
        <w:sz w:val="20"/>
        <w:szCs w:val="20"/>
      </w:rPr>
    </w:pPr>
    <w:r w:rsidRPr="0070023E">
      <w:rPr>
        <w:noProof/>
        <w:sz w:val="20"/>
        <w:szCs w:val="20"/>
        <w:lang w:eastAsia="es-CO"/>
      </w:rPr>
      <mc:AlternateContent>
        <mc:Choice Requires="wps">
          <w:drawing>
            <wp:anchor distT="0" distB="0" distL="114300" distR="114300" simplePos="0" relativeHeight="251659264" behindDoc="0" locked="0" layoutInCell="1" allowOverlap="1" wp14:anchorId="0A5F3C0F" wp14:editId="4EC17FBC">
              <wp:simplePos x="0" y="0"/>
              <wp:positionH relativeFrom="column">
                <wp:posOffset>1379855</wp:posOffset>
              </wp:positionH>
              <wp:positionV relativeFrom="paragraph">
                <wp:posOffset>-26406</wp:posOffset>
              </wp:positionV>
              <wp:extent cx="5400040" cy="0"/>
              <wp:effectExtent l="0" t="19050" r="2921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28F4833" id="_x0000_t32" coordsize="21600,21600" o:spt="32" o:oned="t" path="m,l21600,21600e" filled="f">
              <v:path arrowok="t" fillok="f" o:connecttype="none"/>
              <o:lock v:ext="edit" shapetype="t"/>
            </v:shapetype>
            <v:shape id="Conector recto de flecha 2" o:spid="_x0000_s1026" type="#_x0000_t32" style="position:absolute;margin-left:108.65pt;margin-top:-2.1pt;width:4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" strokeweight="2.25pt">
              <v:shadow color="#1f3763" opacity=".5" offset="1pt"/>
            </v:shape>
          </w:pict>
        </mc:Fallback>
      </mc:AlternateContent>
    </w:r>
    <w:r w:rsidR="00F847A1" w:rsidRPr="00A320DF">
      <w:rPr>
        <w:i/>
        <w:iCs/>
        <w:color w:val="767171"/>
        <w:sz w:val="20"/>
        <w:szCs w:val="20"/>
      </w:rPr>
      <w:t xml:space="preserve">Radicado: </w:t>
    </w:r>
    <w:r w:rsidR="00F847A1" w:rsidRPr="005A4B5E">
      <w:rPr>
        <w:bCs/>
        <w:i/>
        <w:iCs/>
        <w:color w:val="767171"/>
        <w:sz w:val="20"/>
        <w:szCs w:val="20"/>
      </w:rPr>
      <w:t>11001-03-15-000-2023-00276-00</w:t>
    </w:r>
  </w:p>
  <w:p w14:paraId="62B1DF09" w14:textId="77777777" w:rsidR="00A320DF" w:rsidRPr="00A320DF" w:rsidRDefault="00F847A1" w:rsidP="00A320DF">
    <w:pPr>
      <w:pStyle w:val="Encabezado"/>
      <w:spacing w:after="240"/>
      <w:jc w:val="right"/>
      <w:rPr>
        <w:bCs/>
        <w:i/>
        <w:iCs/>
        <w:color w:val="767171"/>
        <w:sz w:val="20"/>
        <w:szCs w:val="20"/>
      </w:rPr>
    </w:pPr>
    <w:r w:rsidRPr="00A320DF">
      <w:rPr>
        <w:i/>
        <w:iCs/>
        <w:color w:val="767171"/>
        <w:sz w:val="20"/>
        <w:szCs w:val="20"/>
      </w:rPr>
      <w:tab/>
    </w:r>
    <w:r w:rsidRPr="00A320DF">
      <w:rPr>
        <w:i/>
        <w:iCs/>
        <w:color w:val="767171"/>
        <w:sz w:val="20"/>
        <w:szCs w:val="20"/>
      </w:rPr>
      <w:tab/>
      <w:t>Accionante:</w:t>
    </w:r>
    <w:r w:rsidRPr="00A320DF">
      <w:rPr>
        <w:rFonts w:eastAsiaTheme="minorHAnsi"/>
        <w:bCs/>
        <w:i/>
        <w:iCs/>
        <w:sz w:val="24"/>
        <w:szCs w:val="24"/>
        <w:lang w:eastAsia="en-US"/>
      </w:rPr>
      <w:t xml:space="preserve"> </w:t>
    </w:r>
    <w:r w:rsidRPr="00A320DF">
      <w:rPr>
        <w:bCs/>
        <w:i/>
        <w:iCs/>
        <w:color w:val="767171"/>
        <w:sz w:val="20"/>
        <w:szCs w:val="20"/>
      </w:rPr>
      <w:t>Nelson Julián Valencia Zamora</w:t>
    </w:r>
  </w:p>
  <w:p w14:paraId="5CC64132" w14:textId="77777777" w:rsidR="000F127E" w:rsidRDefault="002A491A" w:rsidP="00A320DF">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8CA55" w14:textId="757B0851" w:rsidR="00D02A0A" w:rsidRDefault="00721983" w:rsidP="000A5E31">
    <w:pPr>
      <w:pStyle w:val="Encabezado"/>
      <w:jc w:val="right"/>
      <w:rPr>
        <w:i/>
        <w:iCs/>
        <w:color w:val="767171"/>
        <w:sz w:val="20"/>
        <w:szCs w:val="20"/>
      </w:rPr>
    </w:pPr>
    <w:r w:rsidRPr="00A320DF">
      <w:rPr>
        <w:b/>
        <w:bCs/>
        <w:noProof/>
        <w:sz w:val="24"/>
        <w:szCs w:val="24"/>
        <w:lang w:eastAsia="es-CO"/>
      </w:rPr>
      <w:drawing>
        <wp:anchor distT="0" distB="0" distL="114300" distR="114300" simplePos="0" relativeHeight="251661312" behindDoc="0" locked="0" layoutInCell="1" allowOverlap="1" wp14:anchorId="61C722CF" wp14:editId="30AB8E0D">
          <wp:simplePos x="0" y="0"/>
          <wp:positionH relativeFrom="column">
            <wp:posOffset>-894080</wp:posOffset>
          </wp:positionH>
          <wp:positionV relativeFrom="paragraph">
            <wp:posOffset>8890</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B853A" w14:textId="4E42D891" w:rsidR="00A320DF" w:rsidRPr="00A320DF" w:rsidRDefault="000A5E31" w:rsidP="000A5E31">
    <w:pPr>
      <w:pStyle w:val="Encabezado"/>
      <w:jc w:val="right"/>
      <w:rPr>
        <w:i/>
        <w:iCs/>
        <w:color w:val="767171"/>
        <w:sz w:val="20"/>
        <w:szCs w:val="20"/>
      </w:rPr>
    </w:pPr>
    <w:r w:rsidRPr="0070023E">
      <w:rPr>
        <w:noProof/>
        <w:sz w:val="20"/>
        <w:szCs w:val="20"/>
        <w:lang w:eastAsia="es-CO"/>
      </w:rPr>
      <mc:AlternateContent>
        <mc:Choice Requires="wps">
          <w:drawing>
            <wp:anchor distT="0" distB="0" distL="114300" distR="114300" simplePos="0" relativeHeight="251662336" behindDoc="0" locked="0" layoutInCell="1" allowOverlap="1" wp14:anchorId="2604AC5E" wp14:editId="2E6F4E18">
              <wp:simplePos x="0" y="0"/>
              <wp:positionH relativeFrom="column">
                <wp:posOffset>1379855</wp:posOffset>
              </wp:positionH>
              <wp:positionV relativeFrom="paragraph">
                <wp:posOffset>-26406</wp:posOffset>
              </wp:positionV>
              <wp:extent cx="5400040" cy="0"/>
              <wp:effectExtent l="0" t="19050" r="29210"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4B08436" id="_x0000_t32" coordsize="21600,21600" o:spt="32" o:oned="t" path="m,l21600,21600e" filled="f">
              <v:path arrowok="t" fillok="f" o:connecttype="none"/>
              <o:lock v:ext="edit" shapetype="t"/>
            </v:shapetype>
            <v:shape id="Conector recto de flecha 4" o:spid="_x0000_s1026" type="#_x0000_t32" style="position:absolute;margin-left:108.65pt;margin-top:-2.1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" strokeweight="2.25pt">
              <v:shadow color="#1f3763" opacity=".5" offset="1pt"/>
            </v:shape>
          </w:pict>
        </mc:Fallback>
      </mc:AlternateContent>
    </w:r>
    <w:r w:rsidR="00F847A1" w:rsidRPr="00A320DF">
      <w:rPr>
        <w:i/>
        <w:iCs/>
        <w:color w:val="767171"/>
        <w:sz w:val="20"/>
        <w:szCs w:val="20"/>
      </w:rPr>
      <w:t xml:space="preserve">Radicado: </w:t>
    </w:r>
    <w:r w:rsidR="00F847A1" w:rsidRPr="005A4B5E">
      <w:rPr>
        <w:bCs/>
        <w:i/>
        <w:iCs/>
        <w:color w:val="767171"/>
        <w:sz w:val="20"/>
        <w:szCs w:val="20"/>
      </w:rPr>
      <w:t>11001-03-15-000-2023-00276-00</w:t>
    </w:r>
  </w:p>
  <w:p w14:paraId="3252FC5B" w14:textId="77777777" w:rsidR="00A320DF" w:rsidRPr="00A320DF" w:rsidRDefault="00F847A1" w:rsidP="00A320DF">
    <w:pPr>
      <w:pStyle w:val="Encabezado"/>
      <w:spacing w:after="240"/>
      <w:jc w:val="right"/>
      <w:rPr>
        <w:i/>
        <w:iCs/>
        <w:color w:val="767171"/>
        <w:sz w:val="20"/>
        <w:szCs w:val="20"/>
      </w:rPr>
    </w:pPr>
    <w:r w:rsidRPr="00A320DF">
      <w:rPr>
        <w:i/>
        <w:iCs/>
        <w:color w:val="767171"/>
        <w:sz w:val="20"/>
        <w:szCs w:val="20"/>
      </w:rPr>
      <w:tab/>
    </w:r>
    <w:r w:rsidRPr="00A320DF">
      <w:rPr>
        <w:i/>
        <w:iCs/>
        <w:color w:val="767171"/>
        <w:sz w:val="20"/>
        <w:szCs w:val="20"/>
      </w:rPr>
      <w:tab/>
      <w:t>Accionante:</w:t>
    </w:r>
    <w:r w:rsidRPr="00A320DF">
      <w:rPr>
        <w:rFonts w:eastAsiaTheme="minorHAnsi"/>
        <w:bCs/>
        <w:i/>
        <w:iCs/>
        <w:sz w:val="24"/>
        <w:szCs w:val="24"/>
        <w:lang w:eastAsia="en-US"/>
      </w:rPr>
      <w:t xml:space="preserve"> </w:t>
    </w:r>
    <w:r w:rsidRPr="00A320DF">
      <w:rPr>
        <w:bCs/>
        <w:i/>
        <w:iCs/>
        <w:color w:val="767171"/>
        <w:sz w:val="20"/>
        <w:szCs w:val="20"/>
      </w:rPr>
      <w:t>Nelson Julián Valencia Zamora</w:t>
    </w:r>
  </w:p>
  <w:p w14:paraId="34A7F352" w14:textId="77777777" w:rsidR="0074235D" w:rsidRPr="00A320DF" w:rsidRDefault="00F847A1" w:rsidP="00A320DF">
    <w:pPr>
      <w:pStyle w:val="Encabezado"/>
      <w:contextualSpacing/>
      <w:jc w:val="center"/>
      <w:rPr>
        <w:b/>
        <w:bCs/>
        <w:sz w:val="24"/>
        <w:szCs w:val="24"/>
      </w:rPr>
    </w:pPr>
    <w:r w:rsidRPr="00A320DF">
      <w:rPr>
        <w:b/>
        <w:bCs/>
        <w:sz w:val="24"/>
        <w:szCs w:val="24"/>
      </w:rPr>
      <w:t>CONSEJO DE ESTADO</w:t>
    </w:r>
  </w:p>
  <w:p w14:paraId="2A2E5679" w14:textId="77777777" w:rsidR="0074235D" w:rsidRPr="007F276C" w:rsidRDefault="00F847A1" w:rsidP="00032077">
    <w:pPr>
      <w:pStyle w:val="Sinespaciado"/>
      <w:contextualSpacing/>
    </w:pPr>
    <w:r w:rsidRPr="007F276C">
      <w:t>SALA DE LO CONTENCIOSO ADMINISTRATIVO</w:t>
    </w:r>
  </w:p>
  <w:p w14:paraId="4EB836F3" w14:textId="77777777" w:rsidR="00A320DF" w:rsidRDefault="00F847A1" w:rsidP="00032077">
    <w:pPr>
      <w:pStyle w:val="Sinespaciado"/>
      <w:contextualSpacing/>
    </w:pPr>
    <w:r w:rsidRPr="007F276C">
      <w:t xml:space="preserve">SECCIÓN TERCERA </w:t>
    </w:r>
  </w:p>
  <w:p w14:paraId="0C20DDB3" w14:textId="77777777" w:rsidR="0074235D" w:rsidRPr="007F276C" w:rsidRDefault="00F847A1" w:rsidP="00032077">
    <w:pPr>
      <w:pStyle w:val="Sinespaciado"/>
      <w:contextualSpacing/>
    </w:pPr>
    <w:r w:rsidRPr="007F276C">
      <w:t>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D7C37"/>
    <w:multiLevelType w:val="hybridMultilevel"/>
    <w:tmpl w:val="9F68ED5A"/>
    <w:lvl w:ilvl="0" w:tplc="954E78DA">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B0"/>
    <w:rsid w:val="00017F6A"/>
    <w:rsid w:val="00022BDE"/>
    <w:rsid w:val="00032077"/>
    <w:rsid w:val="00032CE0"/>
    <w:rsid w:val="00044568"/>
    <w:rsid w:val="000479A2"/>
    <w:rsid w:val="00052FAC"/>
    <w:rsid w:val="000647AA"/>
    <w:rsid w:val="000733B4"/>
    <w:rsid w:val="00073AB2"/>
    <w:rsid w:val="00094938"/>
    <w:rsid w:val="000A5E31"/>
    <w:rsid w:val="000B0E92"/>
    <w:rsid w:val="000B29E6"/>
    <w:rsid w:val="000B4A06"/>
    <w:rsid w:val="000E3635"/>
    <w:rsid w:val="00101F40"/>
    <w:rsid w:val="00105D32"/>
    <w:rsid w:val="00111626"/>
    <w:rsid w:val="0015118E"/>
    <w:rsid w:val="00155049"/>
    <w:rsid w:val="001604CA"/>
    <w:rsid w:val="00162B93"/>
    <w:rsid w:val="00177F20"/>
    <w:rsid w:val="001B3C9D"/>
    <w:rsid w:val="001C5503"/>
    <w:rsid w:val="001C59CE"/>
    <w:rsid w:val="002025D0"/>
    <w:rsid w:val="0021367E"/>
    <w:rsid w:val="00226525"/>
    <w:rsid w:val="0025344A"/>
    <w:rsid w:val="00277621"/>
    <w:rsid w:val="002855C5"/>
    <w:rsid w:val="00296B62"/>
    <w:rsid w:val="002A491A"/>
    <w:rsid w:val="002A73DE"/>
    <w:rsid w:val="002B7A96"/>
    <w:rsid w:val="0031411A"/>
    <w:rsid w:val="003315CA"/>
    <w:rsid w:val="00355BEA"/>
    <w:rsid w:val="00370F4B"/>
    <w:rsid w:val="0037461F"/>
    <w:rsid w:val="00391C6E"/>
    <w:rsid w:val="003C5A43"/>
    <w:rsid w:val="003D136D"/>
    <w:rsid w:val="003D47C3"/>
    <w:rsid w:val="003D71F7"/>
    <w:rsid w:val="00404D0D"/>
    <w:rsid w:val="00406B8A"/>
    <w:rsid w:val="004172F1"/>
    <w:rsid w:val="00447EE1"/>
    <w:rsid w:val="004527EA"/>
    <w:rsid w:val="00470D9E"/>
    <w:rsid w:val="004B18FE"/>
    <w:rsid w:val="004B244B"/>
    <w:rsid w:val="004D4387"/>
    <w:rsid w:val="004D723D"/>
    <w:rsid w:val="004F7703"/>
    <w:rsid w:val="00505B05"/>
    <w:rsid w:val="0050623B"/>
    <w:rsid w:val="0052707B"/>
    <w:rsid w:val="00531A83"/>
    <w:rsid w:val="00532CC7"/>
    <w:rsid w:val="00533B7F"/>
    <w:rsid w:val="0053752C"/>
    <w:rsid w:val="0055337A"/>
    <w:rsid w:val="00572386"/>
    <w:rsid w:val="00572631"/>
    <w:rsid w:val="00575408"/>
    <w:rsid w:val="00593D16"/>
    <w:rsid w:val="00596413"/>
    <w:rsid w:val="005D5DA2"/>
    <w:rsid w:val="005F4087"/>
    <w:rsid w:val="005F5825"/>
    <w:rsid w:val="005F66CB"/>
    <w:rsid w:val="00612C44"/>
    <w:rsid w:val="00613D7D"/>
    <w:rsid w:val="006169D6"/>
    <w:rsid w:val="006318FB"/>
    <w:rsid w:val="006321DB"/>
    <w:rsid w:val="006419FC"/>
    <w:rsid w:val="00642246"/>
    <w:rsid w:val="00645E00"/>
    <w:rsid w:val="006860AF"/>
    <w:rsid w:val="00691671"/>
    <w:rsid w:val="0069317D"/>
    <w:rsid w:val="006C7245"/>
    <w:rsid w:val="006D0195"/>
    <w:rsid w:val="006D341D"/>
    <w:rsid w:val="006E7544"/>
    <w:rsid w:val="006E7ED2"/>
    <w:rsid w:val="007017B0"/>
    <w:rsid w:val="00705645"/>
    <w:rsid w:val="00721983"/>
    <w:rsid w:val="007238F0"/>
    <w:rsid w:val="00723958"/>
    <w:rsid w:val="00745893"/>
    <w:rsid w:val="00754227"/>
    <w:rsid w:val="007936D7"/>
    <w:rsid w:val="007B1271"/>
    <w:rsid w:val="007B239E"/>
    <w:rsid w:val="007B77DA"/>
    <w:rsid w:val="007C3229"/>
    <w:rsid w:val="007E43E7"/>
    <w:rsid w:val="00863C21"/>
    <w:rsid w:val="00891DE9"/>
    <w:rsid w:val="008A0C6F"/>
    <w:rsid w:val="008B7B13"/>
    <w:rsid w:val="008E7D69"/>
    <w:rsid w:val="0090724A"/>
    <w:rsid w:val="00926AB0"/>
    <w:rsid w:val="009445CC"/>
    <w:rsid w:val="00945243"/>
    <w:rsid w:val="0095558F"/>
    <w:rsid w:val="00964A38"/>
    <w:rsid w:val="00972258"/>
    <w:rsid w:val="009928F2"/>
    <w:rsid w:val="009A76ED"/>
    <w:rsid w:val="009B2747"/>
    <w:rsid w:val="009B72BC"/>
    <w:rsid w:val="009C0A75"/>
    <w:rsid w:val="009E11A3"/>
    <w:rsid w:val="009E3636"/>
    <w:rsid w:val="009E58E8"/>
    <w:rsid w:val="009F59C9"/>
    <w:rsid w:val="00A1333D"/>
    <w:rsid w:val="00A644BD"/>
    <w:rsid w:val="00A705C0"/>
    <w:rsid w:val="00AD0EFA"/>
    <w:rsid w:val="00B067FA"/>
    <w:rsid w:val="00B16A8A"/>
    <w:rsid w:val="00B33B4E"/>
    <w:rsid w:val="00B73200"/>
    <w:rsid w:val="00B75EB2"/>
    <w:rsid w:val="00B8405B"/>
    <w:rsid w:val="00B85B07"/>
    <w:rsid w:val="00B92DD7"/>
    <w:rsid w:val="00BB18CF"/>
    <w:rsid w:val="00BD7349"/>
    <w:rsid w:val="00BE18F4"/>
    <w:rsid w:val="00BF3011"/>
    <w:rsid w:val="00C1518C"/>
    <w:rsid w:val="00C3513F"/>
    <w:rsid w:val="00C428D0"/>
    <w:rsid w:val="00C90454"/>
    <w:rsid w:val="00CC1307"/>
    <w:rsid w:val="00CE3051"/>
    <w:rsid w:val="00CF45B9"/>
    <w:rsid w:val="00CF5AF3"/>
    <w:rsid w:val="00D021AD"/>
    <w:rsid w:val="00D02A0A"/>
    <w:rsid w:val="00D165BC"/>
    <w:rsid w:val="00D4640A"/>
    <w:rsid w:val="00D8040B"/>
    <w:rsid w:val="00D852C3"/>
    <w:rsid w:val="00DA4EDC"/>
    <w:rsid w:val="00DA6A09"/>
    <w:rsid w:val="00DB44F4"/>
    <w:rsid w:val="00DD7A4C"/>
    <w:rsid w:val="00DE0A11"/>
    <w:rsid w:val="00DF266A"/>
    <w:rsid w:val="00E239CB"/>
    <w:rsid w:val="00E3213E"/>
    <w:rsid w:val="00E403CD"/>
    <w:rsid w:val="00E74297"/>
    <w:rsid w:val="00E76F32"/>
    <w:rsid w:val="00EA07C4"/>
    <w:rsid w:val="00EC1BC4"/>
    <w:rsid w:val="00EF0DC5"/>
    <w:rsid w:val="00EF4229"/>
    <w:rsid w:val="00F52CDA"/>
    <w:rsid w:val="00F71B14"/>
    <w:rsid w:val="00F847A1"/>
    <w:rsid w:val="00FA15A2"/>
    <w:rsid w:val="00FB4202"/>
    <w:rsid w:val="00FB5B2B"/>
    <w:rsid w:val="00FD2F22"/>
    <w:rsid w:val="00FF37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552CD"/>
  <w15:chartTrackingRefBased/>
  <w15:docId w15:val="{44EC929C-3920-4CB1-8126-575ABC73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049"/>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6AB0"/>
    <w:pPr>
      <w:tabs>
        <w:tab w:val="center" w:pos="4252"/>
        <w:tab w:val="right" w:pos="8504"/>
      </w:tabs>
      <w:spacing w:after="0" w:line="240" w:lineRule="auto"/>
      <w:jc w:val="both"/>
    </w:pPr>
    <w:rPr>
      <w:rFonts w:ascii="Arial" w:eastAsia="Calibri" w:hAnsi="Arial" w:cs="Arial"/>
      <w:sz w:val="16"/>
      <w:szCs w:val="16"/>
      <w:lang w:eastAsia="es-ES_tradnl"/>
    </w:rPr>
  </w:style>
  <w:style w:type="character" w:customStyle="1" w:styleId="EncabezadoCar">
    <w:name w:val="Encabezado Car"/>
    <w:basedOn w:val="Fuentedeprrafopredeter"/>
    <w:link w:val="Encabezado"/>
    <w:uiPriority w:val="99"/>
    <w:rsid w:val="00926AB0"/>
    <w:rPr>
      <w:rFonts w:ascii="Arial" w:eastAsia="Calibri" w:hAnsi="Arial" w:cs="Arial"/>
      <w:kern w:val="0"/>
      <w:sz w:val="16"/>
      <w:szCs w:val="16"/>
      <w:lang w:eastAsia="es-ES_tradnl"/>
      <w14:ligatures w14:val="none"/>
    </w:rPr>
  </w:style>
  <w:style w:type="paragraph" w:styleId="Piedepgina">
    <w:name w:val="footer"/>
    <w:basedOn w:val="Normal"/>
    <w:link w:val="PiedepginaCar"/>
    <w:uiPriority w:val="99"/>
    <w:unhideWhenUsed/>
    <w:rsid w:val="00926AB0"/>
    <w:pPr>
      <w:tabs>
        <w:tab w:val="center" w:pos="4252"/>
        <w:tab w:val="right" w:pos="8504"/>
      </w:tabs>
      <w:spacing w:after="0" w:line="240" w:lineRule="auto"/>
      <w:jc w:val="both"/>
    </w:pPr>
    <w:rPr>
      <w:rFonts w:ascii="Arial" w:eastAsia="Calibri" w:hAnsi="Arial" w:cs="Arial"/>
      <w:sz w:val="16"/>
      <w:szCs w:val="16"/>
      <w:lang w:eastAsia="es-ES_tradnl"/>
    </w:rPr>
  </w:style>
  <w:style w:type="character" w:customStyle="1" w:styleId="PiedepginaCar">
    <w:name w:val="Pie de página Car"/>
    <w:basedOn w:val="Fuentedeprrafopredeter"/>
    <w:link w:val="Piedepgina"/>
    <w:uiPriority w:val="99"/>
    <w:rsid w:val="00926AB0"/>
    <w:rPr>
      <w:rFonts w:ascii="Arial" w:eastAsia="Calibri" w:hAnsi="Arial" w:cs="Arial"/>
      <w:kern w:val="0"/>
      <w:sz w:val="16"/>
      <w:szCs w:val="16"/>
      <w:lang w:eastAsia="es-ES_tradnl"/>
      <w14:ligatures w14:val="none"/>
    </w:rPr>
  </w:style>
  <w:style w:type="paragraph" w:customStyle="1" w:styleId="Textoindependiente21">
    <w:name w:val="Texto independiente 21"/>
    <w:basedOn w:val="Normal"/>
    <w:qFormat/>
    <w:rsid w:val="00926AB0"/>
    <w:pPr>
      <w:overflowPunct w:val="0"/>
      <w:autoSpaceDE w:val="0"/>
      <w:autoSpaceDN w:val="0"/>
      <w:adjustRightInd w:val="0"/>
      <w:spacing w:after="120" w:line="240" w:lineRule="auto"/>
      <w:ind w:left="283"/>
    </w:pPr>
    <w:rPr>
      <w:rFonts w:ascii="Arial" w:eastAsia="Times New Roman" w:hAnsi="Arial" w:cs="Times New Roman"/>
      <w:sz w:val="16"/>
      <w:szCs w:val="20"/>
      <w:lang w:val="es-ES_tradnl" w:eastAsia="es-ES"/>
    </w:rPr>
  </w:style>
  <w:style w:type="paragraph" w:styleId="Sinespaciado">
    <w:name w:val="No Spacing"/>
    <w:aliases w:val="Encabezado1"/>
    <w:link w:val="SinespaciadoCar"/>
    <w:autoRedefine/>
    <w:uiPriority w:val="1"/>
    <w:qFormat/>
    <w:rsid w:val="00032077"/>
    <w:pPr>
      <w:spacing w:after="240" w:line="240" w:lineRule="auto"/>
      <w:jc w:val="center"/>
    </w:pPr>
    <w:rPr>
      <w:rFonts w:ascii="Arial" w:eastAsia="Calibri" w:hAnsi="Arial" w:cs="Arial"/>
      <w:b/>
      <w:caps/>
      <w:color w:val="000000"/>
      <w:kern w:val="0"/>
      <w:sz w:val="24"/>
      <w:szCs w:val="16"/>
      <w:lang w:eastAsia="es-ES_tradnl"/>
      <w14:ligatures w14:val="none"/>
    </w:rPr>
  </w:style>
  <w:style w:type="character" w:customStyle="1" w:styleId="SinespaciadoCar">
    <w:name w:val="Sin espaciado Car"/>
    <w:aliases w:val="Encabezado1 Car"/>
    <w:link w:val="Sinespaciado"/>
    <w:uiPriority w:val="1"/>
    <w:rsid w:val="00032077"/>
    <w:rPr>
      <w:rFonts w:ascii="Arial" w:eastAsia="Calibri" w:hAnsi="Arial" w:cs="Arial"/>
      <w:b/>
      <w:caps/>
      <w:color w:val="000000"/>
      <w:kern w:val="0"/>
      <w:sz w:val="24"/>
      <w:szCs w:val="16"/>
      <w:lang w:eastAsia="es-ES_tradnl"/>
      <w14:ligatures w14:val="none"/>
    </w:rPr>
  </w:style>
  <w:style w:type="character" w:customStyle="1" w:styleId="normaltextrun">
    <w:name w:val="normaltextrun"/>
    <w:rsid w:val="00926AB0"/>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uiPriority w:val="99"/>
    <w:unhideWhenUsed/>
    <w:qFormat/>
    <w:rsid w:val="00926AB0"/>
    <w:pPr>
      <w:spacing w:after="0" w:line="240" w:lineRule="auto"/>
      <w:jc w:val="both"/>
    </w:pPr>
    <w:rPr>
      <w:rFonts w:ascii="Arial" w:eastAsia="Calibri" w:hAnsi="Arial" w:cs="Arial"/>
      <w:sz w:val="20"/>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926AB0"/>
    <w:rPr>
      <w:rFonts w:ascii="Arial" w:eastAsia="Calibri" w:hAnsi="Arial" w:cs="Arial"/>
      <w:kern w:val="0"/>
      <w:sz w:val="20"/>
      <w:szCs w:val="20"/>
      <w:lang w:eastAsia="es-ES_tradnl"/>
      <w14:ligatures w14:val="none"/>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basedOn w:val="Fuentedeprrafopredeter"/>
    <w:link w:val="4GChar"/>
    <w:unhideWhenUsed/>
    <w:qFormat/>
    <w:rsid w:val="00926AB0"/>
    <w:rPr>
      <w:vertAlign w:val="superscript"/>
    </w:rPr>
  </w:style>
  <w:style w:type="character" w:styleId="Hipervnculo">
    <w:name w:val="Hyperlink"/>
    <w:basedOn w:val="Fuentedeprrafopredeter"/>
    <w:uiPriority w:val="99"/>
    <w:unhideWhenUsed/>
    <w:rsid w:val="00DD7A4C"/>
    <w:rPr>
      <w:color w:val="0563C1" w:themeColor="hyperlink"/>
      <w:u w:val="single"/>
    </w:rPr>
  </w:style>
  <w:style w:type="table" w:customStyle="1" w:styleId="Tablaconcuadrcula1">
    <w:name w:val="Tabla con cuadrícula1"/>
    <w:basedOn w:val="Tablanormal"/>
    <w:next w:val="Tablaconcuadrcula"/>
    <w:uiPriority w:val="39"/>
    <w:rsid w:val="009B72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B7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5344A"/>
    <w:rPr>
      <w:color w:val="605E5C"/>
      <w:shd w:val="clear" w:color="auto" w:fill="E1DFDD"/>
    </w:rPr>
  </w:style>
  <w:style w:type="paragraph" w:styleId="NormalWeb">
    <w:name w:val="Normal (Web)"/>
    <w:basedOn w:val="Normal"/>
    <w:uiPriority w:val="99"/>
    <w:semiHidden/>
    <w:unhideWhenUsed/>
    <w:rsid w:val="0025344A"/>
    <w:rPr>
      <w:rFonts w:ascii="Times New Roman" w:hAnsi="Times New Roman" w:cs="Times New Roman"/>
      <w:sz w:val="24"/>
      <w:szCs w:val="24"/>
    </w:rPr>
  </w:style>
  <w:style w:type="character" w:customStyle="1" w:styleId="PrrafodelistaCar">
    <w:name w:val="Párrafo de lista Car"/>
    <w:link w:val="Prrafodelista"/>
    <w:uiPriority w:val="34"/>
    <w:qFormat/>
    <w:locked/>
    <w:rsid w:val="009445CC"/>
    <w:rPr>
      <w:rFonts w:ascii="Arial" w:eastAsia="Calibri" w:hAnsi="Arial" w:cs="Arial"/>
      <w:sz w:val="16"/>
      <w:szCs w:val="16"/>
      <w:lang w:eastAsia="es-ES_tradnl"/>
    </w:rPr>
  </w:style>
  <w:style w:type="paragraph" w:styleId="Prrafodelista">
    <w:name w:val="List Paragraph"/>
    <w:basedOn w:val="Normal"/>
    <w:link w:val="PrrafodelistaCar"/>
    <w:uiPriority w:val="34"/>
    <w:qFormat/>
    <w:rsid w:val="009445CC"/>
    <w:pPr>
      <w:spacing w:after="0" w:line="240" w:lineRule="auto"/>
      <w:ind w:left="720"/>
      <w:contextualSpacing/>
      <w:jc w:val="both"/>
    </w:pPr>
    <w:rPr>
      <w:rFonts w:ascii="Arial" w:eastAsia="Calibri" w:hAnsi="Arial" w:cs="Arial"/>
      <w:kern w:val="2"/>
      <w:sz w:val="16"/>
      <w:szCs w:val="16"/>
      <w:lang w:eastAsia="es-ES_tradnl"/>
      <w14:ligatures w14:val="standardContextua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22BDE"/>
    <w:pPr>
      <w:spacing w:after="0" w:line="240" w:lineRule="auto"/>
      <w:jc w:val="both"/>
    </w:pPr>
    <w:rPr>
      <w:kern w:val="2"/>
      <w:vertAlign w:val="superscript"/>
      <w14:ligatures w14:val="standardContextual"/>
    </w:rPr>
  </w:style>
  <w:style w:type="paragraph" w:styleId="Textodeglobo">
    <w:name w:val="Balloon Text"/>
    <w:basedOn w:val="Normal"/>
    <w:link w:val="TextodegloboCar"/>
    <w:uiPriority w:val="99"/>
    <w:semiHidden/>
    <w:unhideWhenUsed/>
    <w:rsid w:val="008A0C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0C6F"/>
    <w:rPr>
      <w:rFonts w:ascii="Segoe UI" w:hAnsi="Segoe UI" w:cs="Segoe UI"/>
      <w:kern w:val="0"/>
      <w:sz w:val="18"/>
      <w:szCs w:val="18"/>
      <w14:ligatures w14:val="none"/>
    </w:rPr>
  </w:style>
  <w:style w:type="character" w:styleId="Refdecomentario">
    <w:name w:val="annotation reference"/>
    <w:basedOn w:val="Fuentedeprrafopredeter"/>
    <w:uiPriority w:val="99"/>
    <w:semiHidden/>
    <w:unhideWhenUsed/>
    <w:rsid w:val="00705645"/>
    <w:rPr>
      <w:sz w:val="16"/>
      <w:szCs w:val="16"/>
    </w:rPr>
  </w:style>
  <w:style w:type="paragraph" w:styleId="Textocomentario">
    <w:name w:val="annotation text"/>
    <w:basedOn w:val="Normal"/>
    <w:link w:val="TextocomentarioCar"/>
    <w:uiPriority w:val="99"/>
    <w:semiHidden/>
    <w:unhideWhenUsed/>
    <w:rsid w:val="007056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5645"/>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705645"/>
    <w:rPr>
      <w:b/>
      <w:bCs/>
    </w:rPr>
  </w:style>
  <w:style w:type="character" w:customStyle="1" w:styleId="AsuntodelcomentarioCar">
    <w:name w:val="Asunto del comentario Car"/>
    <w:basedOn w:val="TextocomentarioCar"/>
    <w:link w:val="Asuntodelcomentario"/>
    <w:uiPriority w:val="99"/>
    <w:semiHidden/>
    <w:rsid w:val="00705645"/>
    <w:rPr>
      <w:b/>
      <w:bCs/>
      <w:kern w:val="0"/>
      <w:sz w:val="20"/>
      <w:szCs w:val="20"/>
      <w14:ligatures w14:val="none"/>
    </w:rPr>
  </w:style>
  <w:style w:type="paragraph" w:styleId="Revisin">
    <w:name w:val="Revision"/>
    <w:hidden/>
    <w:uiPriority w:val="99"/>
    <w:semiHidden/>
    <w:rsid w:val="0095558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5573">
      <w:bodyDiv w:val="1"/>
      <w:marLeft w:val="0"/>
      <w:marRight w:val="0"/>
      <w:marTop w:val="0"/>
      <w:marBottom w:val="0"/>
      <w:divBdr>
        <w:top w:val="none" w:sz="0" w:space="0" w:color="auto"/>
        <w:left w:val="none" w:sz="0" w:space="0" w:color="auto"/>
        <w:bottom w:val="none" w:sz="0" w:space="0" w:color="auto"/>
        <w:right w:val="none" w:sz="0" w:space="0" w:color="auto"/>
      </w:divBdr>
    </w:div>
    <w:div w:id="16279907">
      <w:bodyDiv w:val="1"/>
      <w:marLeft w:val="0"/>
      <w:marRight w:val="0"/>
      <w:marTop w:val="0"/>
      <w:marBottom w:val="0"/>
      <w:divBdr>
        <w:top w:val="none" w:sz="0" w:space="0" w:color="auto"/>
        <w:left w:val="none" w:sz="0" w:space="0" w:color="auto"/>
        <w:bottom w:val="none" w:sz="0" w:space="0" w:color="auto"/>
        <w:right w:val="none" w:sz="0" w:space="0" w:color="auto"/>
      </w:divBdr>
    </w:div>
    <w:div w:id="184056163">
      <w:bodyDiv w:val="1"/>
      <w:marLeft w:val="0"/>
      <w:marRight w:val="0"/>
      <w:marTop w:val="0"/>
      <w:marBottom w:val="0"/>
      <w:divBdr>
        <w:top w:val="none" w:sz="0" w:space="0" w:color="auto"/>
        <w:left w:val="none" w:sz="0" w:space="0" w:color="auto"/>
        <w:bottom w:val="none" w:sz="0" w:space="0" w:color="auto"/>
        <w:right w:val="none" w:sz="0" w:space="0" w:color="auto"/>
      </w:divBdr>
    </w:div>
    <w:div w:id="214968785">
      <w:bodyDiv w:val="1"/>
      <w:marLeft w:val="0"/>
      <w:marRight w:val="0"/>
      <w:marTop w:val="0"/>
      <w:marBottom w:val="0"/>
      <w:divBdr>
        <w:top w:val="none" w:sz="0" w:space="0" w:color="auto"/>
        <w:left w:val="none" w:sz="0" w:space="0" w:color="auto"/>
        <w:bottom w:val="none" w:sz="0" w:space="0" w:color="auto"/>
        <w:right w:val="none" w:sz="0" w:space="0" w:color="auto"/>
      </w:divBdr>
    </w:div>
    <w:div w:id="259727096">
      <w:bodyDiv w:val="1"/>
      <w:marLeft w:val="0"/>
      <w:marRight w:val="0"/>
      <w:marTop w:val="0"/>
      <w:marBottom w:val="0"/>
      <w:divBdr>
        <w:top w:val="none" w:sz="0" w:space="0" w:color="auto"/>
        <w:left w:val="none" w:sz="0" w:space="0" w:color="auto"/>
        <w:bottom w:val="none" w:sz="0" w:space="0" w:color="auto"/>
        <w:right w:val="none" w:sz="0" w:space="0" w:color="auto"/>
      </w:divBdr>
    </w:div>
    <w:div w:id="289438790">
      <w:bodyDiv w:val="1"/>
      <w:marLeft w:val="0"/>
      <w:marRight w:val="0"/>
      <w:marTop w:val="0"/>
      <w:marBottom w:val="0"/>
      <w:divBdr>
        <w:top w:val="none" w:sz="0" w:space="0" w:color="auto"/>
        <w:left w:val="none" w:sz="0" w:space="0" w:color="auto"/>
        <w:bottom w:val="none" w:sz="0" w:space="0" w:color="auto"/>
        <w:right w:val="none" w:sz="0" w:space="0" w:color="auto"/>
      </w:divBdr>
    </w:div>
    <w:div w:id="323901101">
      <w:bodyDiv w:val="1"/>
      <w:marLeft w:val="0"/>
      <w:marRight w:val="0"/>
      <w:marTop w:val="0"/>
      <w:marBottom w:val="0"/>
      <w:divBdr>
        <w:top w:val="none" w:sz="0" w:space="0" w:color="auto"/>
        <w:left w:val="none" w:sz="0" w:space="0" w:color="auto"/>
        <w:bottom w:val="none" w:sz="0" w:space="0" w:color="auto"/>
        <w:right w:val="none" w:sz="0" w:space="0" w:color="auto"/>
      </w:divBdr>
    </w:div>
    <w:div w:id="467169257">
      <w:bodyDiv w:val="1"/>
      <w:marLeft w:val="0"/>
      <w:marRight w:val="0"/>
      <w:marTop w:val="0"/>
      <w:marBottom w:val="0"/>
      <w:divBdr>
        <w:top w:val="none" w:sz="0" w:space="0" w:color="auto"/>
        <w:left w:val="none" w:sz="0" w:space="0" w:color="auto"/>
        <w:bottom w:val="none" w:sz="0" w:space="0" w:color="auto"/>
        <w:right w:val="none" w:sz="0" w:space="0" w:color="auto"/>
      </w:divBdr>
    </w:div>
    <w:div w:id="497620782">
      <w:bodyDiv w:val="1"/>
      <w:marLeft w:val="0"/>
      <w:marRight w:val="0"/>
      <w:marTop w:val="0"/>
      <w:marBottom w:val="0"/>
      <w:divBdr>
        <w:top w:val="none" w:sz="0" w:space="0" w:color="auto"/>
        <w:left w:val="none" w:sz="0" w:space="0" w:color="auto"/>
        <w:bottom w:val="none" w:sz="0" w:space="0" w:color="auto"/>
        <w:right w:val="none" w:sz="0" w:space="0" w:color="auto"/>
      </w:divBdr>
    </w:div>
    <w:div w:id="656883273">
      <w:bodyDiv w:val="1"/>
      <w:marLeft w:val="0"/>
      <w:marRight w:val="0"/>
      <w:marTop w:val="0"/>
      <w:marBottom w:val="0"/>
      <w:divBdr>
        <w:top w:val="none" w:sz="0" w:space="0" w:color="auto"/>
        <w:left w:val="none" w:sz="0" w:space="0" w:color="auto"/>
        <w:bottom w:val="none" w:sz="0" w:space="0" w:color="auto"/>
        <w:right w:val="none" w:sz="0" w:space="0" w:color="auto"/>
      </w:divBdr>
    </w:div>
    <w:div w:id="674041636">
      <w:bodyDiv w:val="1"/>
      <w:marLeft w:val="0"/>
      <w:marRight w:val="0"/>
      <w:marTop w:val="0"/>
      <w:marBottom w:val="0"/>
      <w:divBdr>
        <w:top w:val="none" w:sz="0" w:space="0" w:color="auto"/>
        <w:left w:val="none" w:sz="0" w:space="0" w:color="auto"/>
        <w:bottom w:val="none" w:sz="0" w:space="0" w:color="auto"/>
        <w:right w:val="none" w:sz="0" w:space="0" w:color="auto"/>
      </w:divBdr>
    </w:div>
    <w:div w:id="675880929">
      <w:bodyDiv w:val="1"/>
      <w:marLeft w:val="0"/>
      <w:marRight w:val="0"/>
      <w:marTop w:val="0"/>
      <w:marBottom w:val="0"/>
      <w:divBdr>
        <w:top w:val="none" w:sz="0" w:space="0" w:color="auto"/>
        <w:left w:val="none" w:sz="0" w:space="0" w:color="auto"/>
        <w:bottom w:val="none" w:sz="0" w:space="0" w:color="auto"/>
        <w:right w:val="none" w:sz="0" w:space="0" w:color="auto"/>
      </w:divBdr>
    </w:div>
    <w:div w:id="684524503">
      <w:bodyDiv w:val="1"/>
      <w:marLeft w:val="0"/>
      <w:marRight w:val="0"/>
      <w:marTop w:val="0"/>
      <w:marBottom w:val="0"/>
      <w:divBdr>
        <w:top w:val="none" w:sz="0" w:space="0" w:color="auto"/>
        <w:left w:val="none" w:sz="0" w:space="0" w:color="auto"/>
        <w:bottom w:val="none" w:sz="0" w:space="0" w:color="auto"/>
        <w:right w:val="none" w:sz="0" w:space="0" w:color="auto"/>
      </w:divBdr>
    </w:div>
    <w:div w:id="750657702">
      <w:bodyDiv w:val="1"/>
      <w:marLeft w:val="0"/>
      <w:marRight w:val="0"/>
      <w:marTop w:val="0"/>
      <w:marBottom w:val="0"/>
      <w:divBdr>
        <w:top w:val="none" w:sz="0" w:space="0" w:color="auto"/>
        <w:left w:val="none" w:sz="0" w:space="0" w:color="auto"/>
        <w:bottom w:val="none" w:sz="0" w:space="0" w:color="auto"/>
        <w:right w:val="none" w:sz="0" w:space="0" w:color="auto"/>
      </w:divBdr>
    </w:div>
    <w:div w:id="755829169">
      <w:bodyDiv w:val="1"/>
      <w:marLeft w:val="0"/>
      <w:marRight w:val="0"/>
      <w:marTop w:val="0"/>
      <w:marBottom w:val="0"/>
      <w:divBdr>
        <w:top w:val="none" w:sz="0" w:space="0" w:color="auto"/>
        <w:left w:val="none" w:sz="0" w:space="0" w:color="auto"/>
        <w:bottom w:val="none" w:sz="0" w:space="0" w:color="auto"/>
        <w:right w:val="none" w:sz="0" w:space="0" w:color="auto"/>
      </w:divBdr>
    </w:div>
    <w:div w:id="880476485">
      <w:bodyDiv w:val="1"/>
      <w:marLeft w:val="0"/>
      <w:marRight w:val="0"/>
      <w:marTop w:val="0"/>
      <w:marBottom w:val="0"/>
      <w:divBdr>
        <w:top w:val="none" w:sz="0" w:space="0" w:color="auto"/>
        <w:left w:val="none" w:sz="0" w:space="0" w:color="auto"/>
        <w:bottom w:val="none" w:sz="0" w:space="0" w:color="auto"/>
        <w:right w:val="none" w:sz="0" w:space="0" w:color="auto"/>
      </w:divBdr>
    </w:div>
    <w:div w:id="896547625">
      <w:bodyDiv w:val="1"/>
      <w:marLeft w:val="0"/>
      <w:marRight w:val="0"/>
      <w:marTop w:val="0"/>
      <w:marBottom w:val="0"/>
      <w:divBdr>
        <w:top w:val="none" w:sz="0" w:space="0" w:color="auto"/>
        <w:left w:val="none" w:sz="0" w:space="0" w:color="auto"/>
        <w:bottom w:val="none" w:sz="0" w:space="0" w:color="auto"/>
        <w:right w:val="none" w:sz="0" w:space="0" w:color="auto"/>
      </w:divBdr>
    </w:div>
    <w:div w:id="1015619166">
      <w:bodyDiv w:val="1"/>
      <w:marLeft w:val="0"/>
      <w:marRight w:val="0"/>
      <w:marTop w:val="0"/>
      <w:marBottom w:val="0"/>
      <w:divBdr>
        <w:top w:val="none" w:sz="0" w:space="0" w:color="auto"/>
        <w:left w:val="none" w:sz="0" w:space="0" w:color="auto"/>
        <w:bottom w:val="none" w:sz="0" w:space="0" w:color="auto"/>
        <w:right w:val="none" w:sz="0" w:space="0" w:color="auto"/>
      </w:divBdr>
    </w:div>
    <w:div w:id="1127504808">
      <w:bodyDiv w:val="1"/>
      <w:marLeft w:val="0"/>
      <w:marRight w:val="0"/>
      <w:marTop w:val="0"/>
      <w:marBottom w:val="0"/>
      <w:divBdr>
        <w:top w:val="none" w:sz="0" w:space="0" w:color="auto"/>
        <w:left w:val="none" w:sz="0" w:space="0" w:color="auto"/>
        <w:bottom w:val="none" w:sz="0" w:space="0" w:color="auto"/>
        <w:right w:val="none" w:sz="0" w:space="0" w:color="auto"/>
      </w:divBdr>
    </w:div>
    <w:div w:id="1219588702">
      <w:bodyDiv w:val="1"/>
      <w:marLeft w:val="0"/>
      <w:marRight w:val="0"/>
      <w:marTop w:val="0"/>
      <w:marBottom w:val="0"/>
      <w:divBdr>
        <w:top w:val="none" w:sz="0" w:space="0" w:color="auto"/>
        <w:left w:val="none" w:sz="0" w:space="0" w:color="auto"/>
        <w:bottom w:val="none" w:sz="0" w:space="0" w:color="auto"/>
        <w:right w:val="none" w:sz="0" w:space="0" w:color="auto"/>
      </w:divBdr>
    </w:div>
    <w:div w:id="1294486570">
      <w:bodyDiv w:val="1"/>
      <w:marLeft w:val="0"/>
      <w:marRight w:val="0"/>
      <w:marTop w:val="0"/>
      <w:marBottom w:val="0"/>
      <w:divBdr>
        <w:top w:val="none" w:sz="0" w:space="0" w:color="auto"/>
        <w:left w:val="none" w:sz="0" w:space="0" w:color="auto"/>
        <w:bottom w:val="none" w:sz="0" w:space="0" w:color="auto"/>
        <w:right w:val="none" w:sz="0" w:space="0" w:color="auto"/>
      </w:divBdr>
    </w:div>
    <w:div w:id="1343701532">
      <w:bodyDiv w:val="1"/>
      <w:marLeft w:val="0"/>
      <w:marRight w:val="0"/>
      <w:marTop w:val="0"/>
      <w:marBottom w:val="0"/>
      <w:divBdr>
        <w:top w:val="none" w:sz="0" w:space="0" w:color="auto"/>
        <w:left w:val="none" w:sz="0" w:space="0" w:color="auto"/>
        <w:bottom w:val="none" w:sz="0" w:space="0" w:color="auto"/>
        <w:right w:val="none" w:sz="0" w:space="0" w:color="auto"/>
      </w:divBdr>
    </w:div>
    <w:div w:id="1423332159">
      <w:bodyDiv w:val="1"/>
      <w:marLeft w:val="0"/>
      <w:marRight w:val="0"/>
      <w:marTop w:val="0"/>
      <w:marBottom w:val="0"/>
      <w:divBdr>
        <w:top w:val="none" w:sz="0" w:space="0" w:color="auto"/>
        <w:left w:val="none" w:sz="0" w:space="0" w:color="auto"/>
        <w:bottom w:val="none" w:sz="0" w:space="0" w:color="auto"/>
        <w:right w:val="none" w:sz="0" w:space="0" w:color="auto"/>
      </w:divBdr>
    </w:div>
    <w:div w:id="1450276042">
      <w:bodyDiv w:val="1"/>
      <w:marLeft w:val="0"/>
      <w:marRight w:val="0"/>
      <w:marTop w:val="0"/>
      <w:marBottom w:val="0"/>
      <w:divBdr>
        <w:top w:val="none" w:sz="0" w:space="0" w:color="auto"/>
        <w:left w:val="none" w:sz="0" w:space="0" w:color="auto"/>
        <w:bottom w:val="none" w:sz="0" w:space="0" w:color="auto"/>
        <w:right w:val="none" w:sz="0" w:space="0" w:color="auto"/>
      </w:divBdr>
    </w:div>
    <w:div w:id="1461266658">
      <w:bodyDiv w:val="1"/>
      <w:marLeft w:val="0"/>
      <w:marRight w:val="0"/>
      <w:marTop w:val="0"/>
      <w:marBottom w:val="0"/>
      <w:divBdr>
        <w:top w:val="none" w:sz="0" w:space="0" w:color="auto"/>
        <w:left w:val="none" w:sz="0" w:space="0" w:color="auto"/>
        <w:bottom w:val="none" w:sz="0" w:space="0" w:color="auto"/>
        <w:right w:val="none" w:sz="0" w:space="0" w:color="auto"/>
      </w:divBdr>
    </w:div>
    <w:div w:id="1503819367">
      <w:bodyDiv w:val="1"/>
      <w:marLeft w:val="0"/>
      <w:marRight w:val="0"/>
      <w:marTop w:val="0"/>
      <w:marBottom w:val="0"/>
      <w:divBdr>
        <w:top w:val="none" w:sz="0" w:space="0" w:color="auto"/>
        <w:left w:val="none" w:sz="0" w:space="0" w:color="auto"/>
        <w:bottom w:val="none" w:sz="0" w:space="0" w:color="auto"/>
        <w:right w:val="none" w:sz="0" w:space="0" w:color="auto"/>
      </w:divBdr>
    </w:div>
    <w:div w:id="1606838219">
      <w:bodyDiv w:val="1"/>
      <w:marLeft w:val="0"/>
      <w:marRight w:val="0"/>
      <w:marTop w:val="0"/>
      <w:marBottom w:val="0"/>
      <w:divBdr>
        <w:top w:val="none" w:sz="0" w:space="0" w:color="auto"/>
        <w:left w:val="none" w:sz="0" w:space="0" w:color="auto"/>
        <w:bottom w:val="none" w:sz="0" w:space="0" w:color="auto"/>
        <w:right w:val="none" w:sz="0" w:space="0" w:color="auto"/>
      </w:divBdr>
    </w:div>
    <w:div w:id="1702586597">
      <w:bodyDiv w:val="1"/>
      <w:marLeft w:val="0"/>
      <w:marRight w:val="0"/>
      <w:marTop w:val="0"/>
      <w:marBottom w:val="0"/>
      <w:divBdr>
        <w:top w:val="none" w:sz="0" w:space="0" w:color="auto"/>
        <w:left w:val="none" w:sz="0" w:space="0" w:color="auto"/>
        <w:bottom w:val="none" w:sz="0" w:space="0" w:color="auto"/>
        <w:right w:val="none" w:sz="0" w:space="0" w:color="auto"/>
      </w:divBdr>
    </w:div>
    <w:div w:id="1740589855">
      <w:bodyDiv w:val="1"/>
      <w:marLeft w:val="0"/>
      <w:marRight w:val="0"/>
      <w:marTop w:val="0"/>
      <w:marBottom w:val="0"/>
      <w:divBdr>
        <w:top w:val="none" w:sz="0" w:space="0" w:color="auto"/>
        <w:left w:val="none" w:sz="0" w:space="0" w:color="auto"/>
        <w:bottom w:val="none" w:sz="0" w:space="0" w:color="auto"/>
        <w:right w:val="none" w:sz="0" w:space="0" w:color="auto"/>
      </w:divBdr>
    </w:div>
    <w:div w:id="1780418100">
      <w:bodyDiv w:val="1"/>
      <w:marLeft w:val="0"/>
      <w:marRight w:val="0"/>
      <w:marTop w:val="0"/>
      <w:marBottom w:val="0"/>
      <w:divBdr>
        <w:top w:val="none" w:sz="0" w:space="0" w:color="auto"/>
        <w:left w:val="none" w:sz="0" w:space="0" w:color="auto"/>
        <w:bottom w:val="none" w:sz="0" w:space="0" w:color="auto"/>
        <w:right w:val="none" w:sz="0" w:space="0" w:color="auto"/>
      </w:divBdr>
    </w:div>
    <w:div w:id="1983652721">
      <w:bodyDiv w:val="1"/>
      <w:marLeft w:val="0"/>
      <w:marRight w:val="0"/>
      <w:marTop w:val="0"/>
      <w:marBottom w:val="0"/>
      <w:divBdr>
        <w:top w:val="none" w:sz="0" w:space="0" w:color="auto"/>
        <w:left w:val="none" w:sz="0" w:space="0" w:color="auto"/>
        <w:bottom w:val="none" w:sz="0" w:space="0" w:color="auto"/>
        <w:right w:val="none" w:sz="0" w:space="0" w:color="auto"/>
      </w:divBdr>
    </w:div>
    <w:div w:id="2071996057">
      <w:bodyDiv w:val="1"/>
      <w:marLeft w:val="0"/>
      <w:marRight w:val="0"/>
      <w:marTop w:val="0"/>
      <w:marBottom w:val="0"/>
      <w:divBdr>
        <w:top w:val="none" w:sz="0" w:space="0" w:color="auto"/>
        <w:left w:val="none" w:sz="0" w:space="0" w:color="auto"/>
        <w:bottom w:val="none" w:sz="0" w:space="0" w:color="auto"/>
        <w:right w:val="none" w:sz="0" w:space="0" w:color="auto"/>
      </w:divBdr>
    </w:div>
    <w:div w:id="20936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amajudicial.gov.co/documents/7227621/63321370/CJR22-0351.pdf/f571da2a-b553-4ff5-aa84-d76b7b1ccd5f" TargetMode="External"/><Relationship Id="rId1" Type="http://schemas.openxmlformats.org/officeDocument/2006/relationships/hyperlink" Target="https://www.ramajudicial.gov.co/documents/7227621/19224448/Cronograma+Convocatoria+27-20220512.pdf/e639d32f-4adf-497b-9ea1-63167f2e37b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A791E-6E4F-459A-881D-44FD0192CA3E}">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2.xml><?xml version="1.0" encoding="utf-8"?>
<ds:datastoreItem xmlns:ds="http://schemas.openxmlformats.org/officeDocument/2006/customXml" ds:itemID="{9185C239-B31D-4EE4-8D3E-AEB3D7BEB5F5}">
  <ds:schemaRefs>
    <ds:schemaRef ds:uri="http://schemas.microsoft.com/sharepoint/v3/contenttype/forms"/>
  </ds:schemaRefs>
</ds:datastoreItem>
</file>

<file path=customXml/itemProps3.xml><?xml version="1.0" encoding="utf-8"?>
<ds:datastoreItem xmlns:ds="http://schemas.openxmlformats.org/officeDocument/2006/customXml" ds:itemID="{F16D276B-65DD-41AD-B308-2548E5DBF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FEE10-B9EB-4B5C-85F1-ACB0249D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6906</Words>
  <Characters>37989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Del Mar Otero González</dc:creator>
  <cp:keywords/>
  <dc:description/>
  <cp:lastModifiedBy>Sonia Esther Jaimes Valencia</cp:lastModifiedBy>
  <cp:revision>2</cp:revision>
  <dcterms:created xsi:type="dcterms:W3CDTF">2023-03-17T18:14:00Z</dcterms:created>
  <dcterms:modified xsi:type="dcterms:W3CDTF">2023-03-17T18:14:00Z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