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013CD" w14:textId="2DE9564D" w:rsidR="000C5DB7" w:rsidRDefault="00661782" w:rsidP="00307995">
      <w:pPr>
        <w:pStyle w:val="Sinespaciado"/>
      </w:pPr>
      <w:bookmarkStart w:id="0" w:name="_GoBack"/>
      <w:bookmarkEnd w:id="0"/>
      <w:r>
        <w:t>m</w:t>
      </w:r>
      <w:r>
        <w:rPr>
          <w:caps w:val="0"/>
        </w:rPr>
        <w:t>agistrado ponente</w:t>
      </w:r>
      <w:r w:rsidR="000C5DB7" w:rsidRPr="000C5DB7">
        <w:t>: JAIME ENRIQUE RODRÍGUEZ NAVAS</w:t>
      </w:r>
    </w:p>
    <w:p w14:paraId="672A6659" w14:textId="77777777" w:rsidR="00F91B32" w:rsidRPr="000C5DB7" w:rsidRDefault="00F91B32" w:rsidP="000C5DB7">
      <w:pPr>
        <w:spacing w:line="276" w:lineRule="auto"/>
        <w:contextualSpacing/>
        <w:rPr>
          <w:b/>
          <w:bCs/>
          <w:sz w:val="24"/>
          <w:szCs w:val="24"/>
        </w:rPr>
      </w:pPr>
    </w:p>
    <w:p w14:paraId="3D6A4CBC" w14:textId="4AFFDF99" w:rsidR="000C5DB7" w:rsidRPr="00661782" w:rsidRDefault="0077624B" w:rsidP="000C5DB7">
      <w:pPr>
        <w:spacing w:line="276" w:lineRule="auto"/>
        <w:contextualSpacing/>
        <w:rPr>
          <w:b/>
          <w:sz w:val="24"/>
          <w:szCs w:val="24"/>
        </w:rPr>
      </w:pPr>
      <w:r w:rsidRPr="00661782">
        <w:rPr>
          <w:b/>
          <w:sz w:val="24"/>
          <w:szCs w:val="24"/>
        </w:rPr>
        <w:t>Bogotá D.C.,</w:t>
      </w:r>
      <w:r w:rsidR="005C726E" w:rsidRPr="00661782">
        <w:rPr>
          <w:b/>
          <w:sz w:val="24"/>
          <w:szCs w:val="24"/>
        </w:rPr>
        <w:t xml:space="preserve"> </w:t>
      </w:r>
      <w:r w:rsidR="00E00969" w:rsidRPr="00E00969">
        <w:rPr>
          <w:b/>
          <w:sz w:val="24"/>
          <w:szCs w:val="24"/>
        </w:rPr>
        <w:t>die</w:t>
      </w:r>
      <w:r w:rsidR="00F3403E">
        <w:rPr>
          <w:b/>
          <w:sz w:val="24"/>
          <w:szCs w:val="24"/>
        </w:rPr>
        <w:t xml:space="preserve">cinueve </w:t>
      </w:r>
      <w:r w:rsidR="003C3301" w:rsidRPr="003C3301">
        <w:rPr>
          <w:b/>
          <w:sz w:val="24"/>
          <w:szCs w:val="24"/>
        </w:rPr>
        <w:t>(</w:t>
      </w:r>
      <w:r w:rsidR="00E00969">
        <w:rPr>
          <w:b/>
          <w:sz w:val="24"/>
          <w:szCs w:val="24"/>
        </w:rPr>
        <w:t>1</w:t>
      </w:r>
      <w:r w:rsidR="00F3403E">
        <w:rPr>
          <w:b/>
          <w:sz w:val="24"/>
          <w:szCs w:val="24"/>
        </w:rPr>
        <w:t>9</w:t>
      </w:r>
      <w:r w:rsidR="003C3301" w:rsidRPr="003C3301">
        <w:rPr>
          <w:b/>
          <w:sz w:val="24"/>
          <w:szCs w:val="24"/>
        </w:rPr>
        <w:t xml:space="preserve">) de </w:t>
      </w:r>
      <w:r w:rsidR="00E00969">
        <w:rPr>
          <w:b/>
          <w:sz w:val="24"/>
          <w:szCs w:val="24"/>
        </w:rPr>
        <w:t>abril</w:t>
      </w:r>
      <w:r w:rsidR="003C3301" w:rsidRPr="003C3301">
        <w:rPr>
          <w:b/>
          <w:sz w:val="24"/>
          <w:szCs w:val="24"/>
        </w:rPr>
        <w:t xml:space="preserve"> de dos mil veintitrés (2023</w:t>
      </w:r>
      <w:r w:rsidR="00713822">
        <w:rPr>
          <w:b/>
          <w:sz w:val="24"/>
          <w:szCs w:val="24"/>
        </w:rPr>
        <w:t>)</w:t>
      </w:r>
    </w:p>
    <w:p w14:paraId="0A37501D" w14:textId="77777777" w:rsidR="00F91B32" w:rsidRPr="0036421B" w:rsidRDefault="00F91B32" w:rsidP="000C5DB7">
      <w:pPr>
        <w:spacing w:line="276" w:lineRule="auto"/>
        <w:contextualSpacing/>
        <w:rPr>
          <w:sz w:val="24"/>
          <w:szCs w:val="24"/>
        </w:rPr>
      </w:pPr>
    </w:p>
    <w:p w14:paraId="50388A2A" w14:textId="57F364E7" w:rsidR="008C41A7" w:rsidRDefault="0077624B" w:rsidP="008C41A7">
      <w:pPr>
        <w:tabs>
          <w:tab w:val="left" w:pos="1985"/>
        </w:tabs>
        <w:contextualSpacing/>
        <w:rPr>
          <w:bCs/>
          <w:sz w:val="24"/>
          <w:szCs w:val="24"/>
        </w:rPr>
      </w:pPr>
      <w:r w:rsidRPr="00987D75">
        <w:rPr>
          <w:b/>
          <w:sz w:val="24"/>
          <w:szCs w:val="24"/>
        </w:rPr>
        <w:t>Radica</w:t>
      </w:r>
      <w:r w:rsidR="00661782">
        <w:rPr>
          <w:b/>
          <w:sz w:val="24"/>
          <w:szCs w:val="24"/>
        </w:rPr>
        <w:t>do número:</w:t>
      </w:r>
      <w:r w:rsidR="00661782">
        <w:rPr>
          <w:b/>
          <w:sz w:val="24"/>
          <w:szCs w:val="24"/>
        </w:rPr>
        <w:tab/>
      </w:r>
      <w:r w:rsidRPr="00987D75">
        <w:rPr>
          <w:b/>
          <w:sz w:val="24"/>
          <w:szCs w:val="24"/>
        </w:rPr>
        <w:tab/>
      </w:r>
      <w:r w:rsidR="00F3403E" w:rsidRPr="00F3403E">
        <w:rPr>
          <w:bCs/>
          <w:sz w:val="24"/>
          <w:szCs w:val="24"/>
        </w:rPr>
        <w:t>11001</w:t>
      </w:r>
      <w:r w:rsidR="00F3403E">
        <w:rPr>
          <w:bCs/>
          <w:sz w:val="24"/>
          <w:szCs w:val="24"/>
        </w:rPr>
        <w:t>-</w:t>
      </w:r>
      <w:r w:rsidR="00F3403E" w:rsidRPr="00F3403E">
        <w:rPr>
          <w:bCs/>
          <w:sz w:val="24"/>
          <w:szCs w:val="24"/>
        </w:rPr>
        <w:t>03</w:t>
      </w:r>
      <w:r w:rsidR="00F3403E">
        <w:rPr>
          <w:bCs/>
          <w:sz w:val="24"/>
          <w:szCs w:val="24"/>
        </w:rPr>
        <w:t>-</w:t>
      </w:r>
      <w:r w:rsidR="00F3403E" w:rsidRPr="00F3403E">
        <w:rPr>
          <w:bCs/>
          <w:sz w:val="24"/>
          <w:szCs w:val="24"/>
        </w:rPr>
        <w:t>15</w:t>
      </w:r>
      <w:r w:rsidR="00F3403E">
        <w:rPr>
          <w:bCs/>
          <w:sz w:val="24"/>
          <w:szCs w:val="24"/>
        </w:rPr>
        <w:t>-</w:t>
      </w:r>
      <w:r w:rsidR="00F3403E" w:rsidRPr="00F3403E">
        <w:rPr>
          <w:bCs/>
          <w:sz w:val="24"/>
          <w:szCs w:val="24"/>
        </w:rPr>
        <w:t>000</w:t>
      </w:r>
      <w:r w:rsidR="00F3403E">
        <w:rPr>
          <w:bCs/>
          <w:sz w:val="24"/>
          <w:szCs w:val="24"/>
        </w:rPr>
        <w:t>-</w:t>
      </w:r>
      <w:r w:rsidR="00F3403E" w:rsidRPr="00F3403E">
        <w:rPr>
          <w:bCs/>
          <w:sz w:val="24"/>
          <w:szCs w:val="24"/>
        </w:rPr>
        <w:t>2023</w:t>
      </w:r>
      <w:r w:rsidR="00F3403E">
        <w:rPr>
          <w:bCs/>
          <w:sz w:val="24"/>
          <w:szCs w:val="24"/>
        </w:rPr>
        <w:t>-</w:t>
      </w:r>
      <w:r w:rsidR="00F3403E" w:rsidRPr="00F3403E">
        <w:rPr>
          <w:bCs/>
          <w:sz w:val="24"/>
          <w:szCs w:val="24"/>
        </w:rPr>
        <w:t>00276</w:t>
      </w:r>
      <w:r w:rsidR="00F3403E">
        <w:rPr>
          <w:bCs/>
          <w:sz w:val="24"/>
          <w:szCs w:val="24"/>
        </w:rPr>
        <w:t>-</w:t>
      </w:r>
      <w:r w:rsidR="00F3403E" w:rsidRPr="00F3403E">
        <w:rPr>
          <w:bCs/>
          <w:sz w:val="24"/>
          <w:szCs w:val="24"/>
        </w:rPr>
        <w:t>00</w:t>
      </w:r>
    </w:p>
    <w:p w14:paraId="20D8F6BB" w14:textId="4ADCFC95" w:rsidR="00661782" w:rsidRPr="00610925" w:rsidRDefault="0077624B" w:rsidP="008C41A7">
      <w:pPr>
        <w:tabs>
          <w:tab w:val="left" w:pos="1985"/>
        </w:tabs>
        <w:ind w:left="2820" w:hanging="2820"/>
        <w:contextualSpacing/>
        <w:rPr>
          <w:bCs/>
          <w:sz w:val="24"/>
          <w:szCs w:val="24"/>
        </w:rPr>
      </w:pPr>
      <w:r w:rsidRPr="00987D75">
        <w:rPr>
          <w:b/>
          <w:sz w:val="24"/>
          <w:szCs w:val="24"/>
        </w:rPr>
        <w:t>Accionante:</w:t>
      </w:r>
      <w:r w:rsidRPr="00987D75">
        <w:rPr>
          <w:b/>
          <w:sz w:val="24"/>
          <w:szCs w:val="24"/>
        </w:rPr>
        <w:tab/>
      </w:r>
      <w:r w:rsidR="00661782">
        <w:rPr>
          <w:b/>
          <w:sz w:val="24"/>
          <w:szCs w:val="24"/>
        </w:rPr>
        <w:tab/>
      </w:r>
      <w:r w:rsidR="008C41A7">
        <w:rPr>
          <w:b/>
          <w:sz w:val="24"/>
          <w:szCs w:val="24"/>
        </w:rPr>
        <w:tab/>
      </w:r>
      <w:r w:rsidR="00F3403E" w:rsidRPr="00F3403E">
        <w:rPr>
          <w:bCs/>
          <w:sz w:val="24"/>
          <w:szCs w:val="24"/>
        </w:rPr>
        <w:t>Nelson Julián Valencia Zamora</w:t>
      </w:r>
    </w:p>
    <w:p w14:paraId="4D9A2B37" w14:textId="79DDBE5D" w:rsidR="00661782" w:rsidRPr="00610925" w:rsidRDefault="0077624B" w:rsidP="00610925">
      <w:pPr>
        <w:tabs>
          <w:tab w:val="left" w:pos="1985"/>
        </w:tabs>
        <w:ind w:left="2820" w:hanging="2820"/>
        <w:contextualSpacing/>
        <w:rPr>
          <w:rFonts w:eastAsia="Times New Roman"/>
          <w:bCs/>
          <w:sz w:val="24"/>
          <w:szCs w:val="24"/>
        </w:rPr>
      </w:pPr>
      <w:r w:rsidRPr="00987D75">
        <w:rPr>
          <w:b/>
          <w:sz w:val="24"/>
          <w:szCs w:val="24"/>
        </w:rPr>
        <w:t>Accionado:</w:t>
      </w:r>
      <w:r w:rsidRPr="00987D75">
        <w:rPr>
          <w:b/>
          <w:sz w:val="24"/>
          <w:szCs w:val="24"/>
        </w:rPr>
        <w:tab/>
      </w:r>
      <w:r w:rsidR="00661782">
        <w:rPr>
          <w:b/>
          <w:sz w:val="24"/>
          <w:szCs w:val="24"/>
        </w:rPr>
        <w:tab/>
      </w:r>
      <w:r w:rsidR="00F3403E" w:rsidRPr="00F3403E">
        <w:rPr>
          <w:sz w:val="24"/>
          <w:szCs w:val="24"/>
        </w:rPr>
        <w:t>Consejo Superior de la Judicatura</w:t>
      </w:r>
    </w:p>
    <w:p w14:paraId="0098C36A" w14:textId="16EE40BC" w:rsidR="00661782" w:rsidRPr="00987D75" w:rsidRDefault="00661782" w:rsidP="00661782">
      <w:pPr>
        <w:ind w:left="1985" w:hanging="1985"/>
        <w:contextualSpacing/>
        <w:rPr>
          <w:b/>
          <w:sz w:val="24"/>
          <w:szCs w:val="24"/>
        </w:rPr>
      </w:pPr>
      <w:r w:rsidRPr="00987D75">
        <w:rPr>
          <w:b/>
          <w:sz w:val="24"/>
          <w:szCs w:val="24"/>
        </w:rPr>
        <w:t xml:space="preserve">Referencia: </w:t>
      </w:r>
      <w:r w:rsidRPr="00987D75">
        <w:rPr>
          <w:b/>
          <w:sz w:val="24"/>
          <w:szCs w:val="24"/>
        </w:rPr>
        <w:tab/>
      </w:r>
      <w:r>
        <w:rPr>
          <w:b/>
          <w:sz w:val="24"/>
          <w:szCs w:val="24"/>
        </w:rPr>
        <w:tab/>
      </w:r>
      <w:r>
        <w:rPr>
          <w:b/>
          <w:sz w:val="24"/>
          <w:szCs w:val="24"/>
        </w:rPr>
        <w:tab/>
      </w:r>
      <w:r w:rsidRPr="00987D75">
        <w:rPr>
          <w:sz w:val="24"/>
          <w:szCs w:val="24"/>
        </w:rPr>
        <w:t>Acción de tutela.</w:t>
      </w:r>
    </w:p>
    <w:p w14:paraId="5DAB6C7B" w14:textId="77777777" w:rsidR="000C5DB7" w:rsidRPr="000C5DB7" w:rsidRDefault="000C5DB7" w:rsidP="000C5DB7">
      <w:pPr>
        <w:tabs>
          <w:tab w:val="left" w:pos="8222"/>
        </w:tabs>
        <w:spacing w:line="276" w:lineRule="auto"/>
        <w:ind w:right="51"/>
        <w:contextualSpacing/>
        <w:rPr>
          <w:b/>
          <w:sz w:val="24"/>
          <w:szCs w:val="24"/>
        </w:rPr>
      </w:pPr>
    </w:p>
    <w:p w14:paraId="00E6F767" w14:textId="77777777" w:rsidR="000C5DB7" w:rsidRPr="000C5DB7" w:rsidRDefault="000B719D" w:rsidP="000C5DB7">
      <w:pPr>
        <w:pBdr>
          <w:bottom w:val="single" w:sz="12" w:space="0" w:color="auto"/>
        </w:pBdr>
        <w:spacing w:line="276" w:lineRule="auto"/>
        <w:ind w:left="2832" w:hanging="2832"/>
        <w:contextualSpacing/>
        <w:rPr>
          <w:b/>
          <w:sz w:val="24"/>
          <w:szCs w:val="24"/>
        </w:rPr>
      </w:pPr>
      <w:r>
        <w:rPr>
          <w:b/>
          <w:sz w:val="24"/>
          <w:szCs w:val="24"/>
        </w:rPr>
        <w:t xml:space="preserve">AUTO QUE </w:t>
      </w:r>
      <w:r w:rsidR="00382327">
        <w:rPr>
          <w:b/>
          <w:sz w:val="24"/>
          <w:szCs w:val="24"/>
        </w:rPr>
        <w:t>CONCEDE IMPUGNACI</w:t>
      </w:r>
      <w:r w:rsidR="00F75974">
        <w:rPr>
          <w:b/>
          <w:sz w:val="24"/>
          <w:szCs w:val="24"/>
        </w:rPr>
        <w:t>Ó</w:t>
      </w:r>
      <w:r w:rsidR="00382327">
        <w:rPr>
          <w:b/>
          <w:sz w:val="24"/>
          <w:szCs w:val="24"/>
        </w:rPr>
        <w:t xml:space="preserve">N </w:t>
      </w:r>
    </w:p>
    <w:p w14:paraId="0FB372F0" w14:textId="77777777" w:rsidR="00951490" w:rsidRDefault="00951490" w:rsidP="00610925">
      <w:pPr>
        <w:rPr>
          <w:sz w:val="24"/>
          <w:szCs w:val="24"/>
        </w:rPr>
      </w:pPr>
    </w:p>
    <w:p w14:paraId="74E74902" w14:textId="2AF2739E" w:rsidR="009D0CB8" w:rsidRDefault="00A03C26" w:rsidP="00610925">
      <w:pPr>
        <w:rPr>
          <w:sz w:val="24"/>
          <w:szCs w:val="24"/>
        </w:rPr>
      </w:pPr>
      <w:r>
        <w:rPr>
          <w:sz w:val="24"/>
          <w:szCs w:val="24"/>
        </w:rPr>
        <w:t>La parte accion</w:t>
      </w:r>
      <w:r w:rsidR="00E00969">
        <w:rPr>
          <w:sz w:val="24"/>
          <w:szCs w:val="24"/>
        </w:rPr>
        <w:t>ante</w:t>
      </w:r>
      <w:r w:rsidR="000259CF">
        <w:rPr>
          <w:sz w:val="24"/>
          <w:szCs w:val="24"/>
        </w:rPr>
        <w:t xml:space="preserve"> </w:t>
      </w:r>
      <w:r w:rsidR="004A24E0">
        <w:rPr>
          <w:sz w:val="24"/>
          <w:szCs w:val="24"/>
        </w:rPr>
        <w:t>presentó</w:t>
      </w:r>
      <w:r w:rsidR="00A57CD6">
        <w:rPr>
          <w:sz w:val="24"/>
          <w:szCs w:val="24"/>
        </w:rPr>
        <w:t xml:space="preserve"> el </w:t>
      </w:r>
      <w:r w:rsidR="00544E4C">
        <w:rPr>
          <w:sz w:val="24"/>
          <w:szCs w:val="24"/>
        </w:rPr>
        <w:t>12</w:t>
      </w:r>
      <w:r w:rsidR="006B6BCB">
        <w:rPr>
          <w:sz w:val="24"/>
          <w:szCs w:val="24"/>
        </w:rPr>
        <w:t xml:space="preserve"> de </w:t>
      </w:r>
      <w:r w:rsidR="00544E4C">
        <w:rPr>
          <w:sz w:val="24"/>
          <w:szCs w:val="24"/>
        </w:rPr>
        <w:t>abril</w:t>
      </w:r>
      <w:r w:rsidR="00DF0BF4">
        <w:rPr>
          <w:sz w:val="24"/>
          <w:szCs w:val="24"/>
        </w:rPr>
        <w:t xml:space="preserve"> </w:t>
      </w:r>
      <w:r w:rsidR="000259CF">
        <w:rPr>
          <w:sz w:val="24"/>
          <w:szCs w:val="24"/>
        </w:rPr>
        <w:t>de 202</w:t>
      </w:r>
      <w:r w:rsidR="003C3301">
        <w:rPr>
          <w:sz w:val="24"/>
          <w:szCs w:val="24"/>
        </w:rPr>
        <w:t>3</w:t>
      </w:r>
      <w:r w:rsidR="00D55E64">
        <w:rPr>
          <w:rStyle w:val="Refdenotaalpie"/>
          <w:sz w:val="24"/>
          <w:szCs w:val="24"/>
        </w:rPr>
        <w:footnoteReference w:id="1"/>
      </w:r>
      <w:r w:rsidR="00BD124C">
        <w:rPr>
          <w:sz w:val="24"/>
          <w:szCs w:val="24"/>
        </w:rPr>
        <w:t xml:space="preserve">, </w:t>
      </w:r>
      <w:r w:rsidR="004A24E0">
        <w:rPr>
          <w:sz w:val="24"/>
          <w:szCs w:val="24"/>
        </w:rPr>
        <w:t>escrito de impugnación en contra de la sentencia proferida por esta Subsección dentro del trámite de la referencia</w:t>
      </w:r>
      <w:r w:rsidR="00D55E64">
        <w:rPr>
          <w:sz w:val="24"/>
          <w:szCs w:val="24"/>
        </w:rPr>
        <w:t>,</w:t>
      </w:r>
      <w:r w:rsidR="004A24E0">
        <w:rPr>
          <w:sz w:val="24"/>
          <w:szCs w:val="24"/>
        </w:rPr>
        <w:t xml:space="preserve"> notific</w:t>
      </w:r>
      <w:r w:rsidR="00A57CD6">
        <w:rPr>
          <w:sz w:val="24"/>
          <w:szCs w:val="24"/>
        </w:rPr>
        <w:t xml:space="preserve">ada el </w:t>
      </w:r>
      <w:r w:rsidR="00544E4C">
        <w:rPr>
          <w:sz w:val="24"/>
          <w:szCs w:val="24"/>
        </w:rPr>
        <w:t>31</w:t>
      </w:r>
      <w:r w:rsidR="006B6BCB">
        <w:rPr>
          <w:sz w:val="24"/>
          <w:szCs w:val="24"/>
        </w:rPr>
        <w:t xml:space="preserve"> de </w:t>
      </w:r>
      <w:r w:rsidR="00472ED1">
        <w:rPr>
          <w:sz w:val="24"/>
          <w:szCs w:val="24"/>
        </w:rPr>
        <w:t>marzo</w:t>
      </w:r>
      <w:r w:rsidR="000259CF">
        <w:rPr>
          <w:sz w:val="24"/>
          <w:szCs w:val="24"/>
        </w:rPr>
        <w:t xml:space="preserve"> </w:t>
      </w:r>
      <w:r w:rsidR="004A24E0">
        <w:rPr>
          <w:sz w:val="24"/>
          <w:szCs w:val="24"/>
        </w:rPr>
        <w:t>del mismo año</w:t>
      </w:r>
      <w:r w:rsidR="00D55E64">
        <w:rPr>
          <w:rStyle w:val="Refdenotaalpie"/>
          <w:sz w:val="24"/>
          <w:szCs w:val="24"/>
        </w:rPr>
        <w:footnoteReference w:id="2"/>
      </w:r>
      <w:r w:rsidR="004A24E0">
        <w:rPr>
          <w:sz w:val="24"/>
          <w:szCs w:val="24"/>
        </w:rPr>
        <w:t>. Así las cosas, el Despacho encuentra que, de conformidad con lo dispuesto en los artículos 31</w:t>
      </w:r>
      <w:r w:rsidR="004A24E0">
        <w:rPr>
          <w:rStyle w:val="Refdenotaalpie"/>
          <w:sz w:val="24"/>
          <w:szCs w:val="24"/>
        </w:rPr>
        <w:footnoteReference w:id="3"/>
      </w:r>
      <w:r w:rsidR="004A24E0">
        <w:rPr>
          <w:sz w:val="24"/>
          <w:szCs w:val="24"/>
        </w:rPr>
        <w:t xml:space="preserve"> y 32</w:t>
      </w:r>
      <w:r w:rsidR="004A24E0">
        <w:rPr>
          <w:rStyle w:val="Refdenotaalpie"/>
          <w:sz w:val="24"/>
          <w:szCs w:val="24"/>
        </w:rPr>
        <w:footnoteReference w:id="4"/>
      </w:r>
      <w:r w:rsidR="004A24E0">
        <w:rPr>
          <w:sz w:val="24"/>
          <w:szCs w:val="24"/>
        </w:rPr>
        <w:t xml:space="preserve"> del Decreto 2591 de 1991, el mencionado escrito fue allegado oportunamente por quien está legitimado para ello y, por tanto, dispone </w:t>
      </w:r>
      <w:r w:rsidR="004A24E0" w:rsidRPr="2680A9D4">
        <w:rPr>
          <w:b/>
          <w:bCs/>
          <w:sz w:val="24"/>
          <w:szCs w:val="24"/>
        </w:rPr>
        <w:t>co</w:t>
      </w:r>
      <w:r w:rsidR="324FA6FB" w:rsidRPr="2680A9D4">
        <w:rPr>
          <w:b/>
          <w:bCs/>
          <w:sz w:val="24"/>
          <w:szCs w:val="24"/>
        </w:rPr>
        <w:t>n</w:t>
      </w:r>
      <w:r w:rsidR="004A24E0" w:rsidRPr="2680A9D4">
        <w:rPr>
          <w:b/>
          <w:bCs/>
          <w:sz w:val="24"/>
          <w:szCs w:val="24"/>
        </w:rPr>
        <w:t>ceder</w:t>
      </w:r>
      <w:r w:rsidR="004A24E0">
        <w:rPr>
          <w:sz w:val="24"/>
          <w:szCs w:val="24"/>
        </w:rPr>
        <w:t xml:space="preserve"> el trámite solicitado. </w:t>
      </w:r>
    </w:p>
    <w:p w14:paraId="6A05A809" w14:textId="77777777" w:rsidR="009D0CB8" w:rsidRDefault="009D0CB8" w:rsidP="00610925">
      <w:pPr>
        <w:rPr>
          <w:sz w:val="24"/>
          <w:szCs w:val="24"/>
        </w:rPr>
      </w:pPr>
    </w:p>
    <w:p w14:paraId="7EAC6B89" w14:textId="77777777" w:rsidR="00382327" w:rsidRPr="00CF649F" w:rsidRDefault="00382327" w:rsidP="00610925">
      <w:pPr>
        <w:rPr>
          <w:bCs/>
          <w:sz w:val="24"/>
          <w:szCs w:val="24"/>
        </w:rPr>
      </w:pPr>
      <w:r w:rsidRPr="00735B1A">
        <w:rPr>
          <w:sz w:val="24"/>
          <w:szCs w:val="24"/>
        </w:rPr>
        <w:t xml:space="preserve">En consecuencia, por Secretaría General y de </w:t>
      </w:r>
      <w:r w:rsidR="004735F1">
        <w:rPr>
          <w:sz w:val="24"/>
          <w:szCs w:val="24"/>
        </w:rPr>
        <w:t>acuerdo</w:t>
      </w:r>
      <w:r w:rsidRPr="00735B1A">
        <w:rPr>
          <w:sz w:val="24"/>
          <w:szCs w:val="24"/>
        </w:rPr>
        <w:t xml:space="preserve"> con lo previsto en el artículo 25 del Acuerdo 80 de 2019</w:t>
      </w:r>
      <w:r w:rsidRPr="00735B1A">
        <w:rPr>
          <w:sz w:val="24"/>
          <w:szCs w:val="24"/>
          <w:vertAlign w:val="superscript"/>
        </w:rPr>
        <w:footnoteReference w:id="5"/>
      </w:r>
      <w:r w:rsidRPr="00735B1A">
        <w:rPr>
          <w:sz w:val="24"/>
          <w:szCs w:val="24"/>
        </w:rPr>
        <w:t>, proferido por la Sala Plena del Consejo de Estado, </w:t>
      </w:r>
      <w:r w:rsidRPr="00735B1A">
        <w:rPr>
          <w:b/>
          <w:bCs/>
          <w:sz w:val="24"/>
          <w:szCs w:val="24"/>
        </w:rPr>
        <w:t>sométase</w:t>
      </w:r>
      <w:r>
        <w:rPr>
          <w:b/>
          <w:bCs/>
          <w:sz w:val="24"/>
          <w:szCs w:val="24"/>
        </w:rPr>
        <w:t xml:space="preserve"> a reparto </w:t>
      </w:r>
      <w:r>
        <w:rPr>
          <w:bCs/>
          <w:sz w:val="24"/>
          <w:szCs w:val="24"/>
        </w:rPr>
        <w:t xml:space="preserve">la impugnación, </w:t>
      </w:r>
      <w:r>
        <w:rPr>
          <w:b/>
          <w:bCs/>
          <w:sz w:val="24"/>
          <w:szCs w:val="24"/>
        </w:rPr>
        <w:t xml:space="preserve">comuníquese </w:t>
      </w:r>
      <w:r>
        <w:rPr>
          <w:bCs/>
          <w:sz w:val="24"/>
          <w:szCs w:val="24"/>
        </w:rPr>
        <w:t xml:space="preserve">a las partes y </w:t>
      </w:r>
      <w:r>
        <w:rPr>
          <w:b/>
          <w:bCs/>
          <w:sz w:val="24"/>
          <w:szCs w:val="24"/>
        </w:rPr>
        <w:t>remítase</w:t>
      </w:r>
      <w:r>
        <w:rPr>
          <w:bCs/>
          <w:sz w:val="24"/>
          <w:szCs w:val="24"/>
        </w:rPr>
        <w:t xml:space="preserve"> el expediente al despacho que corresponda.</w:t>
      </w:r>
    </w:p>
    <w:p w14:paraId="5A39BBE3" w14:textId="77777777" w:rsidR="00382327" w:rsidRPr="00735B1A" w:rsidRDefault="00382327" w:rsidP="00610925">
      <w:pPr>
        <w:rPr>
          <w:sz w:val="24"/>
          <w:szCs w:val="24"/>
          <w:lang w:val="es-ES_tradnl"/>
        </w:rPr>
      </w:pPr>
    </w:p>
    <w:p w14:paraId="60128827" w14:textId="67DFE5A8" w:rsidR="00382327" w:rsidRDefault="00382327" w:rsidP="00610925">
      <w:pPr>
        <w:rPr>
          <w:sz w:val="24"/>
          <w:szCs w:val="24"/>
          <w:lang w:val="es-ES_tradnl"/>
        </w:rPr>
      </w:pPr>
      <w:r w:rsidRPr="00735B1A">
        <w:rPr>
          <w:b/>
          <w:bCs/>
          <w:sz w:val="24"/>
          <w:szCs w:val="24"/>
        </w:rPr>
        <w:t>Notifíquese y cúmplase</w:t>
      </w:r>
      <w:r w:rsidRPr="00735B1A">
        <w:rPr>
          <w:sz w:val="24"/>
          <w:szCs w:val="24"/>
          <w:lang w:val="es-ES_tradnl"/>
        </w:rPr>
        <w:t> </w:t>
      </w:r>
    </w:p>
    <w:p w14:paraId="137A49B5" w14:textId="556A58E7" w:rsidR="00610925" w:rsidRDefault="00610925" w:rsidP="00610925">
      <w:pPr>
        <w:rPr>
          <w:sz w:val="24"/>
          <w:szCs w:val="24"/>
          <w:lang w:val="es-ES_tradnl"/>
        </w:rPr>
      </w:pPr>
    </w:p>
    <w:p w14:paraId="6BE17FF0" w14:textId="77777777" w:rsidR="00610925" w:rsidRPr="00735B1A" w:rsidRDefault="00610925" w:rsidP="00610925">
      <w:pPr>
        <w:rPr>
          <w:sz w:val="24"/>
          <w:szCs w:val="24"/>
          <w:lang w:val="es-ES_tradnl"/>
        </w:rPr>
      </w:pPr>
    </w:p>
    <w:p w14:paraId="12499F6D" w14:textId="77777777" w:rsidR="00382327" w:rsidRPr="00735B1A" w:rsidRDefault="00382327" w:rsidP="00610925">
      <w:pPr>
        <w:jc w:val="center"/>
        <w:rPr>
          <w:sz w:val="24"/>
          <w:szCs w:val="24"/>
          <w:lang w:val="es-ES_tradnl"/>
        </w:rPr>
      </w:pPr>
      <w:r w:rsidRPr="00735B1A">
        <w:rPr>
          <w:b/>
          <w:bCs/>
          <w:sz w:val="24"/>
          <w:szCs w:val="24"/>
        </w:rPr>
        <w:t>JAIME ENRIQUE RODRÍGUEZ NAVAS</w:t>
      </w:r>
    </w:p>
    <w:p w14:paraId="0B0A7C23" w14:textId="7B5AAB9E" w:rsidR="00610925" w:rsidRDefault="00382327" w:rsidP="00610925">
      <w:pPr>
        <w:jc w:val="center"/>
        <w:rPr>
          <w:b/>
          <w:bCs/>
          <w:sz w:val="24"/>
          <w:szCs w:val="24"/>
        </w:rPr>
      </w:pPr>
      <w:r w:rsidRPr="00735B1A">
        <w:rPr>
          <w:b/>
          <w:bCs/>
          <w:sz w:val="24"/>
          <w:szCs w:val="24"/>
        </w:rPr>
        <w:t>Magistrado</w:t>
      </w:r>
    </w:p>
    <w:p w14:paraId="6076BA77" w14:textId="6A15C4CD" w:rsidR="00BB6AA3" w:rsidRPr="00BB6AA3" w:rsidRDefault="00BB6AA3" w:rsidP="00BB6AA3">
      <w:pPr>
        <w:jc w:val="left"/>
      </w:pPr>
      <w:r>
        <w:t xml:space="preserve"> </w:t>
      </w:r>
      <w:proofErr w:type="spellStart"/>
      <w:r>
        <w:t>C</w:t>
      </w:r>
      <w:r w:rsidRPr="00BB6AA3">
        <w:t>fiv</w:t>
      </w:r>
      <w:proofErr w:type="spellEnd"/>
    </w:p>
    <w:sectPr w:rsidR="00BB6AA3" w:rsidRPr="00BB6AA3" w:rsidSect="00661782">
      <w:headerReference w:type="default" r:id="rId11"/>
      <w:footerReference w:type="default" r:id="rId12"/>
      <w:headerReference w:type="first" r:id="rId13"/>
      <w:footerReference w:type="first" r:id="rId14"/>
      <w:pgSz w:w="12242" w:h="18722" w:code="14"/>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2895" w14:textId="77777777" w:rsidR="00ED226C" w:rsidRDefault="00ED226C" w:rsidP="00117091">
      <w:r>
        <w:separator/>
      </w:r>
    </w:p>
  </w:endnote>
  <w:endnote w:type="continuationSeparator" w:id="0">
    <w:p w14:paraId="24C188FB" w14:textId="77777777" w:rsidR="00ED226C" w:rsidRDefault="00ED226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3E376" w14:textId="77777777" w:rsidR="00650284" w:rsidRPr="008C0DBE" w:rsidRDefault="00650284" w:rsidP="00394A69">
    <w:pPr>
      <w:pStyle w:val="Piedepgina"/>
      <w:jc w:val="center"/>
      <w:rPr>
        <w:color w:val="767171"/>
        <w:sz w:val="20"/>
        <w:szCs w:val="20"/>
      </w:rPr>
    </w:pPr>
    <w:r w:rsidRPr="008C0DBE">
      <w:rPr>
        <w:color w:val="767171"/>
        <w:sz w:val="20"/>
        <w:szCs w:val="20"/>
      </w:rPr>
      <w:t>Calle 12 No. 7-65 – Tel: (57-1) 350-6700 – Bogotá D.C. – Colombia</w:t>
    </w:r>
  </w:p>
  <w:p w14:paraId="4007CEC6" w14:textId="77777777" w:rsidR="00650284" w:rsidRDefault="00650284" w:rsidP="00394A69">
    <w:pPr>
      <w:pStyle w:val="Piedepgina"/>
      <w:jc w:val="center"/>
      <w:rPr>
        <w:color w:val="767171"/>
        <w:sz w:val="20"/>
        <w:szCs w:val="20"/>
      </w:rPr>
    </w:pPr>
    <w:r w:rsidRPr="008C0DBE">
      <w:rPr>
        <w:color w:val="767171"/>
        <w:sz w:val="20"/>
        <w:szCs w:val="20"/>
      </w:rPr>
      <w:t>www.consejodeestado.gov.co</w:t>
    </w:r>
  </w:p>
  <w:p w14:paraId="62486C05" w14:textId="77777777" w:rsidR="00650284" w:rsidRPr="008C0DBE" w:rsidRDefault="00650284"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FF49" w14:textId="77777777" w:rsidR="00650284" w:rsidRPr="008C0DBE" w:rsidRDefault="00650284" w:rsidP="00F91B32">
    <w:pPr>
      <w:pStyle w:val="Piedepgina"/>
      <w:jc w:val="center"/>
      <w:rPr>
        <w:color w:val="767171"/>
        <w:sz w:val="20"/>
        <w:szCs w:val="20"/>
      </w:rPr>
    </w:pPr>
    <w:r w:rsidRPr="008C0DBE">
      <w:rPr>
        <w:color w:val="767171"/>
        <w:sz w:val="20"/>
        <w:szCs w:val="20"/>
      </w:rPr>
      <w:t>Calle 12 No. 7-65 – Tel: (57-1) 350-6700 – Bogotá D.C. – Colombia</w:t>
    </w:r>
  </w:p>
  <w:p w14:paraId="1601DE47" w14:textId="77777777" w:rsidR="00650284" w:rsidRPr="008C0DBE" w:rsidRDefault="00650284" w:rsidP="00F91B32">
    <w:pPr>
      <w:pStyle w:val="Piedepgina"/>
      <w:jc w:val="center"/>
      <w:rPr>
        <w:color w:val="767171"/>
        <w:sz w:val="20"/>
        <w:szCs w:val="20"/>
      </w:rPr>
    </w:pPr>
    <w:r w:rsidRPr="008C0DBE">
      <w:rPr>
        <w:color w:val="767171"/>
        <w:sz w:val="20"/>
        <w:szCs w:val="20"/>
      </w:rPr>
      <w:t>www.consejodeestado.gov.co</w:t>
    </w:r>
  </w:p>
  <w:p w14:paraId="45FB0818" w14:textId="77777777" w:rsidR="00650284" w:rsidRDefault="006502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66DB" w14:textId="77777777" w:rsidR="00ED226C" w:rsidRDefault="00ED226C" w:rsidP="00117091">
      <w:r>
        <w:separator/>
      </w:r>
    </w:p>
  </w:footnote>
  <w:footnote w:type="continuationSeparator" w:id="0">
    <w:p w14:paraId="391AA6CE" w14:textId="77777777" w:rsidR="00ED226C" w:rsidRDefault="00ED226C" w:rsidP="00117091">
      <w:r>
        <w:continuationSeparator/>
      </w:r>
    </w:p>
  </w:footnote>
  <w:footnote w:id="1">
    <w:p w14:paraId="798841AA" w14:textId="7C6C9E00" w:rsidR="00D55E64" w:rsidRPr="00694962" w:rsidRDefault="00D55E64">
      <w:pPr>
        <w:pStyle w:val="Textonotapie"/>
      </w:pPr>
      <w:r>
        <w:rPr>
          <w:rStyle w:val="Refdenotaalpie"/>
        </w:rPr>
        <w:footnoteRef/>
      </w:r>
      <w:r>
        <w:t xml:space="preserve"> Archivo </w:t>
      </w:r>
      <w:r w:rsidR="005C4AB9">
        <w:t>electrónico</w:t>
      </w:r>
      <w:r w:rsidR="003A38B0">
        <w:t xml:space="preserve"> ubicado </w:t>
      </w:r>
      <w:r w:rsidR="006B6BCB">
        <w:t xml:space="preserve">en el índice </w:t>
      </w:r>
      <w:r w:rsidR="00544E4C">
        <w:t>41</w:t>
      </w:r>
      <w:r w:rsidR="006B6BCB">
        <w:t xml:space="preserve"> </w:t>
      </w:r>
      <w:r w:rsidR="003A38B0">
        <w:t>del aplicativo SAMAI</w:t>
      </w:r>
      <w:r>
        <w:t xml:space="preserve">. Escrito de impugnación remitido a este </w:t>
      </w:r>
      <w:r w:rsidRPr="00694962">
        <w:t>Despacho e</w:t>
      </w:r>
      <w:r w:rsidR="006B6BCB">
        <w:t xml:space="preserve">l </w:t>
      </w:r>
      <w:r w:rsidR="00544E4C">
        <w:t>19</w:t>
      </w:r>
      <w:r w:rsidR="00E00969" w:rsidRPr="00E00969">
        <w:t xml:space="preserve"> </w:t>
      </w:r>
      <w:r w:rsidR="006B6BCB" w:rsidRPr="00EB199D">
        <w:rPr>
          <w:color w:val="000000" w:themeColor="text1"/>
        </w:rPr>
        <w:t xml:space="preserve">de </w:t>
      </w:r>
      <w:r w:rsidR="00E00969">
        <w:rPr>
          <w:color w:val="000000" w:themeColor="text1"/>
        </w:rPr>
        <w:t>abril</w:t>
      </w:r>
      <w:r w:rsidR="00472ED1">
        <w:rPr>
          <w:color w:val="000000" w:themeColor="text1"/>
        </w:rPr>
        <w:t xml:space="preserve"> </w:t>
      </w:r>
      <w:r w:rsidR="00694962" w:rsidRPr="00EB199D">
        <w:rPr>
          <w:color w:val="000000" w:themeColor="text1"/>
        </w:rPr>
        <w:t>de 202</w:t>
      </w:r>
      <w:r w:rsidR="003C3301">
        <w:rPr>
          <w:color w:val="000000" w:themeColor="text1"/>
        </w:rPr>
        <w:t>3</w:t>
      </w:r>
      <w:r w:rsidRPr="00EB199D">
        <w:rPr>
          <w:color w:val="000000" w:themeColor="text1"/>
        </w:rPr>
        <w:t xml:space="preserve">. </w:t>
      </w:r>
      <w:r w:rsidRPr="00694962">
        <w:t>Archivo electrónico que contiene el paso al Despacho,</w:t>
      </w:r>
      <w:r w:rsidR="003A38B0">
        <w:t xml:space="preserve"> ubicado en el índice </w:t>
      </w:r>
      <w:r w:rsidR="00544E4C">
        <w:t>42</w:t>
      </w:r>
      <w:r w:rsidR="003A38B0">
        <w:t xml:space="preserve"> del aplicativo SAMAI</w:t>
      </w:r>
      <w:r w:rsidR="005C4AB9" w:rsidRPr="005C4AB9">
        <w:rPr>
          <w:rFonts w:ascii="Segoe UI" w:hAnsi="Segoe UI" w:cs="Segoe UI"/>
          <w:shd w:val="clear" w:color="auto" w:fill="FFFFFF"/>
        </w:rPr>
        <w:t>.</w:t>
      </w:r>
    </w:p>
  </w:footnote>
  <w:footnote w:id="2">
    <w:p w14:paraId="3DEE11AA" w14:textId="2F829479" w:rsidR="00D55E64" w:rsidRDefault="00D55E64">
      <w:pPr>
        <w:pStyle w:val="Textonotapie"/>
      </w:pPr>
      <w:r>
        <w:rPr>
          <w:rStyle w:val="Refdenotaalpie"/>
        </w:rPr>
        <w:footnoteRef/>
      </w:r>
      <w:r>
        <w:t xml:space="preserve"> Archivos electrónicos</w:t>
      </w:r>
      <w:r w:rsidR="003A38B0">
        <w:t xml:space="preserve"> ubicados </w:t>
      </w:r>
      <w:r w:rsidR="006B6BCB">
        <w:t>l</w:t>
      </w:r>
      <w:r w:rsidR="00B4769D">
        <w:t>os</w:t>
      </w:r>
      <w:r w:rsidR="006B6BCB">
        <w:t xml:space="preserve"> índice</w:t>
      </w:r>
      <w:r w:rsidR="00B4769D">
        <w:t>s</w:t>
      </w:r>
      <w:r w:rsidR="006B6BCB">
        <w:t xml:space="preserve"> </w:t>
      </w:r>
      <w:r w:rsidR="00544E4C">
        <w:t>37,38 y 40</w:t>
      </w:r>
      <w:r w:rsidR="006B6BCB">
        <w:t xml:space="preserve"> d</w:t>
      </w:r>
      <w:r w:rsidR="003A38B0">
        <w:t>el aplicativo SAMAI</w:t>
      </w:r>
      <w:r w:rsidR="005C726E">
        <w:t>.</w:t>
      </w:r>
    </w:p>
  </w:footnote>
  <w:footnote w:id="3">
    <w:p w14:paraId="149D0EE6" w14:textId="1C13810E" w:rsidR="00650284" w:rsidRPr="00BB6AA3" w:rsidRDefault="00650284" w:rsidP="004A24E0">
      <w:pPr>
        <w:rPr>
          <w:rFonts w:ascii="Times New Roman" w:eastAsia="Times New Roman" w:hAnsi="Times New Roman" w:cs="Times New Roman"/>
          <w:color w:val="000000"/>
          <w:lang w:eastAsia="en-US"/>
        </w:rPr>
      </w:pPr>
      <w:r w:rsidRPr="00A929E3">
        <w:rPr>
          <w:rStyle w:val="Refdenotaalpie"/>
        </w:rPr>
        <w:footnoteRef/>
      </w:r>
      <w:r w:rsidRPr="00A929E3">
        <w:t xml:space="preserve"> </w:t>
      </w:r>
      <w:r w:rsidRPr="00A929E3">
        <w:rPr>
          <w:rFonts w:eastAsia="Times New Roman"/>
          <w:color w:val="000000"/>
          <w:lang w:val="en-US" w:eastAsia="en-US"/>
        </w:rPr>
        <w:t>ARTÍCULO 31. “</w:t>
      </w:r>
      <w:r w:rsidRPr="00A929E3">
        <w:rPr>
          <w:rFonts w:eastAsia="Times New Roman"/>
          <w:color w:val="000000"/>
          <w:lang w:val="es-MX" w:eastAsia="en-US"/>
        </w:rPr>
        <w:t>I</w:t>
      </w:r>
      <w:r w:rsidRPr="00A929E3">
        <w:rPr>
          <w:rFonts w:eastAsia="Times New Roman"/>
          <w:color w:val="000000"/>
          <w:lang w:val="en-US" w:eastAsia="en-US"/>
        </w:rPr>
        <w:t>mpugnaci</w:t>
      </w:r>
      <w:r w:rsidR="00D55E64">
        <w:rPr>
          <w:rFonts w:eastAsia="Times New Roman"/>
          <w:color w:val="000000"/>
          <w:lang w:val="en-US" w:eastAsia="en-US"/>
        </w:rPr>
        <w:t>ó</w:t>
      </w:r>
      <w:r w:rsidRPr="00A929E3">
        <w:rPr>
          <w:rFonts w:eastAsia="Times New Roman"/>
          <w:color w:val="000000"/>
          <w:lang w:val="en-US" w:eastAsia="en-US"/>
        </w:rPr>
        <w:t xml:space="preserve">n del fallo. Dentro de los </w:t>
      </w:r>
      <w:r w:rsidRPr="00BB6AA3">
        <w:rPr>
          <w:rFonts w:eastAsia="Times New Roman"/>
          <w:color w:val="000000"/>
          <w:lang w:eastAsia="en-US"/>
        </w:rPr>
        <w:t>tres días siguientes a su notificación el fallo podrá ser impugnado por el Defensor del Pueblo, el solicitante, la autoridad pública o el representante del órgano correspondiente, sin perjuicio de su cumplimiento inmediato”.</w:t>
      </w:r>
    </w:p>
  </w:footnote>
  <w:footnote w:id="4">
    <w:p w14:paraId="789F905D" w14:textId="378DF327" w:rsidR="00650284" w:rsidRPr="00BB6AA3" w:rsidRDefault="00650284" w:rsidP="00A929E3">
      <w:pPr>
        <w:rPr>
          <w:rFonts w:ascii="Times New Roman" w:eastAsia="Times New Roman" w:hAnsi="Times New Roman" w:cs="Times New Roman"/>
          <w:color w:val="000000"/>
          <w:lang w:eastAsia="en-US"/>
        </w:rPr>
      </w:pPr>
      <w:r w:rsidRPr="00BB6AA3">
        <w:rPr>
          <w:rStyle w:val="Refdenotaalpie"/>
        </w:rPr>
        <w:footnoteRef/>
      </w:r>
      <w:r w:rsidRPr="00BB6AA3">
        <w:t xml:space="preserve"> </w:t>
      </w:r>
      <w:r w:rsidRPr="00BB6AA3">
        <w:rPr>
          <w:rFonts w:eastAsia="Times New Roman"/>
          <w:color w:val="000000"/>
          <w:lang w:eastAsia="en-US"/>
        </w:rPr>
        <w:t>ARTÍCULO 32. “Tr</w:t>
      </w:r>
      <w:r w:rsidR="00D55E64" w:rsidRPr="00BB6AA3">
        <w:rPr>
          <w:rFonts w:eastAsia="Times New Roman"/>
          <w:color w:val="000000"/>
          <w:lang w:eastAsia="en-US"/>
        </w:rPr>
        <w:t>á</w:t>
      </w:r>
      <w:r w:rsidRPr="00BB6AA3">
        <w:rPr>
          <w:rFonts w:eastAsia="Times New Roman"/>
          <w:color w:val="000000"/>
          <w:lang w:eastAsia="en-US"/>
        </w:rPr>
        <w:t>mite de la impugnaci</w:t>
      </w:r>
      <w:r w:rsidR="00D55E64" w:rsidRPr="00BB6AA3">
        <w:rPr>
          <w:rFonts w:eastAsia="Times New Roman"/>
          <w:color w:val="000000"/>
          <w:lang w:eastAsia="en-US"/>
        </w:rPr>
        <w:t>ó</w:t>
      </w:r>
      <w:r w:rsidRPr="00BB6AA3">
        <w:rPr>
          <w:rFonts w:eastAsia="Times New Roman"/>
          <w:color w:val="000000"/>
          <w:lang w:eastAsia="en-US"/>
        </w:rPr>
        <w:t>n. Presentada debidamente la impugnación el juez remitirá el expediente dentro de los dos días siguientes al superior jerárquico correspondiente”.</w:t>
      </w:r>
    </w:p>
  </w:footnote>
  <w:footnote w:id="5">
    <w:p w14:paraId="36CE1C55" w14:textId="77777777" w:rsidR="00650284" w:rsidRPr="007C423F" w:rsidRDefault="00650284" w:rsidP="00382327">
      <w:pPr>
        <w:pStyle w:val="Textonotapie"/>
        <w:rPr>
          <w:szCs w:val="16"/>
        </w:rPr>
      </w:pPr>
      <w:r w:rsidRPr="007C423F">
        <w:rPr>
          <w:rStyle w:val="Refdenotaalpie"/>
          <w:szCs w:val="16"/>
        </w:rPr>
        <w:footnoteRef/>
      </w:r>
      <w:r w:rsidRPr="007C423F">
        <w:rPr>
          <w:szCs w:val="16"/>
        </w:rPr>
        <w:t xml:space="preserve"> 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55689CB" w14:textId="77777777" w:rsidR="00650284" w:rsidRPr="007C423F" w:rsidRDefault="00650284" w:rsidP="00382327">
      <w:pPr>
        <w:pStyle w:val="Textonotapie"/>
        <w:rPr>
          <w:szCs w:val="16"/>
        </w:rPr>
      </w:pPr>
      <w:r w:rsidRPr="007C423F">
        <w:rPr>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2055EC0B" w14:textId="1B4D1E2B" w:rsidR="0058030A" w:rsidRPr="0058030A" w:rsidRDefault="00650284" w:rsidP="00382327">
      <w:pPr>
        <w:pStyle w:val="Textonotapie"/>
        <w:rPr>
          <w:szCs w:val="16"/>
        </w:rPr>
      </w:pPr>
      <w:r w:rsidRPr="00B22A09">
        <w:rPr>
          <w:color w:val="000000"/>
          <w:szCs w:val="16"/>
        </w:rPr>
        <w:t>PARÁGRAFO.</w:t>
      </w:r>
      <w:r w:rsidRPr="007C423F">
        <w:rPr>
          <w:szCs w:val="16"/>
        </w:rPr>
        <w:t xml:space="preserve">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777777" w:rsidR="00650284" w:rsidRPr="00A15ACE" w:rsidRDefault="00DE5690">
    <w:pPr>
      <w:pStyle w:val="Encabezado"/>
    </w:pPr>
    <w:r>
      <w:rPr>
        <w:noProof/>
      </w:rPr>
      <w:drawing>
        <wp:anchor distT="0" distB="0" distL="114300" distR="114300" simplePos="0" relativeHeight="251657728" behindDoc="0" locked="0" layoutInCell="1" allowOverlap="1" wp14:anchorId="726BC2E8"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652C" w14:textId="77777777" w:rsidR="00650284" w:rsidRPr="00A15ACE" w:rsidRDefault="00650284">
    <w:pPr>
      <w:pStyle w:val="Encabezado"/>
    </w:pPr>
  </w:p>
  <w:p w14:paraId="4B90DC7A" w14:textId="77777777" w:rsidR="00650284" w:rsidRPr="00A15ACE" w:rsidRDefault="00DE5690">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0F0E7915"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6C6DAE33">
            <v:shapetype id="_x0000_t32" coordsize="21600,21600" o:oned="t" filled="f" o:spt="32" path="m,l21600,21600e" w14:anchorId="00BE8C19">
              <v:path fillok="f" arrowok="t" o:connecttype="none"/>
              <o:lock v:ext="edit" shapetype="t"/>
            </v:shapetype>
            <v:shape id="AutoShape 3"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Dwtw8O0AEAAIsDAAAO&#10;AAAAAAAAAAAAAAAAAC4CAABkcnMvZTJvRG9jLnhtbFBLAQItABQABgAIAAAAIQAgexct3AAAAAgB&#10;AAAPAAAAAAAAAAAAAAAAACoEAABkcnMvZG93bnJldi54bWxQSwUGAAAAAAQABADzAAAAMwUAAAAA&#10;">
              <v:shadow color="#1f3763" opacity=".5" offset="1pt"/>
            </v:shape>
          </w:pict>
        </mc:Fallback>
      </mc:AlternateContent>
    </w:r>
  </w:p>
  <w:p w14:paraId="231E3214" w14:textId="77777777" w:rsidR="003D66DC" w:rsidRPr="00610925"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Radicado: 11001-03-15-000-2022-0</w:t>
    </w:r>
    <w:r>
      <w:rPr>
        <w:rFonts w:eastAsia="Times New Roman"/>
        <w:i/>
        <w:iCs/>
        <w:color w:val="767171"/>
        <w:sz w:val="20"/>
        <w:szCs w:val="20"/>
      </w:rPr>
      <w:t>4525</w:t>
    </w:r>
    <w:r w:rsidRPr="00610925">
      <w:rPr>
        <w:rFonts w:eastAsia="Times New Roman"/>
        <w:i/>
        <w:iCs/>
        <w:color w:val="767171"/>
        <w:sz w:val="20"/>
        <w:szCs w:val="20"/>
      </w:rPr>
      <w:t>-00</w:t>
    </w:r>
  </w:p>
  <w:p w14:paraId="5873FCA9" w14:textId="77777777" w:rsidR="003D66DC" w:rsidRDefault="003D66DC" w:rsidP="003D66DC">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Unidad Administrativa Especial </w:t>
    </w:r>
    <w:r>
      <w:rPr>
        <w:rFonts w:eastAsia="Times New Roman"/>
        <w:i/>
        <w:iCs/>
        <w:color w:val="767171"/>
        <w:sz w:val="20"/>
        <w:szCs w:val="20"/>
      </w:rPr>
      <w:t xml:space="preserve">de Gestión Pensional y Contribuciones Parafiscales de la </w:t>
    </w:r>
  </w:p>
  <w:p w14:paraId="272F0CBD" w14:textId="74B0BF99" w:rsidR="0058030A" w:rsidRDefault="003D66DC" w:rsidP="003D66DC">
    <w:pPr>
      <w:pStyle w:val="Encabezado"/>
      <w:jc w:val="right"/>
      <w:rPr>
        <w:color w:val="767171"/>
        <w:sz w:val="20"/>
        <w:szCs w:val="20"/>
      </w:rPr>
    </w:pPr>
    <w:r>
      <w:rPr>
        <w:rFonts w:eastAsia="Times New Roman"/>
        <w:i/>
        <w:iCs/>
        <w:color w:val="767171"/>
        <w:sz w:val="20"/>
        <w:szCs w:val="20"/>
      </w:rPr>
      <w:t>Protección Social — UGPP</w:t>
    </w:r>
  </w:p>
  <w:p w14:paraId="08837286" w14:textId="77777777" w:rsidR="0058030A" w:rsidRPr="00F532EA" w:rsidRDefault="0058030A" w:rsidP="0058030A">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1AE4" w14:textId="0C283A39" w:rsidR="00661782" w:rsidRPr="008F2BC8" w:rsidRDefault="00610925" w:rsidP="00661782">
    <w:pPr>
      <w:pStyle w:val="Encabezado"/>
    </w:pPr>
    <w:r>
      <w:rPr>
        <w:noProof/>
      </w:rPr>
      <w:drawing>
        <wp:anchor distT="0" distB="0" distL="114300" distR="114300" simplePos="0" relativeHeight="251658752" behindDoc="1" locked="0" layoutInCell="1" allowOverlap="1" wp14:anchorId="42D488FA" wp14:editId="7F570580">
          <wp:simplePos x="0" y="0"/>
          <wp:positionH relativeFrom="page">
            <wp:posOffset>893928</wp:posOffset>
          </wp:positionH>
          <wp:positionV relativeFrom="paragraph">
            <wp:posOffset>76850</wp:posOffset>
          </wp:positionV>
          <wp:extent cx="1163188" cy="1082660"/>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48" cy="1088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F576B" w14:textId="63F1E08D" w:rsidR="00661782" w:rsidRPr="008F2BC8" w:rsidRDefault="00661782" w:rsidP="00661782">
    <w:pPr>
      <w:pStyle w:val="Encabezado"/>
    </w:pPr>
    <w:r w:rsidRPr="008F2BC8">
      <w:rPr>
        <w:noProof/>
        <w:sz w:val="20"/>
        <w:szCs w:val="20"/>
        <w:lang w:eastAsia="es-ES"/>
      </w:rPr>
      <mc:AlternateContent>
        <mc:Choice Requires="wps">
          <w:drawing>
            <wp:anchor distT="0" distB="0" distL="114300" distR="114300" simplePos="0" relativeHeight="251660800" behindDoc="0" locked="0" layoutInCell="1" allowOverlap="1" wp14:anchorId="427E9C18" wp14:editId="3192F52D">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50B89E"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38C48A2C" w14:textId="74169C5C" w:rsidR="00610925" w:rsidRPr="00610925" w:rsidRDefault="00610925" w:rsidP="00610925">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 xml:space="preserve">Radicado: </w:t>
    </w:r>
    <w:r w:rsidR="00F3403E" w:rsidRPr="00F3403E">
      <w:rPr>
        <w:rFonts w:eastAsia="Times New Roman"/>
        <w:i/>
        <w:iCs/>
        <w:color w:val="767171"/>
        <w:sz w:val="20"/>
        <w:szCs w:val="20"/>
      </w:rPr>
      <w:t>11001-03-15-000-2023-00276-00</w:t>
    </w:r>
  </w:p>
  <w:p w14:paraId="70F87403" w14:textId="77777777" w:rsidR="00544E4C" w:rsidRDefault="00610925" w:rsidP="003C3301">
    <w:pPr>
      <w:tabs>
        <w:tab w:val="center" w:pos="4252"/>
        <w:tab w:val="right" w:pos="8504"/>
      </w:tabs>
      <w:jc w:val="right"/>
      <w:rPr>
        <w:rFonts w:eastAsia="Times New Roman"/>
        <w:i/>
        <w:iCs/>
        <w:color w:val="767171"/>
        <w:sz w:val="20"/>
        <w:szCs w:val="20"/>
      </w:rPr>
    </w:pPr>
    <w:r w:rsidRPr="00610925">
      <w:rPr>
        <w:rFonts w:eastAsia="Times New Roman"/>
        <w:i/>
        <w:iCs/>
        <w:color w:val="767171"/>
        <w:sz w:val="20"/>
        <w:szCs w:val="20"/>
      </w:rPr>
      <w:tab/>
    </w:r>
    <w:r w:rsidRPr="00610925">
      <w:rPr>
        <w:rFonts w:eastAsia="Times New Roman"/>
        <w:i/>
        <w:iCs/>
        <w:color w:val="767171"/>
        <w:sz w:val="20"/>
        <w:szCs w:val="20"/>
      </w:rPr>
      <w:tab/>
      <w:t xml:space="preserve">Accionante: </w:t>
    </w:r>
    <w:r w:rsidR="00544E4C" w:rsidRPr="00544E4C">
      <w:rPr>
        <w:rFonts w:eastAsia="Times New Roman"/>
        <w:i/>
        <w:iCs/>
        <w:color w:val="767171"/>
        <w:sz w:val="20"/>
        <w:szCs w:val="20"/>
      </w:rPr>
      <w:t>Nelson Julián Valencia Zamora</w:t>
    </w:r>
  </w:p>
  <w:p w14:paraId="049F31CB" w14:textId="29E2A4CB" w:rsidR="00650284" w:rsidRDefault="00544E4C" w:rsidP="00544E4C">
    <w:pPr>
      <w:pStyle w:val="Encabezado"/>
      <w:jc w:val="right"/>
      <w:rPr>
        <w:rFonts w:eastAsia="Times New Roman"/>
        <w:i/>
        <w:iCs/>
        <w:color w:val="767171"/>
        <w:sz w:val="20"/>
        <w:szCs w:val="20"/>
      </w:rPr>
    </w:pPr>
    <w:r w:rsidRPr="00544E4C">
      <w:rPr>
        <w:rFonts w:eastAsia="Times New Roman"/>
        <w:i/>
        <w:iCs/>
        <w:color w:val="767171"/>
        <w:sz w:val="20"/>
        <w:szCs w:val="20"/>
      </w:rPr>
      <w:t>Consejo Superior de la Judicatura</w:t>
    </w:r>
  </w:p>
  <w:p w14:paraId="76D8C73A" w14:textId="77777777" w:rsidR="00544E4C" w:rsidRPr="00A15ACE" w:rsidRDefault="00544E4C" w:rsidP="00544E4C">
    <w:pPr>
      <w:pStyle w:val="Encabezado"/>
      <w:jc w:val="right"/>
      <w:rPr>
        <w:color w:val="767171"/>
      </w:rPr>
    </w:pPr>
  </w:p>
  <w:p w14:paraId="3F3B7A5B" w14:textId="77777777" w:rsidR="00650284" w:rsidRPr="007F276C" w:rsidRDefault="00650284" w:rsidP="007F276C">
    <w:pPr>
      <w:pStyle w:val="Sinespaciado"/>
    </w:pPr>
    <w:r w:rsidRPr="007F276C">
      <w:t>CONSEJO DE ESTADO</w:t>
    </w:r>
  </w:p>
  <w:p w14:paraId="6EF027A0" w14:textId="77777777" w:rsidR="00650284" w:rsidRPr="007F276C" w:rsidRDefault="00650284" w:rsidP="007F276C">
    <w:pPr>
      <w:pStyle w:val="Sinespaciado"/>
    </w:pPr>
    <w:r w:rsidRPr="007F276C">
      <w:t>SALA DE LO CONTENCIOSO ADMINISTRATIVO</w:t>
    </w:r>
  </w:p>
  <w:p w14:paraId="7BBC1023" w14:textId="77777777" w:rsidR="00661782" w:rsidRDefault="00650284" w:rsidP="007F276C">
    <w:pPr>
      <w:pStyle w:val="Sinespaciado"/>
    </w:pPr>
    <w:r w:rsidRPr="007F276C">
      <w:t>SECCIÓN TERCERA</w:t>
    </w:r>
  </w:p>
  <w:p w14:paraId="2FC4305D" w14:textId="0B0C8E4E" w:rsidR="00650284" w:rsidRPr="007F276C" w:rsidRDefault="00650284" w:rsidP="007F276C">
    <w:pPr>
      <w:pStyle w:val="Sinespaciado"/>
    </w:pPr>
    <w:r w:rsidRPr="007F276C">
      <w:t xml:space="preserve"> SUBSECCIÓN C</w:t>
    </w:r>
  </w:p>
  <w:p w14:paraId="53128261" w14:textId="77777777" w:rsidR="00650284" w:rsidRDefault="006502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08D5"/>
    <w:rsid w:val="0001315F"/>
    <w:rsid w:val="000259CF"/>
    <w:rsid w:val="00044C3F"/>
    <w:rsid w:val="000705CA"/>
    <w:rsid w:val="000728E0"/>
    <w:rsid w:val="00073869"/>
    <w:rsid w:val="0007395E"/>
    <w:rsid w:val="00083B8F"/>
    <w:rsid w:val="00094E7B"/>
    <w:rsid w:val="000A39D6"/>
    <w:rsid w:val="000A447D"/>
    <w:rsid w:val="000B719D"/>
    <w:rsid w:val="000C2B43"/>
    <w:rsid w:val="000C5DB7"/>
    <w:rsid w:val="000C7B4F"/>
    <w:rsid w:val="000E3A53"/>
    <w:rsid w:val="000F373B"/>
    <w:rsid w:val="000F5D15"/>
    <w:rsid w:val="001054C7"/>
    <w:rsid w:val="00117091"/>
    <w:rsid w:val="00123F85"/>
    <w:rsid w:val="001314F6"/>
    <w:rsid w:val="00133F91"/>
    <w:rsid w:val="00155E78"/>
    <w:rsid w:val="0016494F"/>
    <w:rsid w:val="00166AF6"/>
    <w:rsid w:val="00186CB3"/>
    <w:rsid w:val="001C3C1F"/>
    <w:rsid w:val="001D4E62"/>
    <w:rsid w:val="001F1DA0"/>
    <w:rsid w:val="00201EC3"/>
    <w:rsid w:val="00204935"/>
    <w:rsid w:val="002109F7"/>
    <w:rsid w:val="002230E3"/>
    <w:rsid w:val="00246239"/>
    <w:rsid w:val="00250D3B"/>
    <w:rsid w:val="002604C4"/>
    <w:rsid w:val="00263162"/>
    <w:rsid w:val="00281874"/>
    <w:rsid w:val="0028665C"/>
    <w:rsid w:val="002C12BC"/>
    <w:rsid w:val="002D480B"/>
    <w:rsid w:val="002D6253"/>
    <w:rsid w:val="002E1978"/>
    <w:rsid w:val="00307995"/>
    <w:rsid w:val="0031514A"/>
    <w:rsid w:val="00316241"/>
    <w:rsid w:val="0033226B"/>
    <w:rsid w:val="00360658"/>
    <w:rsid w:val="00361478"/>
    <w:rsid w:val="0036421B"/>
    <w:rsid w:val="00374674"/>
    <w:rsid w:val="00382327"/>
    <w:rsid w:val="00383425"/>
    <w:rsid w:val="00384507"/>
    <w:rsid w:val="00387BBC"/>
    <w:rsid w:val="00394A69"/>
    <w:rsid w:val="003A12C4"/>
    <w:rsid w:val="003A38B0"/>
    <w:rsid w:val="003B4515"/>
    <w:rsid w:val="003C3301"/>
    <w:rsid w:val="003D1B94"/>
    <w:rsid w:val="003D66DC"/>
    <w:rsid w:val="003F2BA3"/>
    <w:rsid w:val="003F7FF5"/>
    <w:rsid w:val="00402998"/>
    <w:rsid w:val="00405B77"/>
    <w:rsid w:val="004211FA"/>
    <w:rsid w:val="00424723"/>
    <w:rsid w:val="00430389"/>
    <w:rsid w:val="00430D89"/>
    <w:rsid w:val="0044172F"/>
    <w:rsid w:val="0044642A"/>
    <w:rsid w:val="00455ACF"/>
    <w:rsid w:val="00472ED1"/>
    <w:rsid w:val="004735F1"/>
    <w:rsid w:val="004849BB"/>
    <w:rsid w:val="004857F6"/>
    <w:rsid w:val="00491910"/>
    <w:rsid w:val="00497735"/>
    <w:rsid w:val="004A1D38"/>
    <w:rsid w:val="004A24E0"/>
    <w:rsid w:val="004A59E5"/>
    <w:rsid w:val="004D5983"/>
    <w:rsid w:val="004D63F2"/>
    <w:rsid w:val="004D64BF"/>
    <w:rsid w:val="004E096B"/>
    <w:rsid w:val="004E3D73"/>
    <w:rsid w:val="00507BC5"/>
    <w:rsid w:val="00521F4A"/>
    <w:rsid w:val="00522073"/>
    <w:rsid w:val="00522D1A"/>
    <w:rsid w:val="0052545C"/>
    <w:rsid w:val="00530CAD"/>
    <w:rsid w:val="0054069D"/>
    <w:rsid w:val="0054118B"/>
    <w:rsid w:val="005449F6"/>
    <w:rsid w:val="00544E4C"/>
    <w:rsid w:val="005545BC"/>
    <w:rsid w:val="00566726"/>
    <w:rsid w:val="00577C23"/>
    <w:rsid w:val="0058030A"/>
    <w:rsid w:val="00581EB7"/>
    <w:rsid w:val="00585CA2"/>
    <w:rsid w:val="00592A9E"/>
    <w:rsid w:val="005A5C14"/>
    <w:rsid w:val="005C4AB9"/>
    <w:rsid w:val="005C726E"/>
    <w:rsid w:val="005D1791"/>
    <w:rsid w:val="005D2E6D"/>
    <w:rsid w:val="00610925"/>
    <w:rsid w:val="00621F3E"/>
    <w:rsid w:val="00630822"/>
    <w:rsid w:val="006371BF"/>
    <w:rsid w:val="00650284"/>
    <w:rsid w:val="00651F05"/>
    <w:rsid w:val="00660DF5"/>
    <w:rsid w:val="006615F2"/>
    <w:rsid w:val="00661782"/>
    <w:rsid w:val="00663267"/>
    <w:rsid w:val="00664A8F"/>
    <w:rsid w:val="0067337E"/>
    <w:rsid w:val="00685672"/>
    <w:rsid w:val="00694962"/>
    <w:rsid w:val="006B6BCB"/>
    <w:rsid w:val="006D4799"/>
    <w:rsid w:val="006F6047"/>
    <w:rsid w:val="0070023E"/>
    <w:rsid w:val="00713822"/>
    <w:rsid w:val="0072475A"/>
    <w:rsid w:val="0074235D"/>
    <w:rsid w:val="00745D63"/>
    <w:rsid w:val="00760DAF"/>
    <w:rsid w:val="00773A85"/>
    <w:rsid w:val="0077624B"/>
    <w:rsid w:val="007C423F"/>
    <w:rsid w:val="007D4A96"/>
    <w:rsid w:val="007F276C"/>
    <w:rsid w:val="007F3540"/>
    <w:rsid w:val="00817A38"/>
    <w:rsid w:val="00822EDC"/>
    <w:rsid w:val="00823A45"/>
    <w:rsid w:val="00823E1F"/>
    <w:rsid w:val="00835345"/>
    <w:rsid w:val="00835492"/>
    <w:rsid w:val="00845238"/>
    <w:rsid w:val="00871943"/>
    <w:rsid w:val="008879C5"/>
    <w:rsid w:val="00896CFD"/>
    <w:rsid w:val="008A2445"/>
    <w:rsid w:val="008C0DBE"/>
    <w:rsid w:val="008C41A7"/>
    <w:rsid w:val="008C4606"/>
    <w:rsid w:val="008C64B2"/>
    <w:rsid w:val="008D2B77"/>
    <w:rsid w:val="008D7532"/>
    <w:rsid w:val="008E4898"/>
    <w:rsid w:val="00900BD2"/>
    <w:rsid w:val="00911C03"/>
    <w:rsid w:val="00911C2B"/>
    <w:rsid w:val="00917226"/>
    <w:rsid w:val="009210E8"/>
    <w:rsid w:val="009214E2"/>
    <w:rsid w:val="00940813"/>
    <w:rsid w:val="00951490"/>
    <w:rsid w:val="0096334D"/>
    <w:rsid w:val="0097486A"/>
    <w:rsid w:val="00980600"/>
    <w:rsid w:val="00981B9A"/>
    <w:rsid w:val="0098513D"/>
    <w:rsid w:val="00985CF3"/>
    <w:rsid w:val="00986FEF"/>
    <w:rsid w:val="00996286"/>
    <w:rsid w:val="009A4799"/>
    <w:rsid w:val="009A5798"/>
    <w:rsid w:val="009B4EA5"/>
    <w:rsid w:val="009D0C8D"/>
    <w:rsid w:val="009D0CB8"/>
    <w:rsid w:val="009E501F"/>
    <w:rsid w:val="009E5A62"/>
    <w:rsid w:val="009F5813"/>
    <w:rsid w:val="00A00EB0"/>
    <w:rsid w:val="00A03C26"/>
    <w:rsid w:val="00A0511A"/>
    <w:rsid w:val="00A15ACE"/>
    <w:rsid w:val="00A1687B"/>
    <w:rsid w:val="00A25C52"/>
    <w:rsid w:val="00A26DEE"/>
    <w:rsid w:val="00A35B60"/>
    <w:rsid w:val="00A467BD"/>
    <w:rsid w:val="00A57CD6"/>
    <w:rsid w:val="00A73868"/>
    <w:rsid w:val="00A83B83"/>
    <w:rsid w:val="00A8702B"/>
    <w:rsid w:val="00A929E3"/>
    <w:rsid w:val="00A97FED"/>
    <w:rsid w:val="00AA5F0B"/>
    <w:rsid w:val="00AB33F4"/>
    <w:rsid w:val="00AD4BAB"/>
    <w:rsid w:val="00AD60EF"/>
    <w:rsid w:val="00AE5822"/>
    <w:rsid w:val="00AF634C"/>
    <w:rsid w:val="00B00068"/>
    <w:rsid w:val="00B05C29"/>
    <w:rsid w:val="00B14389"/>
    <w:rsid w:val="00B22A09"/>
    <w:rsid w:val="00B251D5"/>
    <w:rsid w:val="00B3344A"/>
    <w:rsid w:val="00B4769D"/>
    <w:rsid w:val="00B53658"/>
    <w:rsid w:val="00B9314A"/>
    <w:rsid w:val="00B95E65"/>
    <w:rsid w:val="00B97E8B"/>
    <w:rsid w:val="00BB0DD6"/>
    <w:rsid w:val="00BB1723"/>
    <w:rsid w:val="00BB6AA3"/>
    <w:rsid w:val="00BB79AE"/>
    <w:rsid w:val="00BD124C"/>
    <w:rsid w:val="00BD67B1"/>
    <w:rsid w:val="00BF0787"/>
    <w:rsid w:val="00BF2ACB"/>
    <w:rsid w:val="00C018AC"/>
    <w:rsid w:val="00C07492"/>
    <w:rsid w:val="00C11E05"/>
    <w:rsid w:val="00C43CA0"/>
    <w:rsid w:val="00C54A33"/>
    <w:rsid w:val="00C655D0"/>
    <w:rsid w:val="00C7549A"/>
    <w:rsid w:val="00C82776"/>
    <w:rsid w:val="00C87516"/>
    <w:rsid w:val="00CB3811"/>
    <w:rsid w:val="00CB69B7"/>
    <w:rsid w:val="00CF1E32"/>
    <w:rsid w:val="00CF44BE"/>
    <w:rsid w:val="00D070D0"/>
    <w:rsid w:val="00D163C7"/>
    <w:rsid w:val="00D2756B"/>
    <w:rsid w:val="00D31837"/>
    <w:rsid w:val="00D32846"/>
    <w:rsid w:val="00D46B4A"/>
    <w:rsid w:val="00D53A8F"/>
    <w:rsid w:val="00D55E64"/>
    <w:rsid w:val="00D57D55"/>
    <w:rsid w:val="00D729A8"/>
    <w:rsid w:val="00D73724"/>
    <w:rsid w:val="00D753B3"/>
    <w:rsid w:val="00D81E42"/>
    <w:rsid w:val="00D9239F"/>
    <w:rsid w:val="00DA5442"/>
    <w:rsid w:val="00DB4688"/>
    <w:rsid w:val="00DB65F5"/>
    <w:rsid w:val="00DB7A08"/>
    <w:rsid w:val="00DE5690"/>
    <w:rsid w:val="00DE7123"/>
    <w:rsid w:val="00DF0312"/>
    <w:rsid w:val="00DF0BF4"/>
    <w:rsid w:val="00E00969"/>
    <w:rsid w:val="00E11324"/>
    <w:rsid w:val="00E22F32"/>
    <w:rsid w:val="00E322DC"/>
    <w:rsid w:val="00E35D79"/>
    <w:rsid w:val="00E4328A"/>
    <w:rsid w:val="00E45687"/>
    <w:rsid w:val="00E560B5"/>
    <w:rsid w:val="00E70863"/>
    <w:rsid w:val="00E800E8"/>
    <w:rsid w:val="00E87355"/>
    <w:rsid w:val="00E94C31"/>
    <w:rsid w:val="00EA58FA"/>
    <w:rsid w:val="00EA65BE"/>
    <w:rsid w:val="00EA6E1F"/>
    <w:rsid w:val="00EB199D"/>
    <w:rsid w:val="00EB57EA"/>
    <w:rsid w:val="00EC38ED"/>
    <w:rsid w:val="00ED226C"/>
    <w:rsid w:val="00ED30C5"/>
    <w:rsid w:val="00ED6BAA"/>
    <w:rsid w:val="00ED72BB"/>
    <w:rsid w:val="00F01167"/>
    <w:rsid w:val="00F0772F"/>
    <w:rsid w:val="00F1441F"/>
    <w:rsid w:val="00F16FD3"/>
    <w:rsid w:val="00F23750"/>
    <w:rsid w:val="00F316B9"/>
    <w:rsid w:val="00F3403E"/>
    <w:rsid w:val="00F41540"/>
    <w:rsid w:val="00F532EA"/>
    <w:rsid w:val="00F713AF"/>
    <w:rsid w:val="00F75974"/>
    <w:rsid w:val="00F91B32"/>
    <w:rsid w:val="00FA5BD0"/>
    <w:rsid w:val="00FB0367"/>
    <w:rsid w:val="00FD3474"/>
    <w:rsid w:val="00FE09DF"/>
    <w:rsid w:val="00FE3D08"/>
    <w:rsid w:val="00FF0BD7"/>
    <w:rsid w:val="00FF190B"/>
    <w:rsid w:val="00FF55A8"/>
    <w:rsid w:val="00FF5B79"/>
    <w:rsid w:val="2680A9D4"/>
    <w:rsid w:val="324FA6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0593F"/>
  <w15:chartTrackingRefBased/>
  <w15:docId w15:val="{505F21B7-CFDB-4C91-82C9-A3C23B11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apple-converted-space">
    <w:name w:val="apple-converted-space"/>
    <w:rsid w:val="0096334D"/>
  </w:style>
  <w:style w:type="character" w:styleId="Refdecomentario">
    <w:name w:val="annotation reference"/>
    <w:uiPriority w:val="99"/>
    <w:semiHidden/>
    <w:unhideWhenUsed/>
    <w:rsid w:val="009D0CB8"/>
    <w:rPr>
      <w:sz w:val="16"/>
      <w:szCs w:val="16"/>
    </w:rPr>
  </w:style>
  <w:style w:type="paragraph" w:styleId="Textocomentario">
    <w:name w:val="annotation text"/>
    <w:basedOn w:val="Normal"/>
    <w:link w:val="TextocomentarioCar"/>
    <w:uiPriority w:val="99"/>
    <w:semiHidden/>
    <w:unhideWhenUsed/>
    <w:rsid w:val="009D0CB8"/>
    <w:rPr>
      <w:sz w:val="20"/>
      <w:szCs w:val="20"/>
    </w:rPr>
  </w:style>
  <w:style w:type="character" w:customStyle="1" w:styleId="TextocomentarioCar">
    <w:name w:val="Texto comentario Car"/>
    <w:link w:val="Textocomentario"/>
    <w:uiPriority w:val="99"/>
    <w:semiHidden/>
    <w:rsid w:val="009D0CB8"/>
    <w:rPr>
      <w:lang w:eastAsia="es-ES_tradnl"/>
    </w:rPr>
  </w:style>
  <w:style w:type="paragraph" w:styleId="Asuntodelcomentario">
    <w:name w:val="annotation subject"/>
    <w:basedOn w:val="Textocomentario"/>
    <w:next w:val="Textocomentario"/>
    <w:link w:val="AsuntodelcomentarioCar"/>
    <w:uiPriority w:val="99"/>
    <w:semiHidden/>
    <w:unhideWhenUsed/>
    <w:rsid w:val="009D0CB8"/>
    <w:rPr>
      <w:b/>
      <w:bCs/>
    </w:rPr>
  </w:style>
  <w:style w:type="character" w:customStyle="1" w:styleId="AsuntodelcomentarioCar">
    <w:name w:val="Asunto del comentario Car"/>
    <w:link w:val="Asuntodelcomentario"/>
    <w:uiPriority w:val="99"/>
    <w:semiHidden/>
    <w:rsid w:val="009D0CB8"/>
    <w:rPr>
      <w:b/>
      <w:bCs/>
      <w:lang w:eastAsia="es-ES_tradnl"/>
    </w:rPr>
  </w:style>
  <w:style w:type="paragraph" w:styleId="Textodeglobo">
    <w:name w:val="Balloon Text"/>
    <w:basedOn w:val="Normal"/>
    <w:link w:val="TextodegloboCar"/>
    <w:uiPriority w:val="99"/>
    <w:semiHidden/>
    <w:unhideWhenUsed/>
    <w:rsid w:val="009D0CB8"/>
    <w:rPr>
      <w:rFonts w:ascii="Segoe UI" w:hAnsi="Segoe UI" w:cs="Segoe UI"/>
      <w:sz w:val="18"/>
      <w:szCs w:val="18"/>
    </w:rPr>
  </w:style>
  <w:style w:type="character" w:customStyle="1" w:styleId="TextodegloboCar">
    <w:name w:val="Texto de globo Car"/>
    <w:link w:val="Textodeglobo"/>
    <w:uiPriority w:val="99"/>
    <w:semiHidden/>
    <w:rsid w:val="009D0CB8"/>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820">
      <w:bodyDiv w:val="1"/>
      <w:marLeft w:val="0"/>
      <w:marRight w:val="0"/>
      <w:marTop w:val="0"/>
      <w:marBottom w:val="0"/>
      <w:divBdr>
        <w:top w:val="none" w:sz="0" w:space="0" w:color="auto"/>
        <w:left w:val="none" w:sz="0" w:space="0" w:color="auto"/>
        <w:bottom w:val="none" w:sz="0" w:space="0" w:color="auto"/>
        <w:right w:val="none" w:sz="0" w:space="0" w:color="auto"/>
      </w:divBdr>
    </w:div>
    <w:div w:id="594359278">
      <w:bodyDiv w:val="1"/>
      <w:marLeft w:val="0"/>
      <w:marRight w:val="0"/>
      <w:marTop w:val="0"/>
      <w:marBottom w:val="0"/>
      <w:divBdr>
        <w:top w:val="none" w:sz="0" w:space="0" w:color="auto"/>
        <w:left w:val="none" w:sz="0" w:space="0" w:color="auto"/>
        <w:bottom w:val="none" w:sz="0" w:space="0" w:color="auto"/>
        <w:right w:val="none" w:sz="0" w:space="0" w:color="auto"/>
      </w:divBdr>
    </w:div>
    <w:div w:id="714767883">
      <w:bodyDiv w:val="1"/>
      <w:marLeft w:val="0"/>
      <w:marRight w:val="0"/>
      <w:marTop w:val="0"/>
      <w:marBottom w:val="0"/>
      <w:divBdr>
        <w:top w:val="none" w:sz="0" w:space="0" w:color="auto"/>
        <w:left w:val="none" w:sz="0" w:space="0" w:color="auto"/>
        <w:bottom w:val="none" w:sz="0" w:space="0" w:color="auto"/>
        <w:right w:val="none" w:sz="0" w:space="0" w:color="auto"/>
      </w:divBdr>
    </w:div>
    <w:div w:id="857498523">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555039128">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59443377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606824">
      <w:bodyDiv w:val="1"/>
      <w:marLeft w:val="0"/>
      <w:marRight w:val="0"/>
      <w:marTop w:val="0"/>
      <w:marBottom w:val="0"/>
      <w:divBdr>
        <w:top w:val="none" w:sz="0" w:space="0" w:color="auto"/>
        <w:left w:val="none" w:sz="0" w:space="0" w:color="auto"/>
        <w:bottom w:val="none" w:sz="0" w:space="0" w:color="auto"/>
        <w:right w:val="none" w:sz="0" w:space="0" w:color="auto"/>
      </w:divBdr>
    </w:div>
    <w:div w:id="18113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01E9-13D2-47ED-977E-4DB9A432387D}">
  <ds:schemaRefs>
    <ds:schemaRef ds:uri="http://schemas.microsoft.com/sharepoint/v3/contenttype/forms"/>
  </ds:schemaRefs>
</ds:datastoreItem>
</file>

<file path=customXml/itemProps2.xml><?xml version="1.0" encoding="utf-8"?>
<ds:datastoreItem xmlns:ds="http://schemas.openxmlformats.org/officeDocument/2006/customXml" ds:itemID="{B8502D04-6214-41A0-B8B5-7E89BB5C6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B219F-AFEC-411E-85A3-3432283EC45A}">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538B6446-2548-4FD6-9A12-B7BD5B20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Esther Jaimes Valencia</cp:lastModifiedBy>
  <cp:revision>2</cp:revision>
  <dcterms:created xsi:type="dcterms:W3CDTF">2023-04-19T21:13:00Z</dcterms:created>
  <dcterms:modified xsi:type="dcterms:W3CDTF">2023-04-19T21:13:00Z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