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D0BDAE" w14:textId="77777777" w:rsidR="00A43504" w:rsidRDefault="00A43504" w:rsidP="00F779FE">
      <w:pPr>
        <w:jc w:val="center"/>
        <w:rPr>
          <w:rFonts w:cs="Arial"/>
          <w:b/>
          <w:szCs w:val="24"/>
          <w:lang w:eastAsia="es-ES"/>
        </w:rPr>
      </w:pPr>
    </w:p>
    <w:p w14:paraId="5243182E" w14:textId="77777777" w:rsidR="00A43504" w:rsidRDefault="00A43504" w:rsidP="00F779FE">
      <w:pPr>
        <w:jc w:val="center"/>
        <w:rPr>
          <w:rFonts w:cs="Arial"/>
          <w:b/>
          <w:szCs w:val="24"/>
          <w:lang w:eastAsia="es-ES"/>
        </w:rPr>
      </w:pPr>
    </w:p>
    <w:p w14:paraId="6A434A39" w14:textId="77777777" w:rsidR="00A43504" w:rsidRDefault="00A43504" w:rsidP="00F779FE">
      <w:pPr>
        <w:jc w:val="center"/>
        <w:rPr>
          <w:rFonts w:cs="Arial"/>
          <w:b/>
          <w:szCs w:val="24"/>
          <w:lang w:eastAsia="es-ES"/>
        </w:rPr>
      </w:pPr>
    </w:p>
    <w:p w14:paraId="6D130209" w14:textId="73038CF3" w:rsidR="00F779FE" w:rsidRDefault="00F779FE" w:rsidP="00F779FE">
      <w:pPr>
        <w:jc w:val="center"/>
        <w:rPr>
          <w:rFonts w:cs="Arial"/>
          <w:b/>
          <w:szCs w:val="24"/>
          <w:lang w:eastAsia="es-ES"/>
        </w:rPr>
      </w:pPr>
      <w:r>
        <w:rPr>
          <w:noProof/>
          <w:lang w:val="es-ES" w:eastAsia="es-ES"/>
        </w:rPr>
        <w:drawing>
          <wp:anchor distT="0" distB="0" distL="114300" distR="114300" simplePos="0" relativeHeight="251658240" behindDoc="1" locked="0" layoutInCell="1" allowOverlap="1" wp14:anchorId="20AECD9F" wp14:editId="7AEAB188">
            <wp:simplePos x="0" y="0"/>
            <wp:positionH relativeFrom="column">
              <wp:posOffset>-147320</wp:posOffset>
            </wp:positionH>
            <wp:positionV relativeFrom="paragraph">
              <wp:posOffset>-851535</wp:posOffset>
            </wp:positionV>
            <wp:extent cx="1247775" cy="116268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47775" cy="1162685"/>
                    </a:xfrm>
                    <a:prstGeom prst="rect">
                      <a:avLst/>
                    </a:prstGeom>
                    <a:noFill/>
                  </pic:spPr>
                </pic:pic>
              </a:graphicData>
            </a:graphic>
            <wp14:sizeRelH relativeFrom="page">
              <wp14:pctWidth>0</wp14:pctWidth>
            </wp14:sizeRelH>
            <wp14:sizeRelV relativeFrom="page">
              <wp14:pctHeight>0</wp14:pctHeight>
            </wp14:sizeRelV>
          </wp:anchor>
        </w:drawing>
      </w:r>
      <w:r w:rsidRPr="19A7461F">
        <w:rPr>
          <w:rFonts w:cs="Arial"/>
          <w:b/>
          <w:bCs/>
          <w:lang w:eastAsia="es-ES"/>
        </w:rPr>
        <w:t>CONSEJO DE ESTADO</w:t>
      </w:r>
    </w:p>
    <w:p w14:paraId="0D41F2BB" w14:textId="77777777" w:rsidR="00F779FE" w:rsidRDefault="00F779FE" w:rsidP="00F779FE">
      <w:pPr>
        <w:jc w:val="center"/>
        <w:rPr>
          <w:rFonts w:cs="Arial"/>
          <w:b/>
          <w:szCs w:val="24"/>
          <w:lang w:eastAsia="es-ES"/>
        </w:rPr>
      </w:pPr>
      <w:r>
        <w:rPr>
          <w:rFonts w:cs="Arial"/>
          <w:b/>
          <w:szCs w:val="24"/>
          <w:lang w:eastAsia="es-ES"/>
        </w:rPr>
        <w:t>SALA DE LO CONTENCIOSO ADMINISTRATIVO</w:t>
      </w:r>
    </w:p>
    <w:p w14:paraId="3609B34C" w14:textId="77777777" w:rsidR="00F779FE" w:rsidRDefault="00F779FE" w:rsidP="00F779FE">
      <w:pPr>
        <w:jc w:val="center"/>
        <w:rPr>
          <w:rFonts w:cs="Arial"/>
          <w:b/>
          <w:szCs w:val="24"/>
          <w:lang w:eastAsia="es-ES"/>
        </w:rPr>
      </w:pPr>
      <w:r>
        <w:rPr>
          <w:rFonts w:cs="Arial"/>
          <w:b/>
          <w:szCs w:val="24"/>
          <w:lang w:eastAsia="es-ES"/>
        </w:rPr>
        <w:t>SECCIÓN TERCERA</w:t>
      </w:r>
    </w:p>
    <w:p w14:paraId="2D302967" w14:textId="77777777" w:rsidR="00F779FE" w:rsidRDefault="00F779FE" w:rsidP="00F779FE">
      <w:pPr>
        <w:jc w:val="center"/>
        <w:rPr>
          <w:rFonts w:cs="Arial"/>
          <w:b/>
          <w:szCs w:val="24"/>
          <w:lang w:eastAsia="es-ES"/>
        </w:rPr>
      </w:pPr>
      <w:r>
        <w:rPr>
          <w:rFonts w:cs="Arial"/>
          <w:b/>
          <w:szCs w:val="24"/>
          <w:lang w:eastAsia="es-ES"/>
        </w:rPr>
        <w:t>SUBSECCIÓN B</w:t>
      </w:r>
    </w:p>
    <w:p w14:paraId="2BB11023" w14:textId="579E471E" w:rsidR="00F779FE" w:rsidRDefault="00F779FE" w:rsidP="00F779FE">
      <w:pPr>
        <w:jc w:val="center"/>
        <w:rPr>
          <w:rFonts w:cs="Arial"/>
          <w:b/>
          <w:szCs w:val="24"/>
          <w:lang w:eastAsia="es-ES"/>
        </w:rPr>
      </w:pPr>
    </w:p>
    <w:p w14:paraId="6E1B3A83" w14:textId="77777777" w:rsidR="009846EA" w:rsidRDefault="009846EA" w:rsidP="00F779FE">
      <w:pPr>
        <w:jc w:val="center"/>
        <w:rPr>
          <w:rFonts w:cs="Arial"/>
          <w:b/>
          <w:szCs w:val="24"/>
          <w:lang w:eastAsia="es-ES"/>
        </w:rPr>
      </w:pPr>
    </w:p>
    <w:p w14:paraId="42C4DFA3" w14:textId="77777777" w:rsidR="00F779FE" w:rsidRDefault="00F779FE" w:rsidP="00F779FE">
      <w:pPr>
        <w:tabs>
          <w:tab w:val="left" w:pos="2835"/>
          <w:tab w:val="left" w:pos="3119"/>
        </w:tabs>
        <w:jc w:val="center"/>
        <w:rPr>
          <w:rFonts w:cs="Arial"/>
          <w:b/>
          <w:szCs w:val="24"/>
          <w:lang w:eastAsia="es-ES"/>
        </w:rPr>
      </w:pPr>
      <w:r>
        <w:rPr>
          <w:rFonts w:cs="Arial"/>
          <w:b/>
          <w:szCs w:val="24"/>
          <w:lang w:eastAsia="es-ES"/>
        </w:rPr>
        <w:t>Magistrado ponente: MARTÍN BERMÚDEZ MUÑOZ</w:t>
      </w:r>
    </w:p>
    <w:p w14:paraId="15C450A7" w14:textId="25A0B405" w:rsidR="00F779FE" w:rsidRDefault="00F779FE" w:rsidP="00F779FE">
      <w:pPr>
        <w:jc w:val="center"/>
        <w:rPr>
          <w:rFonts w:cs="Arial"/>
          <w:b/>
          <w:bCs/>
          <w:szCs w:val="24"/>
        </w:rPr>
      </w:pPr>
    </w:p>
    <w:p w14:paraId="2126E42F" w14:textId="77777777" w:rsidR="009846EA" w:rsidRDefault="009846EA" w:rsidP="00F779FE">
      <w:pPr>
        <w:jc w:val="center"/>
        <w:rPr>
          <w:rFonts w:cs="Arial"/>
          <w:b/>
          <w:bCs/>
          <w:szCs w:val="24"/>
        </w:rPr>
      </w:pPr>
    </w:p>
    <w:p w14:paraId="2756C161" w14:textId="73ECFE13" w:rsidR="00F779FE" w:rsidRDefault="00F779FE" w:rsidP="00F779FE">
      <w:pPr>
        <w:jc w:val="center"/>
        <w:rPr>
          <w:rFonts w:cs="Arial"/>
          <w:szCs w:val="28"/>
        </w:rPr>
      </w:pPr>
      <w:r>
        <w:rPr>
          <w:rFonts w:cs="Arial"/>
          <w:szCs w:val="28"/>
        </w:rPr>
        <w:t>Bogotá D.C. catorce (14) de mayo de dos mil veintiuno (2021)</w:t>
      </w:r>
    </w:p>
    <w:p w14:paraId="46456E3F" w14:textId="77777777" w:rsidR="00F779FE" w:rsidRDefault="00F779FE" w:rsidP="00F779FE">
      <w:pPr>
        <w:rPr>
          <w:rFonts w:cs="Arial"/>
          <w:b/>
          <w:szCs w:val="24"/>
        </w:rPr>
      </w:pPr>
    </w:p>
    <w:p w14:paraId="70A32FB7" w14:textId="77777777" w:rsidR="00F779FE" w:rsidRDefault="00F779FE" w:rsidP="00F779FE">
      <w:pPr>
        <w:ind w:left="1985" w:hanging="1985"/>
        <w:contextualSpacing/>
        <w:rPr>
          <w:rFonts w:cs="Arial"/>
          <w:szCs w:val="24"/>
        </w:rPr>
      </w:pPr>
      <w:r>
        <w:rPr>
          <w:rFonts w:cs="Arial"/>
          <w:b/>
          <w:szCs w:val="24"/>
        </w:rPr>
        <w:t xml:space="preserve">Referencia: </w:t>
      </w:r>
      <w:r>
        <w:rPr>
          <w:rFonts w:cs="Arial"/>
          <w:b/>
          <w:szCs w:val="24"/>
        </w:rPr>
        <w:tab/>
      </w:r>
      <w:r>
        <w:rPr>
          <w:rFonts w:cs="Arial"/>
          <w:szCs w:val="24"/>
        </w:rPr>
        <w:t>Acción de tutela</w:t>
      </w:r>
    </w:p>
    <w:p w14:paraId="7E3469DA" w14:textId="61678EBC" w:rsidR="00F779FE" w:rsidRDefault="00F779FE" w:rsidP="00F779FE">
      <w:pPr>
        <w:tabs>
          <w:tab w:val="left" w:pos="1985"/>
        </w:tabs>
        <w:rPr>
          <w:rFonts w:cs="Arial"/>
          <w:szCs w:val="24"/>
        </w:rPr>
      </w:pPr>
      <w:r>
        <w:rPr>
          <w:rFonts w:cs="Arial"/>
          <w:b/>
          <w:szCs w:val="24"/>
        </w:rPr>
        <w:t>Radicación:</w:t>
      </w:r>
      <w:r>
        <w:rPr>
          <w:rFonts w:cs="Arial"/>
          <w:b/>
          <w:szCs w:val="24"/>
        </w:rPr>
        <w:tab/>
      </w:r>
      <w:r w:rsidRPr="00F779FE">
        <w:rPr>
          <w:rFonts w:cs="Arial"/>
          <w:szCs w:val="24"/>
        </w:rPr>
        <w:t>11001-03-15-000-2021-00332-0</w:t>
      </w:r>
      <w:r>
        <w:rPr>
          <w:rFonts w:cs="Arial"/>
          <w:szCs w:val="24"/>
        </w:rPr>
        <w:t>1</w:t>
      </w:r>
    </w:p>
    <w:p w14:paraId="7121CBCE" w14:textId="12572A17" w:rsidR="00F779FE" w:rsidRDefault="00F779FE" w:rsidP="00F779FE">
      <w:pPr>
        <w:tabs>
          <w:tab w:val="left" w:pos="1985"/>
        </w:tabs>
        <w:rPr>
          <w:rFonts w:cs="Arial"/>
          <w:szCs w:val="24"/>
        </w:rPr>
      </w:pPr>
      <w:r>
        <w:rPr>
          <w:rFonts w:cs="Arial"/>
          <w:b/>
          <w:szCs w:val="24"/>
        </w:rPr>
        <w:t>Accionante:</w:t>
      </w:r>
      <w:r>
        <w:rPr>
          <w:rFonts w:cs="Arial"/>
          <w:b/>
          <w:szCs w:val="24"/>
        </w:rPr>
        <w:tab/>
      </w:r>
      <w:r w:rsidRPr="00F779FE">
        <w:rPr>
          <w:rFonts w:cs="Arial"/>
          <w:szCs w:val="24"/>
        </w:rPr>
        <w:t>Marcela Chaves Álava</w:t>
      </w:r>
    </w:p>
    <w:p w14:paraId="38949114" w14:textId="1E6A2FE8" w:rsidR="00F779FE" w:rsidRDefault="00F779FE" w:rsidP="00F779FE">
      <w:pPr>
        <w:tabs>
          <w:tab w:val="left" w:pos="1985"/>
        </w:tabs>
        <w:ind w:left="1985" w:hanging="1985"/>
        <w:contextualSpacing/>
        <w:jc w:val="both"/>
        <w:rPr>
          <w:rFonts w:cs="Arial"/>
          <w:bCs/>
          <w:szCs w:val="24"/>
        </w:rPr>
      </w:pPr>
      <w:r>
        <w:rPr>
          <w:rFonts w:cs="Arial"/>
          <w:b/>
          <w:szCs w:val="24"/>
        </w:rPr>
        <w:t>Accionado:</w:t>
      </w:r>
      <w:r>
        <w:rPr>
          <w:rFonts w:cs="Arial"/>
          <w:szCs w:val="24"/>
        </w:rPr>
        <w:tab/>
      </w:r>
      <w:r w:rsidRPr="00F779FE">
        <w:rPr>
          <w:rFonts w:cs="Arial"/>
          <w:szCs w:val="24"/>
        </w:rPr>
        <w:t>Consejo Superior de la Judicatura y otros</w:t>
      </w:r>
    </w:p>
    <w:p w14:paraId="368E6DD4" w14:textId="77777777" w:rsidR="00F779FE" w:rsidRDefault="00F779FE" w:rsidP="00F779FE">
      <w:pPr>
        <w:tabs>
          <w:tab w:val="left" w:pos="1985"/>
        </w:tabs>
        <w:ind w:left="1985" w:hanging="1985"/>
        <w:rPr>
          <w:rFonts w:cs="Arial"/>
          <w:b/>
          <w:szCs w:val="24"/>
        </w:rPr>
      </w:pPr>
    </w:p>
    <w:p w14:paraId="11183563" w14:textId="76A111FF" w:rsidR="00F779FE" w:rsidRDefault="00F779FE" w:rsidP="00F779FE">
      <w:pPr>
        <w:tabs>
          <w:tab w:val="left" w:pos="426"/>
          <w:tab w:val="left" w:pos="993"/>
        </w:tabs>
        <w:jc w:val="both"/>
        <w:rPr>
          <w:rFonts w:cs="Arial"/>
          <w:i/>
          <w:szCs w:val="24"/>
        </w:rPr>
      </w:pPr>
      <w:r>
        <w:rPr>
          <w:rFonts w:cs="Arial"/>
          <w:b/>
          <w:szCs w:val="24"/>
        </w:rPr>
        <w:t>Temas:</w:t>
      </w:r>
      <w:r>
        <w:rPr>
          <w:rFonts w:cs="Arial"/>
          <w:szCs w:val="24"/>
        </w:rPr>
        <w:t xml:space="preserve"> </w:t>
      </w:r>
      <w:r>
        <w:rPr>
          <w:rFonts w:cs="Arial"/>
          <w:szCs w:val="24"/>
        </w:rPr>
        <w:tab/>
      </w:r>
      <w:r>
        <w:rPr>
          <w:rFonts w:cs="Arial"/>
          <w:i/>
          <w:szCs w:val="24"/>
        </w:rPr>
        <w:t>Tutela contra a</w:t>
      </w:r>
      <w:r w:rsidR="00475084">
        <w:rPr>
          <w:rFonts w:cs="Arial"/>
          <w:i/>
          <w:szCs w:val="24"/>
        </w:rPr>
        <w:t>cto administrativo / Se revoca</w:t>
      </w:r>
      <w:r>
        <w:rPr>
          <w:rFonts w:cs="Arial"/>
          <w:i/>
          <w:szCs w:val="24"/>
        </w:rPr>
        <w:t xml:space="preserve"> la decisión de primera instancia</w:t>
      </w:r>
      <w:r w:rsidR="00475084">
        <w:rPr>
          <w:rFonts w:cs="Arial"/>
          <w:i/>
          <w:szCs w:val="24"/>
        </w:rPr>
        <w:t xml:space="preserve"> que negó el amparo, para en su lugar, </w:t>
      </w:r>
      <w:r w:rsidR="00A43504">
        <w:rPr>
          <w:rFonts w:cs="Arial"/>
          <w:i/>
          <w:szCs w:val="24"/>
        </w:rPr>
        <w:t>declara la i</w:t>
      </w:r>
      <w:r>
        <w:rPr>
          <w:rFonts w:cs="Arial"/>
          <w:i/>
          <w:szCs w:val="24"/>
        </w:rPr>
        <w:t>mprocedencia porque no se cumple con el requisito general de subsidiariedad</w:t>
      </w:r>
      <w:r>
        <w:rPr>
          <w:rFonts w:cs="Arial"/>
          <w:szCs w:val="24"/>
        </w:rPr>
        <w:t xml:space="preserve"> </w:t>
      </w:r>
    </w:p>
    <w:p w14:paraId="68C4C27F" w14:textId="77777777" w:rsidR="00F779FE" w:rsidRDefault="00F779FE" w:rsidP="00F779FE">
      <w:pPr>
        <w:tabs>
          <w:tab w:val="left" w:pos="426"/>
          <w:tab w:val="left" w:pos="993"/>
        </w:tabs>
        <w:jc w:val="both"/>
        <w:rPr>
          <w:rFonts w:cs="Arial"/>
          <w:b/>
          <w:szCs w:val="24"/>
        </w:rPr>
      </w:pPr>
    </w:p>
    <w:p w14:paraId="398A1AF5" w14:textId="77777777" w:rsidR="009846EA" w:rsidRDefault="009846EA" w:rsidP="00F779FE">
      <w:pPr>
        <w:pBdr>
          <w:bottom w:val="single" w:sz="12" w:space="0" w:color="auto"/>
        </w:pBdr>
        <w:ind w:left="2832" w:hanging="2832"/>
        <w:rPr>
          <w:rFonts w:cs="Arial"/>
          <w:b/>
          <w:szCs w:val="24"/>
        </w:rPr>
      </w:pPr>
    </w:p>
    <w:p w14:paraId="5F66706E" w14:textId="6C0C93AC" w:rsidR="00F779FE" w:rsidRDefault="00F779FE" w:rsidP="00F779FE">
      <w:pPr>
        <w:pBdr>
          <w:bottom w:val="single" w:sz="12" w:space="0" w:color="auto"/>
        </w:pBdr>
        <w:ind w:left="2832" w:hanging="2832"/>
        <w:rPr>
          <w:rFonts w:cs="Arial"/>
          <w:b/>
          <w:szCs w:val="24"/>
        </w:rPr>
      </w:pPr>
      <w:r>
        <w:rPr>
          <w:rFonts w:cs="Arial"/>
          <w:b/>
          <w:szCs w:val="24"/>
        </w:rPr>
        <w:t xml:space="preserve">SENTENCIA DE </w:t>
      </w:r>
      <w:r w:rsidR="00111DBC">
        <w:rPr>
          <w:rFonts w:cs="Arial"/>
          <w:b/>
          <w:szCs w:val="24"/>
        </w:rPr>
        <w:t>SEGUNDA</w:t>
      </w:r>
      <w:r>
        <w:rPr>
          <w:rFonts w:cs="Arial"/>
          <w:b/>
          <w:szCs w:val="24"/>
        </w:rPr>
        <w:t xml:space="preserve"> INSTANCIA</w:t>
      </w:r>
    </w:p>
    <w:p w14:paraId="77F4142F" w14:textId="77777777" w:rsidR="00F779FE" w:rsidRDefault="00F779FE" w:rsidP="00F779FE">
      <w:pPr>
        <w:overflowPunct w:val="0"/>
        <w:autoSpaceDE w:val="0"/>
        <w:autoSpaceDN w:val="0"/>
        <w:adjustRightInd w:val="0"/>
        <w:rPr>
          <w:rFonts w:eastAsia="Times New Roman" w:cs="Arial"/>
          <w:szCs w:val="24"/>
          <w:lang w:eastAsia="es-ES"/>
        </w:rPr>
      </w:pPr>
    </w:p>
    <w:p w14:paraId="3D512D61" w14:textId="01E73045" w:rsidR="007A2BD6" w:rsidRDefault="00F779FE" w:rsidP="00F779FE">
      <w:pPr>
        <w:jc w:val="both"/>
        <w:rPr>
          <w:rFonts w:cs="Arial"/>
          <w:szCs w:val="24"/>
        </w:rPr>
      </w:pPr>
      <w:r>
        <w:rPr>
          <w:rFonts w:cs="Arial"/>
          <w:szCs w:val="24"/>
        </w:rPr>
        <w:t xml:space="preserve">Procede la Sala a decidir el recurso </w:t>
      </w:r>
      <w:r w:rsidR="007A2BD6">
        <w:rPr>
          <w:rFonts w:cs="Arial"/>
          <w:szCs w:val="24"/>
        </w:rPr>
        <w:t xml:space="preserve">de impugnación interpuesto por la accionante contra la sentencia del 4 de marzo de 2021 proferida por la Sección Segunda, Subsección A del Consejo de Estado, </w:t>
      </w:r>
      <w:r w:rsidR="00475084">
        <w:rPr>
          <w:rFonts w:cs="Arial"/>
          <w:szCs w:val="24"/>
        </w:rPr>
        <w:t>que negó el amparo solicitado</w:t>
      </w:r>
      <w:r w:rsidR="007900F9">
        <w:rPr>
          <w:rFonts w:cs="Arial"/>
          <w:szCs w:val="24"/>
        </w:rPr>
        <w:t>.</w:t>
      </w:r>
    </w:p>
    <w:p w14:paraId="3677DEFD" w14:textId="77777777" w:rsidR="00F779FE" w:rsidRDefault="00F779FE" w:rsidP="00F779FE">
      <w:pPr>
        <w:jc w:val="both"/>
        <w:rPr>
          <w:rFonts w:cs="Arial"/>
          <w:szCs w:val="24"/>
        </w:rPr>
      </w:pPr>
    </w:p>
    <w:p w14:paraId="2FB26747" w14:textId="122BDAAE" w:rsidR="00F779FE" w:rsidRDefault="00F779FE" w:rsidP="00F779FE">
      <w:pPr>
        <w:pStyle w:val="Textonotapie"/>
        <w:spacing w:line="276" w:lineRule="auto"/>
        <w:jc w:val="both"/>
        <w:rPr>
          <w:rFonts w:cstheme="minorBidi"/>
          <w:sz w:val="24"/>
          <w:szCs w:val="24"/>
          <w:highlight w:val="yellow"/>
        </w:rPr>
      </w:pPr>
      <w:r>
        <w:rPr>
          <w:sz w:val="24"/>
          <w:szCs w:val="24"/>
        </w:rPr>
        <w:t>La Subsección B de la Sección Tercera del Consejo de Estado es la competente para conocer de la acción de tutela porque está dirigida contra varias entidades, entre ellas el Consejo Superior de la Judicatura, de conformidad con lo dispuesto en el artículo 86 de la Constitución Política, Decretos 2591 de 1991, 1382 de 2000, 1069 de 2015 y 1983 de 2017 y</w:t>
      </w:r>
      <w:r w:rsidR="00A43504">
        <w:rPr>
          <w:sz w:val="24"/>
          <w:szCs w:val="24"/>
        </w:rPr>
        <w:t xml:space="preserve"> en el</w:t>
      </w:r>
      <w:r>
        <w:rPr>
          <w:sz w:val="24"/>
          <w:szCs w:val="24"/>
        </w:rPr>
        <w:t xml:space="preserve"> Acuerdo </w:t>
      </w:r>
      <w:r w:rsidR="007A2BD6">
        <w:rPr>
          <w:sz w:val="24"/>
          <w:szCs w:val="24"/>
        </w:rPr>
        <w:t>80</w:t>
      </w:r>
      <w:r>
        <w:rPr>
          <w:sz w:val="24"/>
          <w:szCs w:val="24"/>
        </w:rPr>
        <w:t xml:space="preserve"> de 201</w:t>
      </w:r>
      <w:r w:rsidR="007A2BD6">
        <w:rPr>
          <w:sz w:val="24"/>
          <w:szCs w:val="24"/>
        </w:rPr>
        <w:t>9</w:t>
      </w:r>
      <w:r>
        <w:rPr>
          <w:sz w:val="24"/>
          <w:szCs w:val="24"/>
        </w:rPr>
        <w:t xml:space="preserve"> de esta Corporación.</w:t>
      </w:r>
    </w:p>
    <w:p w14:paraId="6A30E0B0" w14:textId="77777777" w:rsidR="00F779FE" w:rsidRDefault="00F779FE" w:rsidP="00F779FE">
      <w:pPr>
        <w:rPr>
          <w:rFonts w:cs="Arial"/>
          <w:szCs w:val="24"/>
        </w:rPr>
      </w:pPr>
    </w:p>
    <w:p w14:paraId="7028AE3B" w14:textId="77777777" w:rsidR="00F779FE" w:rsidRDefault="00F779FE" w:rsidP="00F779FE">
      <w:pPr>
        <w:pStyle w:val="Ttulo1"/>
        <w:spacing w:before="0"/>
        <w:jc w:val="center"/>
        <w:rPr>
          <w:rFonts w:cs="Arial"/>
          <w:szCs w:val="24"/>
        </w:rPr>
      </w:pPr>
      <w:r>
        <w:rPr>
          <w:rFonts w:cs="Arial"/>
          <w:szCs w:val="24"/>
        </w:rPr>
        <w:t>I. ANTECEDENTES</w:t>
      </w:r>
    </w:p>
    <w:p w14:paraId="63B0F5A8" w14:textId="77777777" w:rsidR="00F779FE" w:rsidRDefault="00F779FE" w:rsidP="00F779FE">
      <w:pPr>
        <w:rPr>
          <w:rFonts w:cs="Arial"/>
          <w:b/>
          <w:szCs w:val="24"/>
        </w:rPr>
      </w:pPr>
    </w:p>
    <w:p w14:paraId="16CD2159" w14:textId="77777777" w:rsidR="00F779FE" w:rsidRDefault="00F779FE" w:rsidP="00F779FE">
      <w:pPr>
        <w:rPr>
          <w:rFonts w:cs="Arial"/>
          <w:b/>
          <w:szCs w:val="24"/>
        </w:rPr>
      </w:pPr>
      <w:r>
        <w:rPr>
          <w:rFonts w:cs="Arial"/>
          <w:b/>
          <w:szCs w:val="24"/>
        </w:rPr>
        <w:t>A. Solicitud de amparo</w:t>
      </w:r>
    </w:p>
    <w:p w14:paraId="56851BB6" w14:textId="77777777" w:rsidR="00F779FE" w:rsidRDefault="00F779FE" w:rsidP="00F779FE">
      <w:pPr>
        <w:rPr>
          <w:rFonts w:cs="Arial"/>
          <w:b/>
          <w:szCs w:val="24"/>
        </w:rPr>
      </w:pPr>
    </w:p>
    <w:p w14:paraId="4B8500CA" w14:textId="06C749AB" w:rsidR="00F779FE" w:rsidRDefault="00F779FE" w:rsidP="00F779FE">
      <w:pPr>
        <w:suppressAutoHyphens/>
        <w:jc w:val="both"/>
        <w:rPr>
          <w:rFonts w:cs="Arial"/>
          <w:szCs w:val="24"/>
        </w:rPr>
      </w:pPr>
      <w:r>
        <w:rPr>
          <w:rFonts w:cs="Arial"/>
          <w:bCs/>
          <w:szCs w:val="24"/>
        </w:rPr>
        <w:lastRenderedPageBreak/>
        <w:t xml:space="preserve">1.- </w:t>
      </w:r>
      <w:r>
        <w:rPr>
          <w:rFonts w:cs="Arial"/>
          <w:szCs w:val="24"/>
        </w:rPr>
        <w:t xml:space="preserve">El </w:t>
      </w:r>
      <w:r w:rsidR="007A2BD6">
        <w:rPr>
          <w:rFonts w:cs="Arial"/>
          <w:szCs w:val="24"/>
        </w:rPr>
        <w:t xml:space="preserve">25 de enero de 2021 Marcela Chaves Álava interpuso acción de tutela </w:t>
      </w:r>
      <w:r>
        <w:rPr>
          <w:rFonts w:cs="Arial"/>
          <w:szCs w:val="24"/>
        </w:rPr>
        <w:t xml:space="preserve">para obtener la protección de sus derechos fundamentales al debido proceso, </w:t>
      </w:r>
      <w:r w:rsidR="00FA0EE1">
        <w:rPr>
          <w:rFonts w:cs="Arial"/>
          <w:szCs w:val="24"/>
        </w:rPr>
        <w:t xml:space="preserve">seguridad jurídica, </w:t>
      </w:r>
      <w:r w:rsidRPr="00FA0EE1">
        <w:rPr>
          <w:rFonts w:cs="Arial"/>
          <w:szCs w:val="24"/>
        </w:rPr>
        <w:t>acceso a cargos públicos</w:t>
      </w:r>
      <w:r w:rsidR="00FA0EE1">
        <w:rPr>
          <w:rFonts w:cs="Arial"/>
          <w:szCs w:val="24"/>
        </w:rPr>
        <w:t xml:space="preserve"> y a la buena fe, </w:t>
      </w:r>
      <w:r>
        <w:rPr>
          <w:rFonts w:cs="Arial"/>
          <w:szCs w:val="24"/>
        </w:rPr>
        <w:t>vulnerados, en su concepto</w:t>
      </w:r>
      <w:r w:rsidR="00A43504">
        <w:rPr>
          <w:rFonts w:cs="Arial"/>
          <w:szCs w:val="24"/>
        </w:rPr>
        <w:t>,</w:t>
      </w:r>
      <w:r w:rsidR="0015046B">
        <w:rPr>
          <w:rFonts w:cs="Arial"/>
          <w:szCs w:val="24"/>
        </w:rPr>
        <w:t xml:space="preserve"> por</w:t>
      </w:r>
      <w:r w:rsidR="00FA0EE1">
        <w:rPr>
          <w:rFonts w:cs="Arial"/>
          <w:szCs w:val="24"/>
        </w:rPr>
        <w:t xml:space="preserve"> el Consejo Superior de la Judicatura – Unidad de Administración de Carrera Judicial y </w:t>
      </w:r>
      <w:r w:rsidR="0015046B">
        <w:rPr>
          <w:rFonts w:cs="Arial"/>
          <w:szCs w:val="24"/>
        </w:rPr>
        <w:t xml:space="preserve">por </w:t>
      </w:r>
      <w:r w:rsidR="00FA0EE1">
        <w:rPr>
          <w:rFonts w:cs="Arial"/>
          <w:szCs w:val="24"/>
        </w:rPr>
        <w:t xml:space="preserve">la Universidad Nacional, con ocasión de </w:t>
      </w:r>
      <w:r>
        <w:rPr>
          <w:rFonts w:cs="Arial"/>
          <w:szCs w:val="24"/>
        </w:rPr>
        <w:t>la Resolución CJR20-0202 del 27 de octubre de 2020</w:t>
      </w:r>
      <w:r w:rsidR="00FA0EE1">
        <w:rPr>
          <w:rFonts w:cs="Arial"/>
          <w:szCs w:val="24"/>
        </w:rPr>
        <w:t>.</w:t>
      </w:r>
    </w:p>
    <w:p w14:paraId="487C1FE5" w14:textId="77777777" w:rsidR="00F779FE" w:rsidRDefault="00F779FE" w:rsidP="00F779FE">
      <w:pPr>
        <w:suppressAutoHyphens/>
        <w:jc w:val="both"/>
        <w:rPr>
          <w:rFonts w:cs="Arial"/>
          <w:szCs w:val="24"/>
        </w:rPr>
      </w:pPr>
    </w:p>
    <w:p w14:paraId="570C444C" w14:textId="77777777" w:rsidR="00FA0EE1" w:rsidRPr="00900D22" w:rsidRDefault="00F779FE" w:rsidP="00FA0EE1">
      <w:pPr>
        <w:spacing w:line="240" w:lineRule="auto"/>
        <w:jc w:val="both"/>
        <w:rPr>
          <w:rFonts w:cs="Arial"/>
          <w:szCs w:val="24"/>
          <w:lang w:val="es-ES"/>
        </w:rPr>
      </w:pPr>
      <w:r>
        <w:rPr>
          <w:rFonts w:cs="Arial"/>
          <w:szCs w:val="24"/>
        </w:rPr>
        <w:t xml:space="preserve">2.- </w:t>
      </w:r>
      <w:r w:rsidR="00FA0EE1" w:rsidRPr="00900D22">
        <w:rPr>
          <w:rFonts w:cs="Arial"/>
          <w:szCs w:val="24"/>
          <w:lang w:val="es-ES"/>
        </w:rPr>
        <w:t>En la acción de tutela se formularon las siguientes pretensiones:</w:t>
      </w:r>
    </w:p>
    <w:p w14:paraId="2B56DEA5" w14:textId="77777777" w:rsidR="00F779FE" w:rsidRDefault="00F779FE" w:rsidP="00F779FE">
      <w:pPr>
        <w:tabs>
          <w:tab w:val="left" w:pos="5124"/>
          <w:tab w:val="left" w:pos="7938"/>
        </w:tabs>
        <w:suppressAutoHyphens/>
        <w:ind w:left="567"/>
        <w:jc w:val="both"/>
        <w:rPr>
          <w:rFonts w:cs="Arial"/>
          <w:bCs/>
          <w:i/>
          <w:iCs/>
          <w:sz w:val="22"/>
        </w:rPr>
      </w:pPr>
    </w:p>
    <w:p w14:paraId="5B879373" w14:textId="778884F8" w:rsidR="00F779FE" w:rsidRPr="00FA0EE1" w:rsidRDefault="00FA0EE1" w:rsidP="00FA0EE1">
      <w:pPr>
        <w:ind w:left="567"/>
        <w:jc w:val="both"/>
        <w:rPr>
          <w:rFonts w:cs="Arial"/>
          <w:bCs/>
          <w:i/>
          <w:iCs/>
          <w:szCs w:val="24"/>
        </w:rPr>
      </w:pPr>
      <w:r>
        <w:rPr>
          <w:rFonts w:cs="Arial"/>
          <w:bCs/>
          <w:szCs w:val="24"/>
        </w:rPr>
        <w:t>&lt;&lt;</w:t>
      </w:r>
      <w:r w:rsidRPr="00FA0EE1">
        <w:rPr>
          <w:rFonts w:cs="Arial"/>
          <w:bCs/>
          <w:i/>
          <w:iCs/>
          <w:szCs w:val="24"/>
        </w:rPr>
        <w:t>1. Proteger mis derechos fundamentales al debido proceso, seguridad jurídica, acceso a cargos públicos por mérito y en condiciones de igualdad y a la buena (sic) fé (sic).</w:t>
      </w:r>
    </w:p>
    <w:p w14:paraId="758FC765" w14:textId="27E17217" w:rsidR="00FA0EE1" w:rsidRPr="00FA0EE1" w:rsidRDefault="00FA0EE1" w:rsidP="00FA0EE1">
      <w:pPr>
        <w:ind w:left="567"/>
        <w:jc w:val="both"/>
        <w:rPr>
          <w:rFonts w:cs="Arial"/>
          <w:bCs/>
          <w:i/>
          <w:iCs/>
          <w:szCs w:val="24"/>
        </w:rPr>
      </w:pPr>
    </w:p>
    <w:p w14:paraId="48E110D4" w14:textId="2E35A93A" w:rsidR="00FA0EE1" w:rsidRPr="00FA0EE1" w:rsidRDefault="00FA0EE1" w:rsidP="00FA0EE1">
      <w:pPr>
        <w:ind w:left="567"/>
        <w:jc w:val="both"/>
        <w:rPr>
          <w:rFonts w:cs="Arial"/>
          <w:bCs/>
          <w:i/>
          <w:iCs/>
          <w:szCs w:val="24"/>
        </w:rPr>
      </w:pPr>
      <w:r w:rsidRPr="00FA0EE1">
        <w:rPr>
          <w:rFonts w:cs="Arial"/>
          <w:bCs/>
          <w:i/>
          <w:iCs/>
          <w:szCs w:val="24"/>
        </w:rPr>
        <w:t xml:space="preserve">2. Ordene que dentro del término de las 48 horas siguientes al fallo de tutela las accionadas dejen sin efectos jurídicos la Resolución No. CJR20-0202 de 27 de octubre de 2020. “Por medio de la cual se corrige una actuación administrativa en el marco de la convocatoria No. 027”, proferida por la Directora (sic) de la Unidad de Administración de la Carrera Judicial del Consejo Superior de la Judicatura por ser violatoria del debido proceso y de mis derechos fundamentales y por incurrir en vía de hecho procedimental. </w:t>
      </w:r>
    </w:p>
    <w:p w14:paraId="7D4F6470" w14:textId="77777777" w:rsidR="00FA0EE1" w:rsidRPr="00FA0EE1" w:rsidRDefault="00FA0EE1" w:rsidP="00FA0EE1">
      <w:pPr>
        <w:ind w:left="567"/>
        <w:jc w:val="both"/>
        <w:rPr>
          <w:rFonts w:cs="Arial"/>
          <w:bCs/>
          <w:i/>
          <w:iCs/>
          <w:szCs w:val="24"/>
        </w:rPr>
      </w:pPr>
    </w:p>
    <w:p w14:paraId="69CD0B34" w14:textId="1E1E3515" w:rsidR="00FA0EE1" w:rsidRPr="00FA0EE1" w:rsidRDefault="00FA0EE1" w:rsidP="00FA0EE1">
      <w:pPr>
        <w:ind w:left="567"/>
        <w:jc w:val="both"/>
        <w:rPr>
          <w:rFonts w:cs="Arial"/>
          <w:bCs/>
          <w:i/>
          <w:iCs/>
          <w:szCs w:val="24"/>
        </w:rPr>
      </w:pPr>
      <w:r w:rsidRPr="00FA0EE1">
        <w:rPr>
          <w:rFonts w:cs="Arial"/>
          <w:bCs/>
          <w:i/>
          <w:iCs/>
          <w:szCs w:val="24"/>
        </w:rPr>
        <w:t xml:space="preserve">3. Ordenar la continuación de la Convocatoria No. 027 de funcionarios de la Rama Judicial con las personas que superaron el puntaje aprobatorio de 800 puntos, entre ellas, la suscrita, de acuerdo con lo dispuesto en la Resolución CJR19-0679 de 7 de junio de 2019 y sus anexos, esto es que se continúe con la citación al Curso (sic) Concurso (sic), según lo regulado en los Acuerdos No. PCSJA 19-11400 de 2019 y PCSJA19-11405 de 2019 del Consejo Superior de la Judicatura, actos administrativos actualmente vigentes. </w:t>
      </w:r>
    </w:p>
    <w:p w14:paraId="7A33C718" w14:textId="77777777" w:rsidR="00FA0EE1" w:rsidRPr="00FA0EE1" w:rsidRDefault="00FA0EE1" w:rsidP="00FA0EE1">
      <w:pPr>
        <w:ind w:left="567"/>
        <w:jc w:val="both"/>
        <w:rPr>
          <w:rFonts w:cs="Arial"/>
          <w:bCs/>
          <w:i/>
          <w:iCs/>
          <w:szCs w:val="24"/>
        </w:rPr>
      </w:pPr>
    </w:p>
    <w:p w14:paraId="0EE2B4B3" w14:textId="25D30623" w:rsidR="00FA0EE1" w:rsidRDefault="00FA0EE1" w:rsidP="00FA0EE1">
      <w:pPr>
        <w:ind w:left="567"/>
        <w:jc w:val="both"/>
        <w:rPr>
          <w:rFonts w:cs="Arial"/>
          <w:bCs/>
          <w:szCs w:val="24"/>
        </w:rPr>
      </w:pPr>
      <w:r w:rsidRPr="00FA0EE1">
        <w:rPr>
          <w:rFonts w:cs="Arial"/>
          <w:bCs/>
          <w:i/>
          <w:iCs/>
          <w:szCs w:val="24"/>
        </w:rPr>
        <w:t>4. En caso de que no prosperen las pretensiones 2 y 3, le solicito que en protección a mis derechos fundamentales en el caso particular se mantenga mi puntaje aprobatorio de 819,9 puntos en las pruebas de conocimientos y aptitudes para el cargo de Magistrado de Tribunal Administrativo, y el puntaje otorgado en mi prueba psicotécnica dentro del concurso No. 0027(sic) para funcionarios de la Rama Judicial, según lo dispuesto en el (sic) Resolución CJR19-0679 de 7 de junio de 2019 y sus anexos; sin que se me exija presentar una nueva prueba de conocimientos y aptitudes, ordenando además mi citación directa al curso concurso, regulado en los Acuerdos No. PCSJA 19-11400 de 2019 y PCSJA19-11405 de 2019 del Consejo Superior de la Judicatura, actos administrativos actualmente vigentes</w:t>
      </w:r>
      <w:r>
        <w:rPr>
          <w:rFonts w:cs="Arial"/>
          <w:bCs/>
          <w:szCs w:val="24"/>
        </w:rPr>
        <w:t>&gt;&gt;</w:t>
      </w:r>
      <w:r w:rsidRPr="00FA0EE1">
        <w:rPr>
          <w:rFonts w:cs="Arial"/>
          <w:bCs/>
          <w:szCs w:val="24"/>
        </w:rPr>
        <w:t>.</w:t>
      </w:r>
    </w:p>
    <w:p w14:paraId="6CE892BD" w14:textId="77777777" w:rsidR="00FA0EE1" w:rsidRDefault="00FA0EE1" w:rsidP="00F779FE">
      <w:pPr>
        <w:jc w:val="both"/>
        <w:rPr>
          <w:rFonts w:cs="Arial"/>
          <w:bCs/>
          <w:szCs w:val="24"/>
        </w:rPr>
      </w:pPr>
    </w:p>
    <w:p w14:paraId="7B309BC9" w14:textId="77777777" w:rsidR="00F779FE" w:rsidRDefault="00F779FE" w:rsidP="00F779FE">
      <w:pPr>
        <w:widowControl w:val="0"/>
        <w:autoSpaceDE w:val="0"/>
        <w:autoSpaceDN w:val="0"/>
        <w:adjustRightInd w:val="0"/>
        <w:jc w:val="both"/>
        <w:rPr>
          <w:rFonts w:eastAsia="Times New Roman" w:cs="Arial"/>
          <w:b/>
          <w:szCs w:val="24"/>
          <w:lang w:eastAsia="es-ES"/>
        </w:rPr>
      </w:pPr>
      <w:r>
        <w:rPr>
          <w:rFonts w:eastAsia="Times New Roman" w:cs="Arial"/>
          <w:b/>
          <w:szCs w:val="24"/>
          <w:lang w:eastAsia="es-ES"/>
        </w:rPr>
        <w:t xml:space="preserve">B. Hechos </w:t>
      </w:r>
    </w:p>
    <w:p w14:paraId="12D55546" w14:textId="77777777" w:rsidR="00F779FE" w:rsidRDefault="00F779FE" w:rsidP="00F779FE">
      <w:pPr>
        <w:jc w:val="both"/>
        <w:rPr>
          <w:rFonts w:cs="Arial"/>
          <w:szCs w:val="24"/>
        </w:rPr>
      </w:pPr>
    </w:p>
    <w:p w14:paraId="1D351D99" w14:textId="30E2BCFA" w:rsidR="00F779FE" w:rsidRDefault="0004722D" w:rsidP="00F779FE">
      <w:pPr>
        <w:widowControl w:val="0"/>
        <w:autoSpaceDE w:val="0"/>
        <w:autoSpaceDN w:val="0"/>
        <w:adjustRightInd w:val="0"/>
        <w:jc w:val="both"/>
        <w:rPr>
          <w:rFonts w:eastAsia="Times New Roman" w:cs="Arial"/>
          <w:szCs w:val="24"/>
          <w:lang w:eastAsia="es-ES"/>
        </w:rPr>
      </w:pPr>
      <w:r>
        <w:rPr>
          <w:rFonts w:eastAsia="Times New Roman" w:cs="Arial"/>
          <w:szCs w:val="24"/>
          <w:lang w:eastAsia="es-ES"/>
        </w:rPr>
        <w:t xml:space="preserve">3.- </w:t>
      </w:r>
      <w:r w:rsidR="00F779FE">
        <w:rPr>
          <w:rFonts w:eastAsia="Times New Roman" w:cs="Arial"/>
          <w:szCs w:val="24"/>
          <w:lang w:eastAsia="es-ES"/>
        </w:rPr>
        <w:t>La accionante basó su solicitud de amparo en las siguientes afirmaciones:</w:t>
      </w:r>
    </w:p>
    <w:p w14:paraId="19BD2EC8" w14:textId="77777777" w:rsidR="00F779FE" w:rsidRDefault="00F779FE" w:rsidP="00F779FE">
      <w:pPr>
        <w:widowControl w:val="0"/>
        <w:autoSpaceDE w:val="0"/>
        <w:autoSpaceDN w:val="0"/>
        <w:adjustRightInd w:val="0"/>
        <w:jc w:val="both"/>
        <w:rPr>
          <w:rFonts w:eastAsia="Times New Roman" w:cs="Arial"/>
          <w:szCs w:val="24"/>
          <w:lang w:eastAsia="es-ES"/>
        </w:rPr>
      </w:pPr>
    </w:p>
    <w:p w14:paraId="6E844CBA" w14:textId="2ACDF287" w:rsidR="006700A7" w:rsidRDefault="00F779FE" w:rsidP="00F779FE">
      <w:pPr>
        <w:jc w:val="both"/>
        <w:rPr>
          <w:rFonts w:eastAsia="Times New Roman" w:cs="Arial"/>
          <w:szCs w:val="24"/>
          <w:lang w:eastAsia="es-ES"/>
        </w:rPr>
      </w:pPr>
      <w:r>
        <w:rPr>
          <w:rFonts w:eastAsia="Times New Roman" w:cs="Arial"/>
          <w:szCs w:val="24"/>
          <w:lang w:eastAsia="es-ES"/>
        </w:rPr>
        <w:t>3.</w:t>
      </w:r>
      <w:r w:rsidR="0004722D">
        <w:rPr>
          <w:rFonts w:eastAsia="Times New Roman" w:cs="Arial"/>
          <w:szCs w:val="24"/>
          <w:lang w:eastAsia="es-ES"/>
        </w:rPr>
        <w:t>1</w:t>
      </w:r>
      <w:r>
        <w:rPr>
          <w:rFonts w:eastAsia="Times New Roman" w:cs="Arial"/>
          <w:szCs w:val="24"/>
          <w:lang w:eastAsia="es-ES"/>
        </w:rPr>
        <w:t xml:space="preserve">- </w:t>
      </w:r>
      <w:r w:rsidR="006700A7" w:rsidRPr="006700A7">
        <w:rPr>
          <w:rFonts w:eastAsia="Times New Roman" w:cs="Arial"/>
          <w:szCs w:val="24"/>
          <w:lang w:eastAsia="es-ES"/>
        </w:rPr>
        <w:t>Mediante el Acuerdo No. PCSJA18-11077 de</w:t>
      </w:r>
      <w:r w:rsidR="00A43504">
        <w:rPr>
          <w:rFonts w:eastAsia="Times New Roman" w:cs="Arial"/>
          <w:szCs w:val="24"/>
          <w:lang w:eastAsia="es-ES"/>
        </w:rPr>
        <w:t>l</w:t>
      </w:r>
      <w:r w:rsidR="006700A7" w:rsidRPr="006700A7">
        <w:rPr>
          <w:rFonts w:eastAsia="Times New Roman" w:cs="Arial"/>
          <w:szCs w:val="24"/>
          <w:lang w:eastAsia="es-ES"/>
        </w:rPr>
        <w:t xml:space="preserve"> 16 de agosto de 2018, el Consejo Superior de la Judicatura reglamentó el concurso de méritos para la provisión de cargos de jueces y magistrados de la Rama Judicial (Convocatoria No. 27), </w:t>
      </w:r>
      <w:r w:rsidR="00A43504">
        <w:rPr>
          <w:rFonts w:eastAsia="Times New Roman" w:cs="Arial"/>
          <w:szCs w:val="24"/>
          <w:lang w:eastAsia="es-ES"/>
        </w:rPr>
        <w:t>al</w:t>
      </w:r>
      <w:r w:rsidR="006700A7" w:rsidRPr="006700A7">
        <w:rPr>
          <w:rFonts w:eastAsia="Times New Roman" w:cs="Arial"/>
          <w:szCs w:val="24"/>
          <w:lang w:eastAsia="es-ES"/>
        </w:rPr>
        <w:t xml:space="preserve"> cual </w:t>
      </w:r>
      <w:r w:rsidR="00A43504">
        <w:rPr>
          <w:rFonts w:eastAsia="Times New Roman" w:cs="Arial"/>
          <w:szCs w:val="24"/>
          <w:lang w:eastAsia="es-ES"/>
        </w:rPr>
        <w:t xml:space="preserve">se inscribió </w:t>
      </w:r>
      <w:r w:rsidR="006700A7">
        <w:rPr>
          <w:rFonts w:eastAsia="Times New Roman" w:cs="Arial"/>
          <w:szCs w:val="24"/>
          <w:lang w:eastAsia="es-ES"/>
        </w:rPr>
        <w:t xml:space="preserve">la señora </w:t>
      </w:r>
      <w:r w:rsidR="006700A7" w:rsidRPr="00F779FE">
        <w:rPr>
          <w:rFonts w:cs="Arial"/>
          <w:szCs w:val="24"/>
        </w:rPr>
        <w:t>Marcela Chaves Álava</w:t>
      </w:r>
      <w:r w:rsidR="006700A7">
        <w:rPr>
          <w:rFonts w:eastAsia="Times New Roman" w:cs="Arial"/>
          <w:szCs w:val="24"/>
          <w:lang w:eastAsia="es-ES"/>
        </w:rPr>
        <w:t xml:space="preserve"> </w:t>
      </w:r>
      <w:r w:rsidR="006700A7" w:rsidRPr="006700A7">
        <w:rPr>
          <w:rFonts w:eastAsia="Times New Roman" w:cs="Arial"/>
          <w:szCs w:val="24"/>
          <w:lang w:eastAsia="es-ES"/>
        </w:rPr>
        <w:t xml:space="preserve">para el cargo de </w:t>
      </w:r>
      <w:r w:rsidR="00A43504">
        <w:rPr>
          <w:rFonts w:eastAsia="Times New Roman" w:cs="Arial"/>
          <w:szCs w:val="24"/>
          <w:lang w:eastAsia="es-ES"/>
        </w:rPr>
        <w:t xml:space="preserve">magistrada de </w:t>
      </w:r>
      <w:r w:rsidR="006700A7">
        <w:rPr>
          <w:rFonts w:eastAsia="Times New Roman" w:cs="Arial"/>
          <w:szCs w:val="24"/>
          <w:lang w:eastAsia="es-ES"/>
        </w:rPr>
        <w:t>Tribunal Administrativo</w:t>
      </w:r>
      <w:r w:rsidR="006700A7" w:rsidRPr="006700A7">
        <w:rPr>
          <w:rFonts w:eastAsia="Times New Roman" w:cs="Arial"/>
          <w:szCs w:val="24"/>
          <w:lang w:eastAsia="es-ES"/>
        </w:rPr>
        <w:t>.</w:t>
      </w:r>
    </w:p>
    <w:p w14:paraId="02ECB4C4" w14:textId="77777777" w:rsidR="00F779FE" w:rsidRDefault="00F779FE" w:rsidP="00F779FE">
      <w:pPr>
        <w:jc w:val="both"/>
        <w:rPr>
          <w:rFonts w:eastAsia="Times New Roman" w:cs="Arial"/>
          <w:szCs w:val="24"/>
          <w:lang w:eastAsia="es-ES"/>
        </w:rPr>
      </w:pPr>
    </w:p>
    <w:p w14:paraId="7CC5C304" w14:textId="6AF5A9AF" w:rsidR="0004722D" w:rsidRDefault="0004722D" w:rsidP="00F779FE">
      <w:pPr>
        <w:jc w:val="both"/>
        <w:rPr>
          <w:rFonts w:eastAsia="Times New Roman" w:cs="Arial"/>
          <w:szCs w:val="24"/>
          <w:lang w:eastAsia="es-ES"/>
        </w:rPr>
      </w:pPr>
      <w:r>
        <w:rPr>
          <w:rFonts w:eastAsia="Times New Roman" w:cs="Arial"/>
          <w:szCs w:val="24"/>
          <w:lang w:eastAsia="es-ES"/>
        </w:rPr>
        <w:t>3.2</w:t>
      </w:r>
      <w:r w:rsidR="00F779FE">
        <w:rPr>
          <w:rFonts w:eastAsia="Times New Roman" w:cs="Arial"/>
          <w:szCs w:val="24"/>
          <w:lang w:eastAsia="es-ES"/>
        </w:rPr>
        <w:t xml:space="preserve">.- </w:t>
      </w:r>
      <w:r>
        <w:rPr>
          <w:rFonts w:eastAsia="Times New Roman" w:cs="Arial"/>
          <w:szCs w:val="24"/>
          <w:lang w:eastAsia="es-ES"/>
        </w:rPr>
        <w:t>El Consejo Superior de la Judicatura – Dirección Ejecutiva de Administración Judicial</w:t>
      </w:r>
      <w:r w:rsidR="00A43504">
        <w:rPr>
          <w:rFonts w:eastAsia="Times New Roman" w:cs="Arial"/>
          <w:szCs w:val="24"/>
          <w:lang w:eastAsia="es-ES"/>
        </w:rPr>
        <w:t>,</w:t>
      </w:r>
      <w:r>
        <w:rPr>
          <w:rFonts w:eastAsia="Times New Roman" w:cs="Arial"/>
          <w:szCs w:val="24"/>
          <w:lang w:eastAsia="es-ES"/>
        </w:rPr>
        <w:t xml:space="preserve"> celebró el contrato 096 de 2018 con la Universidad Nacional de Colombia, el cual tuvo como objeto el diseño, estructuración, impresión y aplicación de las pruebas de conocimientos y aptitudes en el marco de la convocatoria No. 27</w:t>
      </w:r>
      <w:r w:rsidR="0015046B">
        <w:rPr>
          <w:rFonts w:eastAsia="Times New Roman" w:cs="Arial"/>
          <w:szCs w:val="24"/>
          <w:lang w:eastAsia="es-ES"/>
        </w:rPr>
        <w:t>.</w:t>
      </w:r>
    </w:p>
    <w:p w14:paraId="6A543FFA" w14:textId="77777777" w:rsidR="0004722D" w:rsidRDefault="0004722D" w:rsidP="00F779FE">
      <w:pPr>
        <w:jc w:val="both"/>
        <w:rPr>
          <w:rFonts w:eastAsia="Times New Roman" w:cs="Arial"/>
          <w:szCs w:val="24"/>
          <w:lang w:eastAsia="es-ES"/>
        </w:rPr>
      </w:pPr>
    </w:p>
    <w:p w14:paraId="46844C06" w14:textId="6D7B9C3A" w:rsidR="006700A7" w:rsidRDefault="0004722D" w:rsidP="00F779FE">
      <w:pPr>
        <w:jc w:val="both"/>
        <w:rPr>
          <w:rFonts w:eastAsia="Times New Roman" w:cs="Arial"/>
          <w:szCs w:val="24"/>
          <w:lang w:eastAsia="es-ES"/>
        </w:rPr>
      </w:pPr>
      <w:r>
        <w:rPr>
          <w:rFonts w:eastAsia="Times New Roman" w:cs="Arial"/>
          <w:szCs w:val="24"/>
          <w:lang w:eastAsia="es-ES"/>
        </w:rPr>
        <w:t>3.3</w:t>
      </w:r>
      <w:r w:rsidR="00DE5752">
        <w:rPr>
          <w:rFonts w:eastAsia="Times New Roman" w:cs="Arial"/>
          <w:szCs w:val="24"/>
          <w:lang w:eastAsia="es-ES"/>
        </w:rPr>
        <w:t>.</w:t>
      </w:r>
      <w:r>
        <w:rPr>
          <w:rFonts w:eastAsia="Times New Roman" w:cs="Arial"/>
          <w:szCs w:val="24"/>
          <w:lang w:eastAsia="es-ES"/>
        </w:rPr>
        <w:t xml:space="preserve">- </w:t>
      </w:r>
      <w:bookmarkStart w:id="0" w:name="_Hlk71640007"/>
      <w:r w:rsidR="006700A7" w:rsidRPr="006700A7">
        <w:rPr>
          <w:rFonts w:eastAsia="Times New Roman" w:cs="Arial"/>
          <w:szCs w:val="24"/>
          <w:lang w:eastAsia="es-ES"/>
        </w:rPr>
        <w:t>En dicha convocatoria, la prueba de conocimientos, aptitudes y psicotécnica se realizó el 2 de diciembre de 2018, y sus resultados se dieron a conocer mediante la Resolución No. CJR18-559 de</w:t>
      </w:r>
      <w:r w:rsidR="00A43504">
        <w:rPr>
          <w:rFonts w:eastAsia="Times New Roman" w:cs="Arial"/>
          <w:szCs w:val="24"/>
          <w:lang w:eastAsia="es-ES"/>
        </w:rPr>
        <w:t>l</w:t>
      </w:r>
      <w:r w:rsidR="006700A7" w:rsidRPr="006700A7">
        <w:rPr>
          <w:rFonts w:eastAsia="Times New Roman" w:cs="Arial"/>
          <w:szCs w:val="24"/>
          <w:lang w:eastAsia="es-ES"/>
        </w:rPr>
        <w:t xml:space="preserve"> 28 de diciembre de 2018.</w:t>
      </w:r>
    </w:p>
    <w:bookmarkEnd w:id="0"/>
    <w:p w14:paraId="12A4AE32" w14:textId="77777777" w:rsidR="00F779FE" w:rsidRDefault="00F779FE" w:rsidP="00F779FE">
      <w:pPr>
        <w:jc w:val="both"/>
        <w:rPr>
          <w:rFonts w:eastAsia="Times New Roman" w:cs="Arial"/>
          <w:szCs w:val="24"/>
          <w:lang w:eastAsia="es-ES"/>
        </w:rPr>
      </w:pPr>
    </w:p>
    <w:p w14:paraId="4BC2CD20" w14:textId="3A254E70" w:rsidR="006700A7" w:rsidRDefault="0004722D" w:rsidP="00F779FE">
      <w:pPr>
        <w:jc w:val="both"/>
        <w:rPr>
          <w:rFonts w:eastAsia="Times New Roman" w:cs="Arial"/>
          <w:szCs w:val="24"/>
          <w:lang w:eastAsia="es-ES"/>
        </w:rPr>
      </w:pPr>
      <w:r>
        <w:rPr>
          <w:rFonts w:eastAsia="Times New Roman" w:cs="Arial"/>
          <w:szCs w:val="24"/>
          <w:lang w:eastAsia="es-ES"/>
        </w:rPr>
        <w:t>3</w:t>
      </w:r>
      <w:r w:rsidR="00F779FE">
        <w:rPr>
          <w:rFonts w:eastAsia="Times New Roman" w:cs="Arial"/>
          <w:szCs w:val="24"/>
          <w:lang w:eastAsia="es-ES"/>
        </w:rPr>
        <w:t>.</w:t>
      </w:r>
      <w:r>
        <w:rPr>
          <w:rFonts w:eastAsia="Times New Roman" w:cs="Arial"/>
          <w:szCs w:val="24"/>
          <w:lang w:eastAsia="es-ES"/>
        </w:rPr>
        <w:t>4</w:t>
      </w:r>
      <w:r w:rsidR="00DE5752">
        <w:rPr>
          <w:rFonts w:eastAsia="Times New Roman" w:cs="Arial"/>
          <w:szCs w:val="24"/>
          <w:lang w:eastAsia="es-ES"/>
        </w:rPr>
        <w:t>.</w:t>
      </w:r>
      <w:r w:rsidR="00F779FE">
        <w:rPr>
          <w:rFonts w:eastAsia="Times New Roman" w:cs="Arial"/>
          <w:szCs w:val="24"/>
          <w:lang w:eastAsia="es-ES"/>
        </w:rPr>
        <w:t xml:space="preserve">- </w:t>
      </w:r>
      <w:bookmarkStart w:id="1" w:name="_Hlk71640050"/>
      <w:r w:rsidR="006700A7" w:rsidRPr="006700A7">
        <w:rPr>
          <w:rFonts w:eastAsia="Times New Roman" w:cs="Arial"/>
          <w:szCs w:val="24"/>
          <w:lang w:eastAsia="es-ES"/>
        </w:rPr>
        <w:t>El 17 de mayo de 2019, el Consejo Superior de la Judicatura en conjunto con la Universidad Nacional de Colombia emitieron un comunicado en el que informaron que se calificaría nuevamente la prueba de aptitudes, dada la falta de actualización de las claves de respuesta, por lo que, a través de la Resolución No. CJR19-0679 de</w:t>
      </w:r>
      <w:r w:rsidR="00A43504">
        <w:rPr>
          <w:rFonts w:eastAsia="Times New Roman" w:cs="Arial"/>
          <w:szCs w:val="24"/>
          <w:lang w:eastAsia="es-ES"/>
        </w:rPr>
        <w:t>l</w:t>
      </w:r>
      <w:r w:rsidR="006700A7" w:rsidRPr="006700A7">
        <w:rPr>
          <w:rFonts w:eastAsia="Times New Roman" w:cs="Arial"/>
          <w:szCs w:val="24"/>
          <w:lang w:eastAsia="es-ES"/>
        </w:rPr>
        <w:t xml:space="preserve"> 7 de junio de 2019, se publicaron los nuevos resultados, entre ellos el de</w:t>
      </w:r>
      <w:r w:rsidR="006700A7">
        <w:rPr>
          <w:rFonts w:eastAsia="Times New Roman" w:cs="Arial"/>
          <w:szCs w:val="24"/>
          <w:lang w:eastAsia="es-ES"/>
        </w:rPr>
        <w:t xml:space="preserve"> la accionante</w:t>
      </w:r>
      <w:r w:rsidR="006700A7" w:rsidRPr="006700A7">
        <w:rPr>
          <w:rFonts w:eastAsia="Times New Roman" w:cs="Arial"/>
          <w:szCs w:val="24"/>
          <w:lang w:eastAsia="es-ES"/>
        </w:rPr>
        <w:t xml:space="preserve">, quien adujo obtener </w:t>
      </w:r>
      <w:r w:rsidR="006700A7" w:rsidRPr="002B3759">
        <w:rPr>
          <w:rFonts w:eastAsia="Times New Roman" w:cs="Arial"/>
          <w:szCs w:val="24"/>
          <w:lang w:eastAsia="es-ES"/>
        </w:rPr>
        <w:t>819,9</w:t>
      </w:r>
      <w:r w:rsidR="006700A7">
        <w:rPr>
          <w:rFonts w:eastAsia="Times New Roman" w:cs="Arial"/>
          <w:szCs w:val="24"/>
          <w:lang w:eastAsia="es-ES"/>
        </w:rPr>
        <w:t xml:space="preserve"> </w:t>
      </w:r>
      <w:r w:rsidR="006700A7" w:rsidRPr="006700A7">
        <w:rPr>
          <w:rFonts w:eastAsia="Times New Roman" w:cs="Arial"/>
          <w:szCs w:val="24"/>
          <w:lang w:eastAsia="es-ES"/>
        </w:rPr>
        <w:t>puntos.</w:t>
      </w:r>
    </w:p>
    <w:bookmarkEnd w:id="1"/>
    <w:p w14:paraId="7CD115BC" w14:textId="77777777" w:rsidR="00F779FE" w:rsidRDefault="00F779FE" w:rsidP="00F779FE">
      <w:pPr>
        <w:jc w:val="both"/>
        <w:rPr>
          <w:rFonts w:eastAsia="Times New Roman" w:cs="Arial"/>
          <w:szCs w:val="24"/>
          <w:lang w:eastAsia="es-ES"/>
        </w:rPr>
      </w:pPr>
      <w:r>
        <w:rPr>
          <w:rFonts w:eastAsia="Times New Roman" w:cs="Arial"/>
          <w:szCs w:val="24"/>
          <w:lang w:eastAsia="es-ES"/>
        </w:rPr>
        <w:t xml:space="preserve"> </w:t>
      </w:r>
    </w:p>
    <w:p w14:paraId="7C3BCC39" w14:textId="2DC828AD" w:rsidR="00F779FE" w:rsidRDefault="002B3759" w:rsidP="00F779FE">
      <w:pPr>
        <w:jc w:val="both"/>
        <w:rPr>
          <w:rFonts w:eastAsia="Times New Roman" w:cs="Arial"/>
          <w:szCs w:val="24"/>
          <w:lang w:eastAsia="es-ES"/>
        </w:rPr>
      </w:pPr>
      <w:r>
        <w:rPr>
          <w:rFonts w:eastAsia="Times New Roman" w:cs="Arial"/>
          <w:szCs w:val="24"/>
          <w:lang w:eastAsia="es-ES"/>
        </w:rPr>
        <w:t>3.5</w:t>
      </w:r>
      <w:r w:rsidR="00F779FE">
        <w:rPr>
          <w:rFonts w:eastAsia="Times New Roman" w:cs="Arial"/>
          <w:szCs w:val="24"/>
          <w:lang w:eastAsia="es-ES"/>
        </w:rPr>
        <w:t xml:space="preserve">.- </w:t>
      </w:r>
      <w:bookmarkStart w:id="2" w:name="_Hlk71640078"/>
      <w:r w:rsidR="00F779FE">
        <w:rPr>
          <w:rFonts w:eastAsia="Times New Roman" w:cs="Arial"/>
          <w:szCs w:val="24"/>
          <w:lang w:eastAsia="es-ES"/>
        </w:rPr>
        <w:t xml:space="preserve">El 27 de octubre de 2020 la Unidad de Administración de Carrera Judicial del Consejo Superior de la Judicatura expidió la Resolución No. CJR20-0202, </w:t>
      </w:r>
      <w:r w:rsidR="00F779FE">
        <w:rPr>
          <w:rFonts w:eastAsia="Times New Roman" w:cs="Arial"/>
          <w:i/>
          <w:iCs/>
          <w:szCs w:val="24"/>
          <w:lang w:eastAsia="es-ES"/>
        </w:rPr>
        <w:t>&lt;&lt;Por medio de la cual se corrige una actuación administrativa en el marco de la convocatoria 27&gt;&gt;</w:t>
      </w:r>
      <w:r w:rsidR="00F779FE">
        <w:rPr>
          <w:rFonts w:eastAsia="Times New Roman" w:cs="Arial"/>
          <w:szCs w:val="24"/>
          <w:lang w:eastAsia="es-ES"/>
        </w:rPr>
        <w:t xml:space="preserve">, en la </w:t>
      </w:r>
      <w:r w:rsidR="00A43504">
        <w:rPr>
          <w:rFonts w:eastAsia="Times New Roman" w:cs="Arial"/>
          <w:szCs w:val="24"/>
          <w:lang w:eastAsia="es-ES"/>
        </w:rPr>
        <w:t>que se</w:t>
      </w:r>
      <w:r w:rsidR="00F779FE">
        <w:rPr>
          <w:rFonts w:eastAsia="Times New Roman" w:cs="Arial"/>
          <w:szCs w:val="24"/>
          <w:lang w:eastAsia="es-ES"/>
        </w:rPr>
        <w:t xml:space="preserve"> dispuso continuar el proceso de selección con una nueva citación y aplicación de pruebas de conocimientos generales y específicos, de aptitudes y psicotécnicas, lo que implicó la anulación de la que ya se había realizado.</w:t>
      </w:r>
      <w:bookmarkEnd w:id="2"/>
    </w:p>
    <w:p w14:paraId="1D169B86" w14:textId="77777777" w:rsidR="00F779FE" w:rsidRDefault="00F779FE" w:rsidP="00F779FE">
      <w:pPr>
        <w:jc w:val="both"/>
        <w:rPr>
          <w:rFonts w:cs="Arial"/>
          <w:b/>
          <w:szCs w:val="24"/>
          <w:lang w:val="es-ES"/>
        </w:rPr>
      </w:pPr>
    </w:p>
    <w:p w14:paraId="07591E0D" w14:textId="77777777" w:rsidR="00F779FE" w:rsidRDefault="00F779FE" w:rsidP="00F779FE">
      <w:pPr>
        <w:jc w:val="both"/>
        <w:rPr>
          <w:rFonts w:cs="Arial"/>
          <w:b/>
          <w:szCs w:val="24"/>
        </w:rPr>
      </w:pPr>
      <w:r>
        <w:rPr>
          <w:rFonts w:cs="Arial"/>
          <w:b/>
          <w:szCs w:val="24"/>
        </w:rPr>
        <w:t>C. Fundamentos de la vulneración</w:t>
      </w:r>
    </w:p>
    <w:p w14:paraId="00E29F4F" w14:textId="77777777" w:rsidR="00F779FE" w:rsidRDefault="00F779FE" w:rsidP="00F779FE">
      <w:pPr>
        <w:rPr>
          <w:rFonts w:cs="Arial"/>
          <w:b/>
          <w:szCs w:val="24"/>
        </w:rPr>
      </w:pPr>
    </w:p>
    <w:p w14:paraId="7850E258" w14:textId="4207D73A" w:rsidR="00317972" w:rsidRDefault="00901BF9" w:rsidP="00F779FE">
      <w:pPr>
        <w:jc w:val="both"/>
        <w:rPr>
          <w:rFonts w:cs="Arial"/>
          <w:color w:val="000000"/>
          <w:szCs w:val="24"/>
        </w:rPr>
      </w:pPr>
      <w:r>
        <w:rPr>
          <w:rFonts w:cs="Arial"/>
          <w:color w:val="000000"/>
          <w:szCs w:val="24"/>
        </w:rPr>
        <w:t>4</w:t>
      </w:r>
      <w:r w:rsidR="00F779FE">
        <w:rPr>
          <w:rFonts w:cs="Arial"/>
          <w:color w:val="000000"/>
          <w:szCs w:val="24"/>
        </w:rPr>
        <w:t>.-</w:t>
      </w:r>
      <w:r w:rsidR="00317972">
        <w:rPr>
          <w:rFonts w:cs="Arial"/>
          <w:color w:val="000000"/>
          <w:szCs w:val="24"/>
        </w:rPr>
        <w:t xml:space="preserve"> La accionante</w:t>
      </w:r>
      <w:bookmarkStart w:id="3" w:name="_Hlk71640127"/>
      <w:r w:rsidR="00317972">
        <w:rPr>
          <w:rFonts w:cs="Arial"/>
          <w:color w:val="000000"/>
          <w:szCs w:val="24"/>
        </w:rPr>
        <w:t xml:space="preserve"> a</w:t>
      </w:r>
      <w:r w:rsidR="00317972" w:rsidRPr="00317972">
        <w:rPr>
          <w:rFonts w:cs="Arial"/>
          <w:color w:val="000000"/>
          <w:szCs w:val="24"/>
        </w:rPr>
        <w:t xml:space="preserve">legó que la Resolución No. CJR20-0202 de 2020 vulneró sus derechos fundamentales, </w:t>
      </w:r>
      <w:r w:rsidR="00A43504">
        <w:rPr>
          <w:rFonts w:cs="Arial"/>
          <w:color w:val="000000"/>
          <w:szCs w:val="24"/>
        </w:rPr>
        <w:t>por</w:t>
      </w:r>
      <w:r w:rsidR="00317972" w:rsidRPr="00317972">
        <w:rPr>
          <w:rFonts w:cs="Arial"/>
          <w:color w:val="000000"/>
          <w:szCs w:val="24"/>
        </w:rPr>
        <w:t xml:space="preserve"> brindar un tratamiento igual a situaciones desiguales, </w:t>
      </w:r>
      <w:r w:rsidR="00A43504">
        <w:rPr>
          <w:rFonts w:cs="Arial"/>
          <w:color w:val="000000"/>
          <w:szCs w:val="24"/>
        </w:rPr>
        <w:t>al</w:t>
      </w:r>
      <w:r w:rsidR="00A43504" w:rsidRPr="00317972">
        <w:rPr>
          <w:rFonts w:cs="Arial"/>
          <w:color w:val="000000"/>
          <w:szCs w:val="24"/>
        </w:rPr>
        <w:t xml:space="preserve"> </w:t>
      </w:r>
      <w:r w:rsidR="00317972" w:rsidRPr="00317972">
        <w:rPr>
          <w:rFonts w:cs="Arial"/>
          <w:color w:val="000000"/>
          <w:szCs w:val="24"/>
        </w:rPr>
        <w:t xml:space="preserve">permitir que personas que no tenían el conocimiento requerido para </w:t>
      </w:r>
      <w:r w:rsidR="00317972" w:rsidRPr="00317972">
        <w:rPr>
          <w:rFonts w:cs="Arial"/>
          <w:color w:val="000000"/>
          <w:szCs w:val="24"/>
        </w:rPr>
        <w:lastRenderedPageBreak/>
        <w:t xml:space="preserve">aprobar las pruebas al momento de su primera realización </w:t>
      </w:r>
      <w:r w:rsidR="00A43504">
        <w:rPr>
          <w:rFonts w:cs="Arial"/>
          <w:color w:val="000000"/>
          <w:szCs w:val="24"/>
        </w:rPr>
        <w:t>pudieran</w:t>
      </w:r>
      <w:r w:rsidR="00A43504" w:rsidRPr="00317972">
        <w:rPr>
          <w:rFonts w:cs="Arial"/>
          <w:color w:val="000000"/>
          <w:szCs w:val="24"/>
        </w:rPr>
        <w:t xml:space="preserve"> </w:t>
      </w:r>
      <w:r w:rsidR="00317972" w:rsidRPr="00317972">
        <w:rPr>
          <w:rFonts w:cs="Arial"/>
          <w:color w:val="000000"/>
          <w:szCs w:val="24"/>
        </w:rPr>
        <w:t>participar en la nueva citación.</w:t>
      </w:r>
    </w:p>
    <w:p w14:paraId="214C202B" w14:textId="77777777" w:rsidR="00317972" w:rsidRDefault="00317972" w:rsidP="00F779FE">
      <w:pPr>
        <w:jc w:val="both"/>
        <w:rPr>
          <w:rFonts w:cs="Arial"/>
          <w:color w:val="000000"/>
          <w:szCs w:val="24"/>
        </w:rPr>
      </w:pPr>
    </w:p>
    <w:p w14:paraId="39C7F6D2" w14:textId="742FDF28" w:rsidR="009B4566" w:rsidRDefault="00317972" w:rsidP="00F779FE">
      <w:pPr>
        <w:jc w:val="both"/>
        <w:rPr>
          <w:rFonts w:cs="Arial"/>
          <w:color w:val="000000"/>
          <w:szCs w:val="24"/>
        </w:rPr>
      </w:pPr>
      <w:r>
        <w:rPr>
          <w:rFonts w:cs="Arial"/>
          <w:color w:val="000000"/>
          <w:szCs w:val="24"/>
        </w:rPr>
        <w:t>4.1.- A</w:t>
      </w:r>
      <w:r w:rsidR="009B4566" w:rsidRPr="009B4566">
        <w:rPr>
          <w:rFonts w:cs="Arial"/>
          <w:color w:val="000000"/>
          <w:szCs w:val="24"/>
        </w:rPr>
        <w:t xml:space="preserve"> juicio de</w:t>
      </w:r>
      <w:r w:rsidR="009B4566">
        <w:rPr>
          <w:rFonts w:cs="Arial"/>
          <w:color w:val="000000"/>
          <w:szCs w:val="24"/>
        </w:rPr>
        <w:t xml:space="preserve"> la</w:t>
      </w:r>
      <w:r w:rsidR="009B4566" w:rsidRPr="009B4566">
        <w:rPr>
          <w:rFonts w:cs="Arial"/>
          <w:color w:val="000000"/>
          <w:szCs w:val="24"/>
        </w:rPr>
        <w:t xml:space="preserve"> </w:t>
      </w:r>
      <w:r w:rsidR="009B4566">
        <w:rPr>
          <w:rFonts w:cs="Arial"/>
          <w:color w:val="000000"/>
          <w:szCs w:val="24"/>
        </w:rPr>
        <w:t>accionante</w:t>
      </w:r>
      <w:r w:rsidR="009B4566" w:rsidRPr="009B4566">
        <w:rPr>
          <w:rFonts w:cs="Arial"/>
          <w:color w:val="000000"/>
          <w:szCs w:val="24"/>
        </w:rPr>
        <w:t>, mediante la Resolución No. CJR20-0202 de</w:t>
      </w:r>
      <w:r w:rsidR="00A43504">
        <w:rPr>
          <w:rFonts w:cs="Arial"/>
          <w:color w:val="000000"/>
          <w:szCs w:val="24"/>
        </w:rPr>
        <w:t>l</w:t>
      </w:r>
      <w:r w:rsidR="009B4566" w:rsidRPr="009B4566">
        <w:rPr>
          <w:rFonts w:cs="Arial"/>
          <w:color w:val="000000"/>
          <w:szCs w:val="24"/>
        </w:rPr>
        <w:t xml:space="preserve"> 27 de octubre de 2020 se </w:t>
      </w:r>
      <w:r w:rsidR="00A43504">
        <w:rPr>
          <w:rFonts w:cs="Arial"/>
          <w:color w:val="000000"/>
          <w:szCs w:val="24"/>
        </w:rPr>
        <w:t>anularon</w:t>
      </w:r>
      <w:r w:rsidR="009B4566" w:rsidRPr="009B4566">
        <w:rPr>
          <w:rFonts w:cs="Arial"/>
          <w:color w:val="000000"/>
          <w:szCs w:val="24"/>
        </w:rPr>
        <w:t xml:space="preserve"> los resultados de la prueba presentada y, con ello, se revocó la situación particular y concreta reconocida a cada uno de los participantes que la habían aprobado. </w:t>
      </w:r>
      <w:r w:rsidR="00A43504">
        <w:rPr>
          <w:rFonts w:cs="Arial"/>
          <w:color w:val="000000"/>
          <w:szCs w:val="24"/>
        </w:rPr>
        <w:t>Esta s</w:t>
      </w:r>
      <w:r w:rsidR="00A43504" w:rsidRPr="009B4566">
        <w:rPr>
          <w:rFonts w:cs="Arial"/>
          <w:color w:val="000000"/>
          <w:szCs w:val="24"/>
        </w:rPr>
        <w:t xml:space="preserve">ituación </w:t>
      </w:r>
      <w:r w:rsidR="009B4566" w:rsidRPr="009B4566">
        <w:rPr>
          <w:rFonts w:cs="Arial"/>
          <w:color w:val="000000"/>
          <w:szCs w:val="24"/>
        </w:rPr>
        <w:t>ocasionó la vulneración de los derechos fundamentales y principios invocados.</w:t>
      </w:r>
    </w:p>
    <w:p w14:paraId="670BFC07" w14:textId="2BC38EDF" w:rsidR="009B4566" w:rsidRDefault="009B4566" w:rsidP="00F779FE">
      <w:pPr>
        <w:jc w:val="both"/>
        <w:rPr>
          <w:rFonts w:cs="Arial"/>
          <w:color w:val="000000"/>
          <w:szCs w:val="24"/>
        </w:rPr>
      </w:pPr>
    </w:p>
    <w:p w14:paraId="084CCA72" w14:textId="4A8684AE" w:rsidR="009B4566" w:rsidRDefault="001C359F" w:rsidP="00F779FE">
      <w:pPr>
        <w:jc w:val="both"/>
        <w:rPr>
          <w:rFonts w:cs="Arial"/>
          <w:color w:val="000000"/>
          <w:szCs w:val="24"/>
        </w:rPr>
      </w:pPr>
      <w:r>
        <w:rPr>
          <w:rFonts w:cs="Arial"/>
          <w:color w:val="000000"/>
          <w:szCs w:val="24"/>
        </w:rPr>
        <w:t xml:space="preserve">4.2.- </w:t>
      </w:r>
      <w:r w:rsidR="009B4566" w:rsidRPr="009B4566">
        <w:rPr>
          <w:rFonts w:cs="Arial"/>
          <w:color w:val="000000"/>
          <w:szCs w:val="24"/>
        </w:rPr>
        <w:t>Afirmó que el acto administrativo enjuiciado ignoró las reglas del procedimiento administrativo porque declaró una nulidad “disfrazada” de la facultad de corrección contemplada en el artículo 41 del CPACA y, adicionalmente, no tuvo en cuenta que la Resolución No. No. CJR19-0679 de</w:t>
      </w:r>
      <w:r w:rsidR="00A43504">
        <w:rPr>
          <w:rFonts w:cs="Arial"/>
          <w:color w:val="000000"/>
          <w:szCs w:val="24"/>
        </w:rPr>
        <w:t>l</w:t>
      </w:r>
      <w:r w:rsidR="009B4566" w:rsidRPr="009B4566">
        <w:rPr>
          <w:rFonts w:cs="Arial"/>
          <w:color w:val="000000"/>
          <w:szCs w:val="24"/>
        </w:rPr>
        <w:t xml:space="preserve"> 7 de junio de 2019, que publicó los puntajes, quedó en firme. Además, sostuvo que el </w:t>
      </w:r>
      <w:r w:rsidR="00A43504">
        <w:rPr>
          <w:rFonts w:cs="Arial"/>
          <w:color w:val="000000"/>
          <w:szCs w:val="24"/>
        </w:rPr>
        <w:t>acto</w:t>
      </w:r>
      <w:r w:rsidR="00A43504" w:rsidRPr="009B4566">
        <w:rPr>
          <w:rFonts w:cs="Arial"/>
          <w:color w:val="000000"/>
          <w:szCs w:val="24"/>
        </w:rPr>
        <w:t xml:space="preserve"> </w:t>
      </w:r>
      <w:r w:rsidR="009B4566" w:rsidRPr="009B4566">
        <w:rPr>
          <w:rFonts w:cs="Arial"/>
          <w:color w:val="000000"/>
          <w:szCs w:val="24"/>
        </w:rPr>
        <w:t xml:space="preserve">careció de motivación porque, si bien enunció </w:t>
      </w:r>
      <w:r w:rsidR="00A43504">
        <w:rPr>
          <w:rFonts w:cs="Arial"/>
          <w:color w:val="000000"/>
          <w:szCs w:val="24"/>
        </w:rPr>
        <w:t>los</w:t>
      </w:r>
      <w:r w:rsidR="00A43504" w:rsidRPr="009B4566">
        <w:rPr>
          <w:rFonts w:cs="Arial"/>
          <w:color w:val="000000"/>
          <w:szCs w:val="24"/>
        </w:rPr>
        <w:t xml:space="preserve"> </w:t>
      </w:r>
      <w:r w:rsidR="009B4566" w:rsidRPr="009B4566">
        <w:rPr>
          <w:rFonts w:cs="Arial"/>
          <w:color w:val="000000"/>
          <w:szCs w:val="24"/>
        </w:rPr>
        <w:t>motivos de su decisión</w:t>
      </w:r>
      <w:r w:rsidR="00317972">
        <w:rPr>
          <w:rFonts w:cs="Arial"/>
          <w:color w:val="000000"/>
          <w:szCs w:val="24"/>
        </w:rPr>
        <w:t xml:space="preserve">, </w:t>
      </w:r>
      <w:r w:rsidR="00317972">
        <w:rPr>
          <w:rFonts w:eastAsia="Times New Roman" w:cs="Arial"/>
          <w:szCs w:val="24"/>
          <w:lang w:eastAsia="es-ES"/>
        </w:rPr>
        <w:t>no se explicó la magnitud del error aludido en las pruebas, ni se señaló cómo dicho error influyó en cada uno de los participantes del concurso</w:t>
      </w:r>
      <w:r w:rsidR="00A43504">
        <w:rPr>
          <w:rFonts w:eastAsia="Times New Roman" w:cs="Arial"/>
          <w:szCs w:val="24"/>
          <w:lang w:eastAsia="es-ES"/>
        </w:rPr>
        <w:t>.</w:t>
      </w:r>
    </w:p>
    <w:bookmarkEnd w:id="3"/>
    <w:p w14:paraId="36B72257" w14:textId="2AAD441D" w:rsidR="009B4566" w:rsidRDefault="009B4566" w:rsidP="00F779FE">
      <w:pPr>
        <w:jc w:val="both"/>
        <w:rPr>
          <w:rFonts w:eastAsia="Times New Roman" w:cs="Arial"/>
          <w:szCs w:val="24"/>
          <w:lang w:eastAsia="es-ES"/>
        </w:rPr>
      </w:pPr>
    </w:p>
    <w:p w14:paraId="67C7F489" w14:textId="7F127CDF" w:rsidR="002B3759" w:rsidRDefault="001C359F" w:rsidP="00F779FE">
      <w:pPr>
        <w:jc w:val="both"/>
        <w:rPr>
          <w:rFonts w:cs="Arial"/>
          <w:szCs w:val="24"/>
        </w:rPr>
      </w:pPr>
      <w:r>
        <w:rPr>
          <w:rFonts w:cs="Arial"/>
          <w:szCs w:val="24"/>
        </w:rPr>
        <w:t xml:space="preserve">4.3.- </w:t>
      </w:r>
      <w:r w:rsidR="009B4566" w:rsidRPr="009B4566">
        <w:rPr>
          <w:rFonts w:cs="Arial"/>
          <w:szCs w:val="24"/>
        </w:rPr>
        <w:t>Finalmente, indicó que la tutela era procedente por ser el medio de defensa judicial idóneo y eficaz para proteger los derechos invocados, cuya amenaza era inminente. En ese sentido, adujo que a través del medio de control de nulidad y restablecimiento no era posible enjuiciar la Resolución No. CJR20-0202 de 27 de octubre de 2020 porque este no era un acto definitivo dentro del concurso de méritos y, además, demandaba mucho tiempo.</w:t>
      </w:r>
    </w:p>
    <w:p w14:paraId="596BDCAE" w14:textId="77777777" w:rsidR="00F779FE" w:rsidRDefault="00F779FE" w:rsidP="00F779FE">
      <w:pPr>
        <w:pStyle w:val="NormalWeb"/>
        <w:spacing w:before="0" w:beforeAutospacing="0" w:after="0" w:afterAutospacing="0" w:line="276" w:lineRule="auto"/>
        <w:jc w:val="both"/>
        <w:rPr>
          <w:rFonts w:ascii="Arial" w:hAnsi="Arial" w:cs="Arial"/>
          <w:b/>
          <w:color w:val="000000"/>
          <w:sz w:val="24"/>
          <w:szCs w:val="24"/>
          <w:lang w:val="es-CO"/>
        </w:rPr>
      </w:pPr>
    </w:p>
    <w:p w14:paraId="19FDF53A" w14:textId="77777777" w:rsidR="00F779FE" w:rsidRDefault="00F779FE" w:rsidP="00F779FE">
      <w:pPr>
        <w:keepNext/>
        <w:jc w:val="both"/>
        <w:outlineLvl w:val="1"/>
        <w:rPr>
          <w:rFonts w:eastAsia="Times New Roman" w:cs="Arial"/>
          <w:bCs/>
          <w:iCs/>
          <w:color w:val="000000"/>
        </w:rPr>
      </w:pPr>
      <w:r>
        <w:rPr>
          <w:rFonts w:eastAsia="Times New Roman" w:cs="Arial"/>
          <w:b/>
          <w:bCs/>
          <w:iCs/>
          <w:color w:val="000000"/>
          <w:szCs w:val="24"/>
        </w:rPr>
        <w:t>D. Oposiciones e intervenciones</w:t>
      </w:r>
    </w:p>
    <w:p w14:paraId="03816D19" w14:textId="77777777" w:rsidR="00F779FE" w:rsidRDefault="00F779FE" w:rsidP="00F779FE">
      <w:pPr>
        <w:jc w:val="both"/>
        <w:rPr>
          <w:rFonts w:cs="Arial"/>
          <w:b/>
          <w:szCs w:val="24"/>
          <w:lang w:val="es-ES_tradnl"/>
        </w:rPr>
      </w:pPr>
    </w:p>
    <w:p w14:paraId="5F95BCF9" w14:textId="5AE973E2" w:rsidR="00317972" w:rsidRPr="00317972" w:rsidRDefault="00901BF9" w:rsidP="00317972">
      <w:pPr>
        <w:jc w:val="both"/>
        <w:rPr>
          <w:rFonts w:cs="Arial"/>
          <w:szCs w:val="24"/>
        </w:rPr>
      </w:pPr>
      <w:r>
        <w:rPr>
          <w:rFonts w:cs="Arial"/>
          <w:szCs w:val="24"/>
          <w:lang w:val="es-ES_tradnl"/>
        </w:rPr>
        <w:t>5</w:t>
      </w:r>
      <w:r w:rsidR="00F779FE">
        <w:rPr>
          <w:rFonts w:cs="Arial"/>
          <w:szCs w:val="24"/>
          <w:lang w:val="es-ES_tradnl"/>
        </w:rPr>
        <w:t xml:space="preserve">.- La Unidad de Administración de Carrera Judicial del Consejo Superior de la Judicatura </w:t>
      </w:r>
      <w:r w:rsidR="00171734">
        <w:rPr>
          <w:rFonts w:cs="Arial"/>
          <w:szCs w:val="24"/>
          <w:lang w:val="es-ES_tradnl"/>
        </w:rPr>
        <w:t xml:space="preserve">presentó </w:t>
      </w:r>
      <w:r w:rsidR="00A43504">
        <w:rPr>
          <w:rFonts w:cs="Arial"/>
          <w:szCs w:val="24"/>
          <w:lang w:val="es-ES_tradnl"/>
        </w:rPr>
        <w:t xml:space="preserve">un </w:t>
      </w:r>
      <w:r w:rsidR="00171734" w:rsidRPr="00900D22">
        <w:rPr>
          <w:rFonts w:cs="Arial"/>
          <w:szCs w:val="24"/>
        </w:rPr>
        <w:t xml:space="preserve">informe sobre los hechos y pretensiones de la acción de tutela y solicitó que se </w:t>
      </w:r>
      <w:r w:rsidR="00A43504" w:rsidRPr="00900D22">
        <w:rPr>
          <w:rFonts w:cs="Arial"/>
          <w:szCs w:val="24"/>
        </w:rPr>
        <w:t>declar</w:t>
      </w:r>
      <w:r w:rsidR="00A43504">
        <w:rPr>
          <w:rFonts w:cs="Arial"/>
          <w:szCs w:val="24"/>
        </w:rPr>
        <w:t>ara</w:t>
      </w:r>
      <w:r w:rsidR="00A43504" w:rsidRPr="00900D22">
        <w:rPr>
          <w:rFonts w:cs="Arial"/>
          <w:szCs w:val="24"/>
        </w:rPr>
        <w:t xml:space="preserve"> </w:t>
      </w:r>
      <w:r w:rsidR="00171734" w:rsidRPr="00900D22">
        <w:rPr>
          <w:rFonts w:cs="Arial"/>
          <w:szCs w:val="24"/>
        </w:rPr>
        <w:t>su improcedencia</w:t>
      </w:r>
      <w:r w:rsidR="00171734">
        <w:rPr>
          <w:rFonts w:cs="Arial"/>
          <w:szCs w:val="24"/>
        </w:rPr>
        <w:t>. Al respecto</w:t>
      </w:r>
      <w:r w:rsidR="00A43504">
        <w:rPr>
          <w:rFonts w:cs="Arial"/>
          <w:szCs w:val="24"/>
        </w:rPr>
        <w:t>,</w:t>
      </w:r>
      <w:r w:rsidR="005942C5">
        <w:rPr>
          <w:rFonts w:cs="Arial"/>
          <w:szCs w:val="24"/>
        </w:rPr>
        <w:t xml:space="preserve"> </w:t>
      </w:r>
      <w:r w:rsidR="00317972" w:rsidRPr="00317972">
        <w:rPr>
          <w:rFonts w:cs="Arial"/>
          <w:szCs w:val="24"/>
        </w:rPr>
        <w:t>indicó que en el caso concreto no se acreditó la existencia de un perjuicio irremediable y, por ende, resultaba improcedente la tutela, máxime cuando la misma no era el mecanismo idóneo para atacar actos administrativos amparados por el principio de legalidad, concretamente la Resolución No. CJR20-0202 de</w:t>
      </w:r>
      <w:r w:rsidR="00A43504">
        <w:rPr>
          <w:rFonts w:cs="Arial"/>
          <w:szCs w:val="24"/>
        </w:rPr>
        <w:t>l</w:t>
      </w:r>
      <w:r w:rsidR="00317972" w:rsidRPr="00317972">
        <w:rPr>
          <w:rFonts w:cs="Arial"/>
          <w:szCs w:val="24"/>
        </w:rPr>
        <w:t xml:space="preserve"> 27 de octubre de 2020, cuyo control correspondía a la </w:t>
      </w:r>
      <w:r w:rsidR="00A43504">
        <w:rPr>
          <w:rFonts w:cs="Arial"/>
          <w:szCs w:val="24"/>
        </w:rPr>
        <w:t>j</w:t>
      </w:r>
      <w:r w:rsidR="00A43504" w:rsidRPr="00317972">
        <w:rPr>
          <w:rFonts w:cs="Arial"/>
          <w:szCs w:val="24"/>
        </w:rPr>
        <w:t xml:space="preserve">urisdicción </w:t>
      </w:r>
      <w:r w:rsidR="00317972" w:rsidRPr="00317972">
        <w:rPr>
          <w:rFonts w:cs="Arial"/>
          <w:szCs w:val="24"/>
        </w:rPr>
        <w:t xml:space="preserve">de lo </w:t>
      </w:r>
      <w:r w:rsidR="00A43504">
        <w:rPr>
          <w:rFonts w:cs="Arial"/>
          <w:szCs w:val="24"/>
        </w:rPr>
        <w:t>c</w:t>
      </w:r>
      <w:r w:rsidR="00A43504" w:rsidRPr="00317972">
        <w:rPr>
          <w:rFonts w:cs="Arial"/>
          <w:szCs w:val="24"/>
        </w:rPr>
        <w:t xml:space="preserve">ontencioso </w:t>
      </w:r>
      <w:r w:rsidR="00A43504">
        <w:rPr>
          <w:rFonts w:cs="Arial"/>
          <w:szCs w:val="24"/>
        </w:rPr>
        <w:t>a</w:t>
      </w:r>
      <w:r w:rsidR="00A43504" w:rsidRPr="00317972">
        <w:rPr>
          <w:rFonts w:cs="Arial"/>
          <w:szCs w:val="24"/>
        </w:rPr>
        <w:t xml:space="preserve">dministrativo </w:t>
      </w:r>
      <w:r w:rsidR="00317972" w:rsidRPr="00317972">
        <w:rPr>
          <w:rFonts w:cs="Arial"/>
          <w:szCs w:val="24"/>
        </w:rPr>
        <w:t xml:space="preserve">como juez natural. </w:t>
      </w:r>
    </w:p>
    <w:p w14:paraId="0E7F8CC7" w14:textId="77777777" w:rsidR="00317972" w:rsidRPr="00317972" w:rsidRDefault="00317972" w:rsidP="00317972">
      <w:pPr>
        <w:jc w:val="both"/>
        <w:rPr>
          <w:rFonts w:cs="Arial"/>
          <w:szCs w:val="24"/>
        </w:rPr>
      </w:pPr>
    </w:p>
    <w:p w14:paraId="202D9AC1" w14:textId="77777777" w:rsidR="005942C5" w:rsidRDefault="005942C5" w:rsidP="00317972">
      <w:pPr>
        <w:jc w:val="both"/>
        <w:rPr>
          <w:rFonts w:cs="Arial"/>
          <w:szCs w:val="24"/>
        </w:rPr>
      </w:pPr>
      <w:r>
        <w:rPr>
          <w:rFonts w:cs="Arial"/>
          <w:szCs w:val="24"/>
        </w:rPr>
        <w:t xml:space="preserve">5.1.- </w:t>
      </w:r>
      <w:r w:rsidR="00317972" w:rsidRPr="00317972">
        <w:rPr>
          <w:rFonts w:cs="Arial"/>
          <w:szCs w:val="24"/>
        </w:rPr>
        <w:t xml:space="preserve">Además, manifestó que no se vulneraron los derechos fundamentales invocados, en la medida en que, con fundamento en los informes técnicos de la Universidad Nacional de Colombia, resolvió retrotraer la actuación administrativa para ajustar el trámite a derecho en prevalencia del mérito. Así las cosas, señaló </w:t>
      </w:r>
      <w:r w:rsidR="00317972" w:rsidRPr="00317972">
        <w:rPr>
          <w:rFonts w:cs="Arial"/>
          <w:szCs w:val="24"/>
        </w:rPr>
        <w:lastRenderedPageBreak/>
        <w:t xml:space="preserve">que la participación en el concurso de méritos constituía una simple expectativa hasta tanto no se superaran todas sus etapas y se conformara el Registro Nacional de Elegibles. </w:t>
      </w:r>
    </w:p>
    <w:p w14:paraId="7E0E007C" w14:textId="77777777" w:rsidR="005942C5" w:rsidRDefault="005942C5" w:rsidP="00317972">
      <w:pPr>
        <w:jc w:val="both"/>
        <w:rPr>
          <w:rFonts w:cs="Arial"/>
          <w:szCs w:val="24"/>
        </w:rPr>
      </w:pPr>
    </w:p>
    <w:p w14:paraId="6D4EAF06" w14:textId="7C6009EF" w:rsidR="005942C5" w:rsidRDefault="005942C5" w:rsidP="00F779FE">
      <w:pPr>
        <w:jc w:val="both"/>
        <w:rPr>
          <w:rFonts w:cs="Arial"/>
          <w:szCs w:val="24"/>
        </w:rPr>
      </w:pPr>
      <w:r>
        <w:rPr>
          <w:rFonts w:cs="Arial"/>
          <w:szCs w:val="24"/>
        </w:rPr>
        <w:t xml:space="preserve">5.2.- </w:t>
      </w:r>
      <w:r w:rsidR="00317972" w:rsidRPr="00317972">
        <w:rPr>
          <w:rFonts w:cs="Arial"/>
          <w:szCs w:val="24"/>
        </w:rPr>
        <w:t>Finalmente, sostuvo que sus decisiones fueron el resultado de la aplicación estricta de sus competencias y las normas vigentes</w:t>
      </w:r>
      <w:r>
        <w:rPr>
          <w:rFonts w:cs="Arial"/>
          <w:szCs w:val="24"/>
        </w:rPr>
        <w:t xml:space="preserve">, por lo que </w:t>
      </w:r>
      <w:r>
        <w:rPr>
          <w:rFonts w:cs="Arial"/>
          <w:szCs w:val="24"/>
          <w:lang w:val="es-ES_tradnl"/>
        </w:rPr>
        <w:t>no se obró con negligencia, arbitrariedad u omisión por su parte</w:t>
      </w:r>
      <w:r w:rsidR="00317972" w:rsidRPr="00317972">
        <w:rPr>
          <w:rFonts w:cs="Arial"/>
          <w:szCs w:val="24"/>
        </w:rPr>
        <w:t>. En esa medida solicitó que se negara el amparo solicitado</w:t>
      </w:r>
      <w:r>
        <w:rPr>
          <w:rFonts w:cs="Arial"/>
          <w:szCs w:val="24"/>
        </w:rPr>
        <w:t xml:space="preserve">. </w:t>
      </w:r>
    </w:p>
    <w:p w14:paraId="10A23432" w14:textId="77777777" w:rsidR="00427BB8" w:rsidRPr="005942C5" w:rsidRDefault="00427BB8" w:rsidP="00F779FE">
      <w:pPr>
        <w:jc w:val="both"/>
        <w:rPr>
          <w:rFonts w:cs="Arial"/>
          <w:szCs w:val="24"/>
        </w:rPr>
      </w:pPr>
    </w:p>
    <w:p w14:paraId="7119DEDC" w14:textId="746B7F5D" w:rsidR="00171734" w:rsidRDefault="00171734" w:rsidP="00F779FE">
      <w:pPr>
        <w:jc w:val="both"/>
        <w:rPr>
          <w:rFonts w:cs="Arial"/>
          <w:szCs w:val="24"/>
          <w:lang w:val="es-ES_tradnl"/>
        </w:rPr>
      </w:pPr>
      <w:r>
        <w:rPr>
          <w:rFonts w:cs="Arial"/>
          <w:szCs w:val="24"/>
          <w:lang w:val="es-ES_tradnl"/>
        </w:rPr>
        <w:t>6</w:t>
      </w:r>
      <w:r w:rsidR="00F779FE">
        <w:rPr>
          <w:rFonts w:cs="Arial"/>
          <w:szCs w:val="24"/>
          <w:lang w:val="es-ES_tradnl"/>
        </w:rPr>
        <w:t xml:space="preserve">.- </w:t>
      </w:r>
      <w:r w:rsidR="002E6949">
        <w:rPr>
          <w:rFonts w:cs="Arial"/>
          <w:szCs w:val="24"/>
          <w:lang w:val="es-ES_tradnl"/>
        </w:rPr>
        <w:t>La</w:t>
      </w:r>
      <w:r w:rsidR="00F779FE">
        <w:rPr>
          <w:rFonts w:cs="Arial"/>
          <w:szCs w:val="24"/>
          <w:lang w:val="es-ES_tradnl"/>
        </w:rPr>
        <w:t xml:space="preserve"> Universidad Nacional</w:t>
      </w:r>
      <w:r>
        <w:rPr>
          <w:rFonts w:cs="Arial"/>
          <w:szCs w:val="24"/>
          <w:lang w:val="es-ES_tradnl"/>
        </w:rPr>
        <w:t xml:space="preserve"> de Colombia </w:t>
      </w:r>
      <w:r w:rsidR="002E6949">
        <w:rPr>
          <w:rFonts w:cs="Arial"/>
          <w:szCs w:val="24"/>
          <w:lang w:val="es-ES_tradnl"/>
        </w:rPr>
        <w:t xml:space="preserve">también </w:t>
      </w:r>
      <w:r>
        <w:rPr>
          <w:rFonts w:cs="Arial"/>
          <w:szCs w:val="24"/>
          <w:lang w:val="es-ES_tradnl"/>
        </w:rPr>
        <w:t>solicitó rechazar por improcedente la acción de tutela, toda vez que no es el medio idóneo para enjuiciar actos administrativos</w:t>
      </w:r>
      <w:r w:rsidR="0015046B">
        <w:rPr>
          <w:rFonts w:cs="Arial"/>
          <w:szCs w:val="24"/>
          <w:lang w:val="es-ES_tradnl"/>
        </w:rPr>
        <w:t>,</w:t>
      </w:r>
      <w:r>
        <w:rPr>
          <w:rFonts w:cs="Arial"/>
          <w:szCs w:val="24"/>
          <w:lang w:val="es-ES_tradnl"/>
        </w:rPr>
        <w:t xml:space="preserve"> incluso </w:t>
      </w:r>
      <w:r w:rsidR="0015046B">
        <w:rPr>
          <w:rFonts w:cs="Arial"/>
          <w:szCs w:val="24"/>
          <w:lang w:val="es-ES_tradnl"/>
        </w:rPr>
        <w:t xml:space="preserve">si estos son </w:t>
      </w:r>
      <w:r>
        <w:rPr>
          <w:rFonts w:cs="Arial"/>
          <w:szCs w:val="24"/>
          <w:lang w:val="es-ES_tradnl"/>
        </w:rPr>
        <w:t>de trámite o preparatorios. Afirmó que las reclamaciones de la accionante se fundan en hechos inciertos e hipotéticos de los cuales no es posible desprende</w:t>
      </w:r>
      <w:r w:rsidR="0015046B">
        <w:rPr>
          <w:rFonts w:cs="Arial"/>
          <w:szCs w:val="24"/>
          <w:lang w:val="es-ES_tradnl"/>
        </w:rPr>
        <w:t>r</w:t>
      </w:r>
      <w:r>
        <w:rPr>
          <w:rFonts w:cs="Arial"/>
          <w:szCs w:val="24"/>
          <w:lang w:val="es-ES_tradnl"/>
        </w:rPr>
        <w:t xml:space="preserve"> una vulneración a sus derechos fundamentales.  </w:t>
      </w:r>
    </w:p>
    <w:p w14:paraId="36E6D76D" w14:textId="50E347D0" w:rsidR="00171734" w:rsidRDefault="00171734" w:rsidP="00F779FE">
      <w:pPr>
        <w:jc w:val="both"/>
        <w:rPr>
          <w:rFonts w:cs="Arial"/>
          <w:szCs w:val="24"/>
          <w:lang w:val="es-ES_tradnl"/>
        </w:rPr>
      </w:pPr>
    </w:p>
    <w:p w14:paraId="3A46E0E3" w14:textId="221A7DAB" w:rsidR="00171734" w:rsidRDefault="00171734" w:rsidP="00F779FE">
      <w:pPr>
        <w:jc w:val="both"/>
        <w:rPr>
          <w:rFonts w:cs="Arial"/>
          <w:b/>
          <w:bCs/>
          <w:szCs w:val="24"/>
          <w:lang w:val="es-ES_tradnl"/>
        </w:rPr>
      </w:pPr>
      <w:r>
        <w:rPr>
          <w:rFonts w:cs="Arial"/>
          <w:b/>
          <w:bCs/>
          <w:szCs w:val="24"/>
          <w:lang w:val="es-ES_tradnl"/>
        </w:rPr>
        <w:t xml:space="preserve">E.- </w:t>
      </w:r>
      <w:bookmarkStart w:id="4" w:name="_Hlk71640293"/>
      <w:r>
        <w:rPr>
          <w:rFonts w:cs="Arial"/>
          <w:b/>
          <w:bCs/>
          <w:szCs w:val="24"/>
          <w:lang w:val="es-ES_tradnl"/>
        </w:rPr>
        <w:t xml:space="preserve">Sentencia </w:t>
      </w:r>
      <w:r w:rsidR="00111DBC">
        <w:rPr>
          <w:rFonts w:cs="Arial"/>
          <w:b/>
          <w:bCs/>
          <w:szCs w:val="24"/>
          <w:lang w:val="es-ES_tradnl"/>
        </w:rPr>
        <w:t>impugnada</w:t>
      </w:r>
      <w:bookmarkEnd w:id="4"/>
    </w:p>
    <w:p w14:paraId="6D53D0E6" w14:textId="43820835" w:rsidR="00111DBC" w:rsidRDefault="00111DBC" w:rsidP="00F779FE">
      <w:pPr>
        <w:jc w:val="both"/>
        <w:rPr>
          <w:rFonts w:cs="Arial"/>
          <w:b/>
          <w:bCs/>
          <w:szCs w:val="24"/>
          <w:lang w:val="es-ES_tradnl"/>
        </w:rPr>
      </w:pPr>
    </w:p>
    <w:p w14:paraId="6E81AE72" w14:textId="13F40726" w:rsidR="00111DBC" w:rsidRDefault="00111DBC" w:rsidP="00F779FE">
      <w:pPr>
        <w:jc w:val="both"/>
        <w:rPr>
          <w:rFonts w:cs="Arial"/>
          <w:szCs w:val="24"/>
        </w:rPr>
      </w:pPr>
      <w:r>
        <w:rPr>
          <w:rFonts w:cs="Arial"/>
          <w:szCs w:val="24"/>
          <w:lang w:val="es-ES_tradnl"/>
        </w:rPr>
        <w:t>7.- En sentencia del 4 de marzo de 2021, la Sección Segunda, Subsección A de esta Corporación</w:t>
      </w:r>
      <w:r w:rsidR="002E6949">
        <w:rPr>
          <w:rFonts w:cs="Arial"/>
          <w:szCs w:val="24"/>
          <w:lang w:val="es-ES_tradnl"/>
        </w:rPr>
        <w:t>,</w:t>
      </w:r>
      <w:r>
        <w:rPr>
          <w:rFonts w:cs="Arial"/>
          <w:szCs w:val="24"/>
          <w:lang w:val="es-ES_tradnl"/>
        </w:rPr>
        <w:t xml:space="preserve"> negó las pretensiones de la </w:t>
      </w:r>
      <w:r w:rsidR="0015046B">
        <w:rPr>
          <w:rFonts w:cs="Arial"/>
          <w:szCs w:val="24"/>
          <w:lang w:val="es-ES_tradnl"/>
        </w:rPr>
        <w:t>solicitud de amparo</w:t>
      </w:r>
      <w:r>
        <w:rPr>
          <w:rFonts w:cs="Arial"/>
          <w:szCs w:val="24"/>
          <w:lang w:val="es-ES_tradnl"/>
        </w:rPr>
        <w:t xml:space="preserve">. </w:t>
      </w:r>
      <w:bookmarkStart w:id="5" w:name="_Hlk71640307"/>
      <w:r>
        <w:rPr>
          <w:rFonts w:cs="Arial"/>
          <w:szCs w:val="24"/>
          <w:lang w:val="es-ES_tradnl"/>
        </w:rPr>
        <w:t>La primera instancia constitucional consideró que</w:t>
      </w:r>
      <w:r>
        <w:rPr>
          <w:rFonts w:cs="Arial"/>
          <w:szCs w:val="24"/>
        </w:rPr>
        <w:t xml:space="preserve"> se reunían los requisitos de procedibilidad de la acción de tutela, a saber, la inmediatez y subsidiariedad</w:t>
      </w:r>
      <w:bookmarkEnd w:id="5"/>
      <w:r>
        <w:rPr>
          <w:rFonts w:cs="Arial"/>
          <w:szCs w:val="24"/>
        </w:rPr>
        <w:t xml:space="preserve">, por lo que pasó a estudiar el fondo del asunto. </w:t>
      </w:r>
      <w:bookmarkStart w:id="6" w:name="_Hlk71640323"/>
      <w:r>
        <w:rPr>
          <w:rFonts w:cs="Arial"/>
          <w:szCs w:val="24"/>
        </w:rPr>
        <w:t>En todo caso, encontró que no se vulneraron los derec</w:t>
      </w:r>
      <w:r w:rsidR="00656327">
        <w:rPr>
          <w:rFonts w:cs="Arial"/>
          <w:szCs w:val="24"/>
        </w:rPr>
        <w:t xml:space="preserve">hos fundamentales alegados por </w:t>
      </w:r>
      <w:r>
        <w:rPr>
          <w:rFonts w:cs="Arial"/>
          <w:szCs w:val="24"/>
        </w:rPr>
        <w:t>l</w:t>
      </w:r>
      <w:r w:rsidR="00656327">
        <w:rPr>
          <w:rFonts w:cs="Arial"/>
          <w:szCs w:val="24"/>
        </w:rPr>
        <w:t>a</w:t>
      </w:r>
      <w:r>
        <w:rPr>
          <w:rFonts w:cs="Arial"/>
          <w:szCs w:val="24"/>
        </w:rPr>
        <w:t xml:space="preserve"> accionante, por las siguientes razones:</w:t>
      </w:r>
    </w:p>
    <w:bookmarkEnd w:id="6"/>
    <w:p w14:paraId="12CD1672" w14:textId="60E2DC64" w:rsidR="00111DBC" w:rsidRDefault="00111DBC" w:rsidP="00F779FE">
      <w:pPr>
        <w:jc w:val="both"/>
        <w:rPr>
          <w:rFonts w:cs="Arial"/>
          <w:szCs w:val="24"/>
        </w:rPr>
      </w:pPr>
    </w:p>
    <w:p w14:paraId="7A2DE561" w14:textId="7FEAED68" w:rsidR="00111DBC" w:rsidRDefault="00111DBC" w:rsidP="00F779FE">
      <w:pPr>
        <w:jc w:val="both"/>
        <w:rPr>
          <w:rFonts w:cs="Arial"/>
          <w:szCs w:val="24"/>
        </w:rPr>
      </w:pPr>
      <w:r>
        <w:rPr>
          <w:rFonts w:cs="Arial"/>
          <w:szCs w:val="24"/>
        </w:rPr>
        <w:t xml:space="preserve">7.1.- </w:t>
      </w:r>
      <w:bookmarkStart w:id="7" w:name="_Hlk71640334"/>
      <w:r>
        <w:rPr>
          <w:rFonts w:cs="Arial"/>
          <w:szCs w:val="24"/>
        </w:rPr>
        <w:t xml:space="preserve">La Constitución Política de 1991 </w:t>
      </w:r>
      <w:r w:rsidR="003E65DF">
        <w:rPr>
          <w:rFonts w:cs="Arial"/>
          <w:szCs w:val="24"/>
        </w:rPr>
        <w:t>atribuyó la administración de la carrera judicial al Consejo Superior de la Judicatura</w:t>
      </w:r>
      <w:bookmarkEnd w:id="7"/>
      <w:r w:rsidR="003E65DF">
        <w:rPr>
          <w:rFonts w:cs="Arial"/>
          <w:szCs w:val="24"/>
        </w:rPr>
        <w:t>, por lo que</w:t>
      </w:r>
      <w:r w:rsidR="002E6949">
        <w:rPr>
          <w:rFonts w:cs="Arial"/>
          <w:szCs w:val="24"/>
        </w:rPr>
        <w:t xml:space="preserve"> a esta entidad</w:t>
      </w:r>
      <w:r w:rsidR="003E65DF">
        <w:rPr>
          <w:rFonts w:cs="Arial"/>
          <w:szCs w:val="24"/>
        </w:rPr>
        <w:t xml:space="preserve"> </w:t>
      </w:r>
      <w:r w:rsidR="003E65DF" w:rsidRPr="003E65DF">
        <w:rPr>
          <w:rFonts w:cs="Arial"/>
          <w:szCs w:val="24"/>
        </w:rPr>
        <w:t xml:space="preserve">le incumbe </w:t>
      </w:r>
      <w:r w:rsidR="003E65DF">
        <w:rPr>
          <w:rFonts w:cs="Arial"/>
          <w:szCs w:val="24"/>
        </w:rPr>
        <w:t>(</w:t>
      </w:r>
      <w:r w:rsidR="003E65DF" w:rsidRPr="003E65DF">
        <w:rPr>
          <w:rFonts w:cs="Arial"/>
          <w:szCs w:val="24"/>
        </w:rPr>
        <w:t xml:space="preserve">i) </w:t>
      </w:r>
      <w:r w:rsidR="003E65DF">
        <w:rPr>
          <w:rFonts w:cs="Arial"/>
          <w:szCs w:val="24"/>
        </w:rPr>
        <w:t>estructurar el</w:t>
      </w:r>
      <w:r w:rsidR="003E65DF" w:rsidRPr="003E65DF">
        <w:rPr>
          <w:rFonts w:cs="Arial"/>
          <w:szCs w:val="24"/>
        </w:rPr>
        <w:t xml:space="preserve"> proceso de selección, </w:t>
      </w:r>
      <w:r w:rsidR="003E65DF">
        <w:rPr>
          <w:rFonts w:cs="Arial"/>
          <w:szCs w:val="24"/>
        </w:rPr>
        <w:t>(</w:t>
      </w:r>
      <w:r w:rsidR="003E65DF" w:rsidRPr="003E65DF">
        <w:rPr>
          <w:rFonts w:cs="Arial"/>
          <w:szCs w:val="24"/>
        </w:rPr>
        <w:t xml:space="preserve">ii) </w:t>
      </w:r>
      <w:r w:rsidR="003E65DF">
        <w:rPr>
          <w:rFonts w:cs="Arial"/>
          <w:szCs w:val="24"/>
        </w:rPr>
        <w:t>establecer los</w:t>
      </w:r>
      <w:r w:rsidR="003E65DF" w:rsidRPr="003E65DF">
        <w:rPr>
          <w:rFonts w:cs="Arial"/>
          <w:szCs w:val="24"/>
        </w:rPr>
        <w:t xml:space="preserve"> parámetros de calificación, </w:t>
      </w:r>
      <w:r w:rsidR="003E65DF">
        <w:rPr>
          <w:rFonts w:cs="Arial"/>
          <w:szCs w:val="24"/>
        </w:rPr>
        <w:t>(</w:t>
      </w:r>
      <w:r w:rsidR="003E65DF" w:rsidRPr="003E65DF">
        <w:rPr>
          <w:rFonts w:cs="Arial"/>
          <w:szCs w:val="24"/>
        </w:rPr>
        <w:t xml:space="preserve">iii) </w:t>
      </w:r>
      <w:r w:rsidR="003E65DF">
        <w:rPr>
          <w:rFonts w:cs="Arial"/>
          <w:szCs w:val="24"/>
        </w:rPr>
        <w:t>consolidar el</w:t>
      </w:r>
      <w:r w:rsidR="003E65DF" w:rsidRPr="003E65DF">
        <w:rPr>
          <w:rFonts w:cs="Arial"/>
          <w:szCs w:val="24"/>
        </w:rPr>
        <w:t xml:space="preserve"> cronograma del proceso, y </w:t>
      </w:r>
      <w:r w:rsidR="003E65DF">
        <w:rPr>
          <w:rFonts w:cs="Arial"/>
          <w:szCs w:val="24"/>
        </w:rPr>
        <w:t>(</w:t>
      </w:r>
      <w:r w:rsidR="003E65DF" w:rsidRPr="003E65DF">
        <w:rPr>
          <w:rFonts w:cs="Arial"/>
          <w:szCs w:val="24"/>
        </w:rPr>
        <w:t xml:space="preserve">iv) </w:t>
      </w:r>
      <w:r w:rsidR="003E65DF">
        <w:rPr>
          <w:rFonts w:cs="Arial"/>
          <w:szCs w:val="24"/>
        </w:rPr>
        <w:t>conformar</w:t>
      </w:r>
      <w:r w:rsidR="003E65DF" w:rsidRPr="003E65DF">
        <w:rPr>
          <w:rFonts w:cs="Arial"/>
          <w:szCs w:val="24"/>
        </w:rPr>
        <w:t xml:space="preserve"> la lista de elegibles.</w:t>
      </w:r>
      <w:r w:rsidR="003E65DF">
        <w:rPr>
          <w:rFonts w:cs="Arial"/>
          <w:szCs w:val="24"/>
        </w:rPr>
        <w:t xml:space="preserve"> </w:t>
      </w:r>
      <w:bookmarkStart w:id="8" w:name="_Hlk71640355"/>
      <w:r w:rsidR="003E65DF">
        <w:rPr>
          <w:rFonts w:cs="Arial"/>
          <w:szCs w:val="24"/>
        </w:rPr>
        <w:t>Es</w:t>
      </w:r>
      <w:r w:rsidR="00B024AC">
        <w:rPr>
          <w:rFonts w:cs="Arial"/>
          <w:szCs w:val="24"/>
        </w:rPr>
        <w:t xml:space="preserve"> a</w:t>
      </w:r>
      <w:r w:rsidR="003E65DF">
        <w:rPr>
          <w:rFonts w:cs="Arial"/>
          <w:szCs w:val="24"/>
        </w:rPr>
        <w:t xml:space="preserve"> partir de la conformación de la lista de elegibles que se consolidan derechos de carrera a favor de sus integrantes, por lo que el </w:t>
      </w:r>
      <w:r w:rsidR="003E65DF">
        <w:rPr>
          <w:rFonts w:cs="Arial"/>
          <w:i/>
          <w:iCs/>
          <w:szCs w:val="24"/>
        </w:rPr>
        <w:t xml:space="preserve">a quo </w:t>
      </w:r>
      <w:r w:rsidR="003E65DF">
        <w:rPr>
          <w:rFonts w:cs="Arial"/>
          <w:szCs w:val="24"/>
        </w:rPr>
        <w:t xml:space="preserve">concluyó que la accionante solo gozaba de meras expectativas a partir de la calificación de sus resultados. </w:t>
      </w:r>
      <w:bookmarkStart w:id="9" w:name="_Hlk71640376"/>
      <w:bookmarkEnd w:id="8"/>
      <w:r w:rsidR="003E65DF">
        <w:rPr>
          <w:rFonts w:cs="Arial"/>
          <w:szCs w:val="24"/>
        </w:rPr>
        <w:t xml:space="preserve">Por lo tanto, no se desconocieron sus derechos al retrotraer el proceso a la realización de las pruebas bajo parámetros de calificación actualizados y corregidos. </w:t>
      </w:r>
      <w:bookmarkEnd w:id="9"/>
    </w:p>
    <w:p w14:paraId="48914374" w14:textId="07D58DAA" w:rsidR="003E65DF" w:rsidRDefault="003E65DF" w:rsidP="00F779FE">
      <w:pPr>
        <w:jc w:val="both"/>
        <w:rPr>
          <w:rFonts w:cs="Arial"/>
          <w:szCs w:val="24"/>
        </w:rPr>
      </w:pPr>
    </w:p>
    <w:p w14:paraId="26A8620A" w14:textId="7AB04BCC" w:rsidR="003E65DF" w:rsidRDefault="003E65DF" w:rsidP="00F779FE">
      <w:pPr>
        <w:jc w:val="both"/>
        <w:rPr>
          <w:rFonts w:cs="Arial"/>
          <w:szCs w:val="24"/>
        </w:rPr>
      </w:pPr>
      <w:r>
        <w:rPr>
          <w:rFonts w:cs="Arial"/>
          <w:szCs w:val="24"/>
        </w:rPr>
        <w:t xml:space="preserve">7.2.- En relación con lo anterior, </w:t>
      </w:r>
      <w:bookmarkStart w:id="10" w:name="_Hlk71640402"/>
      <w:r>
        <w:rPr>
          <w:rFonts w:cs="Arial"/>
          <w:szCs w:val="24"/>
        </w:rPr>
        <w:t xml:space="preserve">el Consejo Superior de la Judicatura debe propender porque el desarrollo de las convocatorias se </w:t>
      </w:r>
      <w:r w:rsidR="0015046B">
        <w:rPr>
          <w:rFonts w:cs="Arial"/>
          <w:szCs w:val="24"/>
        </w:rPr>
        <w:t>realice</w:t>
      </w:r>
      <w:r w:rsidR="000F41D1">
        <w:rPr>
          <w:rFonts w:cs="Arial"/>
          <w:szCs w:val="24"/>
        </w:rPr>
        <w:t xml:space="preserve"> conforme a derecho, para lo cual dispone de facultades unilaterales que le permiten subsanar los errores o irregularidades que se presenten. Así las cosas, la </w:t>
      </w:r>
      <w:r w:rsidR="0015046B">
        <w:rPr>
          <w:rFonts w:cs="Arial"/>
          <w:szCs w:val="24"/>
        </w:rPr>
        <w:t xml:space="preserve">entidad </w:t>
      </w:r>
      <w:r w:rsidR="000F41D1">
        <w:rPr>
          <w:rFonts w:cs="Arial"/>
          <w:szCs w:val="24"/>
        </w:rPr>
        <w:t xml:space="preserve">accionada </w:t>
      </w:r>
      <w:r w:rsidR="000F41D1">
        <w:rPr>
          <w:rFonts w:cs="Arial"/>
          <w:szCs w:val="24"/>
        </w:rPr>
        <w:lastRenderedPageBreak/>
        <w:t>ejerció</w:t>
      </w:r>
      <w:r w:rsidR="0015046B">
        <w:rPr>
          <w:rFonts w:cs="Arial"/>
          <w:szCs w:val="24"/>
        </w:rPr>
        <w:t xml:space="preserve"> razonable y proporcionalmente </w:t>
      </w:r>
      <w:r w:rsidR="000F41D1">
        <w:rPr>
          <w:rFonts w:cs="Arial"/>
          <w:szCs w:val="24"/>
        </w:rPr>
        <w:t>su facultad de corrección</w:t>
      </w:r>
      <w:r w:rsidR="0015046B">
        <w:rPr>
          <w:rFonts w:cs="Arial"/>
          <w:szCs w:val="24"/>
        </w:rPr>
        <w:t xml:space="preserve"> y veló </w:t>
      </w:r>
      <w:r w:rsidR="000F41D1">
        <w:rPr>
          <w:rFonts w:cs="Arial"/>
          <w:szCs w:val="24"/>
        </w:rPr>
        <w:t xml:space="preserve">por la prevalencia del principio del mérito. </w:t>
      </w:r>
    </w:p>
    <w:bookmarkEnd w:id="10"/>
    <w:p w14:paraId="427FCCC8" w14:textId="3BDFDD90" w:rsidR="000F41D1" w:rsidRDefault="000F41D1" w:rsidP="00F779FE">
      <w:pPr>
        <w:jc w:val="both"/>
        <w:rPr>
          <w:rFonts w:cs="Arial"/>
          <w:szCs w:val="24"/>
        </w:rPr>
      </w:pPr>
    </w:p>
    <w:p w14:paraId="1643AD0A" w14:textId="60B66F27" w:rsidR="000F41D1" w:rsidRPr="003E65DF" w:rsidRDefault="000F41D1" w:rsidP="00F779FE">
      <w:pPr>
        <w:jc w:val="both"/>
        <w:rPr>
          <w:rFonts w:cs="Arial"/>
          <w:szCs w:val="24"/>
        </w:rPr>
      </w:pPr>
      <w:r>
        <w:rPr>
          <w:rFonts w:cs="Arial"/>
          <w:szCs w:val="24"/>
        </w:rPr>
        <w:t xml:space="preserve">7.3.- Finalmente, sostuvo que </w:t>
      </w:r>
      <w:bookmarkStart w:id="11" w:name="_Hlk71640455"/>
      <w:r>
        <w:rPr>
          <w:rFonts w:cs="Arial"/>
          <w:szCs w:val="24"/>
        </w:rPr>
        <w:t>la obtención del puntaje mínimo para avanzar a la siguiente fase del concurso no constituye necesariamente una garantía de acceso al cargo ofertado, por lo que no se incurrió en un desmedro económic</w:t>
      </w:r>
      <w:r w:rsidR="0015046B">
        <w:rPr>
          <w:rFonts w:cs="Arial"/>
          <w:szCs w:val="24"/>
        </w:rPr>
        <w:t>o</w:t>
      </w:r>
      <w:r>
        <w:rPr>
          <w:rFonts w:cs="Arial"/>
          <w:szCs w:val="24"/>
        </w:rPr>
        <w:t xml:space="preserve"> de la accionante. </w:t>
      </w:r>
    </w:p>
    <w:bookmarkEnd w:id="11"/>
    <w:p w14:paraId="76CEC1A6" w14:textId="74E7F4E3" w:rsidR="00171734" w:rsidRDefault="00171734" w:rsidP="00F779FE">
      <w:pPr>
        <w:jc w:val="both"/>
        <w:rPr>
          <w:rFonts w:cs="Arial"/>
          <w:b/>
          <w:bCs/>
          <w:szCs w:val="24"/>
          <w:lang w:val="es-ES_tradnl"/>
        </w:rPr>
      </w:pPr>
    </w:p>
    <w:p w14:paraId="01AAA4C6" w14:textId="07C12002" w:rsidR="00171734" w:rsidRPr="00171734" w:rsidRDefault="00171734" w:rsidP="00F779FE">
      <w:pPr>
        <w:jc w:val="both"/>
        <w:rPr>
          <w:rFonts w:cs="Arial"/>
          <w:b/>
          <w:bCs/>
          <w:szCs w:val="24"/>
          <w:lang w:val="es-ES_tradnl"/>
        </w:rPr>
      </w:pPr>
      <w:r>
        <w:rPr>
          <w:rFonts w:cs="Arial"/>
          <w:b/>
          <w:bCs/>
          <w:szCs w:val="24"/>
          <w:lang w:val="es-ES_tradnl"/>
        </w:rPr>
        <w:t xml:space="preserve">F.- </w:t>
      </w:r>
      <w:r w:rsidR="00111DBC">
        <w:rPr>
          <w:rFonts w:cs="Arial"/>
          <w:b/>
          <w:bCs/>
          <w:szCs w:val="24"/>
          <w:lang w:val="es-ES_tradnl"/>
        </w:rPr>
        <w:t>Impugnación</w:t>
      </w:r>
    </w:p>
    <w:p w14:paraId="4886D313" w14:textId="2CE3FA61" w:rsidR="00F779FE" w:rsidRDefault="00F779FE" w:rsidP="00F779FE">
      <w:pPr>
        <w:jc w:val="both"/>
        <w:rPr>
          <w:rFonts w:cs="Arial"/>
          <w:szCs w:val="24"/>
          <w:lang w:val="es-ES_tradnl"/>
        </w:rPr>
      </w:pPr>
    </w:p>
    <w:p w14:paraId="41091E26" w14:textId="3E82584C" w:rsidR="000F41D1" w:rsidRDefault="000F41D1" w:rsidP="00F779FE">
      <w:pPr>
        <w:jc w:val="both"/>
        <w:rPr>
          <w:rFonts w:cs="Arial"/>
          <w:szCs w:val="24"/>
          <w:lang w:val="es-ES_tradnl"/>
        </w:rPr>
      </w:pPr>
      <w:r>
        <w:rPr>
          <w:rFonts w:cs="Arial"/>
          <w:szCs w:val="24"/>
          <w:lang w:val="es-ES_tradnl"/>
        </w:rPr>
        <w:t xml:space="preserve">8.- </w:t>
      </w:r>
      <w:r>
        <w:rPr>
          <w:rFonts w:cs="Arial"/>
          <w:bCs/>
          <w:szCs w:val="24"/>
        </w:rPr>
        <w:t>Notificada la sentencia de primera instancia y durante el término de su ejecutoria, la accionante presentó escrito de impugnación.</w:t>
      </w:r>
      <w:r w:rsidR="00791B14">
        <w:rPr>
          <w:rFonts w:cs="Arial"/>
          <w:bCs/>
          <w:szCs w:val="24"/>
        </w:rPr>
        <w:t xml:space="preserve"> En este reiteró los argumentos presentados en la acción de tutela, principalmente que (i) el medio constitucional, a diferencia de los mecanismos ordinarios, es idóneo y eficaz para la defensa directa de sus derechos; (ii) no existen mecanismos judiciales ordinarios para enjuiciar los actos administrativos de trámite; (iii) la </w:t>
      </w:r>
      <w:r w:rsidR="00791B14">
        <w:rPr>
          <w:rFonts w:cs="Arial"/>
          <w:szCs w:val="24"/>
          <w:lang w:val="es-ES_tradnl"/>
        </w:rPr>
        <w:t>Resolución No. CJR20-0202 de 27 de octubre de 2020 carece de motivación, pues no señala en concreto las fallas presentadas ni su incidencia en la calificación de la prueba; y (iv)</w:t>
      </w:r>
      <w:r w:rsidR="00791B14" w:rsidRPr="00791B14">
        <w:rPr>
          <w:rFonts w:cs="Arial"/>
          <w:szCs w:val="24"/>
          <w:lang w:val="es-ES_tradnl"/>
        </w:rPr>
        <w:t xml:space="preserve"> </w:t>
      </w:r>
      <w:r w:rsidR="00791B14">
        <w:rPr>
          <w:rFonts w:cs="Arial"/>
          <w:szCs w:val="24"/>
          <w:lang w:val="es-ES_tradnl"/>
        </w:rPr>
        <w:t>que es sujeto de especial protección constitucional dada su situación familiar y económica, por ser madre cabeza de familia.</w:t>
      </w:r>
    </w:p>
    <w:p w14:paraId="36CCB798" w14:textId="66AC12EA" w:rsidR="00791B14" w:rsidRDefault="00791B14" w:rsidP="00F779FE">
      <w:pPr>
        <w:jc w:val="both"/>
        <w:rPr>
          <w:rFonts w:cs="Arial"/>
          <w:szCs w:val="24"/>
          <w:lang w:val="es-ES_tradnl"/>
        </w:rPr>
      </w:pPr>
    </w:p>
    <w:p w14:paraId="725E8CE5" w14:textId="7DD8DC71" w:rsidR="00791B14" w:rsidRDefault="00791B14" w:rsidP="00F779FE">
      <w:pPr>
        <w:jc w:val="both"/>
        <w:rPr>
          <w:rFonts w:cs="Arial"/>
          <w:szCs w:val="24"/>
          <w:lang w:val="es-ES_tradnl"/>
        </w:rPr>
      </w:pPr>
      <w:r>
        <w:rPr>
          <w:rFonts w:cs="Arial"/>
          <w:szCs w:val="24"/>
          <w:lang w:val="es-ES_tradnl"/>
        </w:rPr>
        <w:t xml:space="preserve">8.1.- A su vez, señaló que la decisión de realizar de nuevo las pruebas del concurso constituye un gasto innecesario de los recursos del Estado, más aún si existían otras soluciones para sanear los vicios presentados y que los participantes ganadores no debían asumir la carga de los errores en la formulación de las pruebas. </w:t>
      </w:r>
    </w:p>
    <w:p w14:paraId="038DCDD8" w14:textId="721E956F" w:rsidR="00791B14" w:rsidRDefault="00791B14" w:rsidP="00F779FE">
      <w:pPr>
        <w:jc w:val="both"/>
        <w:rPr>
          <w:rFonts w:cs="Arial"/>
          <w:szCs w:val="24"/>
          <w:lang w:val="es-ES_tradnl"/>
        </w:rPr>
      </w:pPr>
    </w:p>
    <w:p w14:paraId="1A57A57C" w14:textId="5B020C9E" w:rsidR="00791B14" w:rsidRDefault="00791B14" w:rsidP="00F779FE">
      <w:pPr>
        <w:jc w:val="both"/>
        <w:rPr>
          <w:rFonts w:cs="Arial"/>
          <w:szCs w:val="24"/>
          <w:lang w:val="es-ES_tradnl"/>
        </w:rPr>
      </w:pPr>
      <w:r>
        <w:rPr>
          <w:rFonts w:cs="Arial"/>
          <w:szCs w:val="24"/>
          <w:lang w:val="es-ES_tradnl"/>
        </w:rPr>
        <w:t xml:space="preserve">8.2.- Por último, </w:t>
      </w:r>
      <w:bookmarkStart w:id="12" w:name="_Hlk71640574"/>
      <w:r>
        <w:rPr>
          <w:rFonts w:cs="Arial"/>
          <w:szCs w:val="24"/>
          <w:lang w:val="es-ES_tradnl"/>
        </w:rPr>
        <w:t xml:space="preserve">presentó nuevas solicitudes no comprendidas en la acción de tutela, en virtud de las cuales exige que (i) se le informe de manera clara y explícita los yerros presentados en la prueba y </w:t>
      </w:r>
      <w:r w:rsidR="002E6949">
        <w:rPr>
          <w:rFonts w:cs="Arial"/>
          <w:szCs w:val="24"/>
          <w:lang w:val="es-ES_tradnl"/>
        </w:rPr>
        <w:t xml:space="preserve">cómo </w:t>
      </w:r>
      <w:r>
        <w:rPr>
          <w:rFonts w:cs="Arial"/>
          <w:szCs w:val="24"/>
          <w:lang w:val="es-ES_tradnl"/>
        </w:rPr>
        <w:t>estos afectaron concretamente su calificación; y (ii) que mientras se resuelve la presente solicitud de amparo se suspenda el término previsto para acudir a la jurisdicción de lo contencioso administrativo y demandar la Resolución No. CJR20-0202 de 2020</w:t>
      </w:r>
      <w:r w:rsidR="00A85417">
        <w:rPr>
          <w:rFonts w:cs="Arial"/>
          <w:szCs w:val="24"/>
          <w:lang w:val="es-ES_tradnl"/>
        </w:rPr>
        <w:t>.</w:t>
      </w:r>
    </w:p>
    <w:bookmarkEnd w:id="12"/>
    <w:p w14:paraId="4A7D4041" w14:textId="21EA9EF0" w:rsidR="000F41D1" w:rsidRDefault="000F41D1" w:rsidP="00F779FE">
      <w:pPr>
        <w:jc w:val="both"/>
        <w:rPr>
          <w:rFonts w:cs="Arial"/>
          <w:szCs w:val="24"/>
          <w:lang w:val="es-ES_tradnl"/>
        </w:rPr>
      </w:pPr>
    </w:p>
    <w:p w14:paraId="1F54D396" w14:textId="423C648F" w:rsidR="00F779FE" w:rsidRDefault="00F779FE" w:rsidP="00085F68">
      <w:pPr>
        <w:tabs>
          <w:tab w:val="left" w:pos="-709"/>
          <w:tab w:val="left" w:pos="2410"/>
        </w:tabs>
        <w:jc w:val="center"/>
        <w:rPr>
          <w:rFonts w:cs="Arial"/>
          <w:b/>
          <w:szCs w:val="24"/>
        </w:rPr>
      </w:pPr>
      <w:r>
        <w:rPr>
          <w:rFonts w:cs="Arial"/>
          <w:b/>
          <w:szCs w:val="24"/>
        </w:rPr>
        <w:t>II. CONSIDERACIONES</w:t>
      </w:r>
    </w:p>
    <w:p w14:paraId="1445EA2D" w14:textId="77777777" w:rsidR="00F779FE" w:rsidRDefault="00F779FE" w:rsidP="00F779FE">
      <w:pPr>
        <w:autoSpaceDE w:val="0"/>
        <w:autoSpaceDN w:val="0"/>
        <w:adjustRightInd w:val="0"/>
        <w:jc w:val="both"/>
        <w:rPr>
          <w:rFonts w:cs="Arial"/>
          <w:b/>
          <w:szCs w:val="24"/>
        </w:rPr>
      </w:pPr>
    </w:p>
    <w:p w14:paraId="2A0CEF0F" w14:textId="52103692" w:rsidR="005942C5" w:rsidRDefault="00A85417" w:rsidP="00F779FE">
      <w:pPr>
        <w:numPr>
          <w:ilvl w:val="12"/>
          <w:numId w:val="0"/>
        </w:numPr>
        <w:tabs>
          <w:tab w:val="left" w:pos="6660"/>
        </w:tabs>
        <w:jc w:val="both"/>
        <w:rPr>
          <w:rFonts w:eastAsia="Verdana" w:cs="Arial"/>
          <w:szCs w:val="24"/>
        </w:rPr>
      </w:pPr>
      <w:r>
        <w:rPr>
          <w:rFonts w:eastAsia="Verdana" w:cs="Arial"/>
          <w:szCs w:val="24"/>
        </w:rPr>
        <w:t>9</w:t>
      </w:r>
      <w:r w:rsidR="00F779FE">
        <w:rPr>
          <w:rFonts w:eastAsia="Verdana" w:cs="Arial"/>
          <w:szCs w:val="24"/>
        </w:rPr>
        <w:t xml:space="preserve">.- La Sala </w:t>
      </w:r>
      <w:r w:rsidR="00475084">
        <w:rPr>
          <w:rFonts w:eastAsia="Verdana" w:cs="Arial"/>
          <w:szCs w:val="24"/>
        </w:rPr>
        <w:t>revocará</w:t>
      </w:r>
      <w:r>
        <w:rPr>
          <w:rFonts w:eastAsia="Verdana" w:cs="Arial"/>
          <w:szCs w:val="24"/>
        </w:rPr>
        <w:t xml:space="preserve"> la decisión de primera instancia, </w:t>
      </w:r>
      <w:bookmarkStart w:id="13" w:name="_Hlk71640654"/>
      <w:r w:rsidR="00475084">
        <w:rPr>
          <w:rFonts w:eastAsia="Verdana" w:cs="Arial"/>
          <w:szCs w:val="24"/>
        </w:rPr>
        <w:t>porque no</w:t>
      </w:r>
      <w:r>
        <w:rPr>
          <w:rFonts w:eastAsia="Verdana" w:cs="Arial"/>
          <w:szCs w:val="24"/>
        </w:rPr>
        <w:t xml:space="preserve"> se cumplió con el requisito de subsidiari</w:t>
      </w:r>
      <w:r w:rsidR="002E6949">
        <w:rPr>
          <w:rFonts w:eastAsia="Verdana" w:cs="Arial"/>
          <w:szCs w:val="24"/>
        </w:rPr>
        <w:t>e</w:t>
      </w:r>
      <w:r>
        <w:rPr>
          <w:rFonts w:eastAsia="Verdana" w:cs="Arial"/>
          <w:szCs w:val="24"/>
        </w:rPr>
        <w:t xml:space="preserve">dad </w:t>
      </w:r>
      <w:r w:rsidR="00475084">
        <w:rPr>
          <w:rFonts w:eastAsia="Verdana" w:cs="Arial"/>
          <w:szCs w:val="24"/>
        </w:rPr>
        <w:t>y no</w:t>
      </w:r>
      <w:r w:rsidR="00F779FE">
        <w:rPr>
          <w:rFonts w:eastAsia="Verdana" w:cs="Arial"/>
          <w:szCs w:val="24"/>
        </w:rPr>
        <w:t xml:space="preserve"> se </w:t>
      </w:r>
      <w:r w:rsidR="00475084">
        <w:rPr>
          <w:rFonts w:eastAsia="Verdana" w:cs="Arial"/>
          <w:szCs w:val="24"/>
        </w:rPr>
        <w:t>advirtie</w:t>
      </w:r>
      <w:r w:rsidR="00F779FE">
        <w:rPr>
          <w:rFonts w:eastAsia="Verdana" w:cs="Arial"/>
          <w:szCs w:val="24"/>
        </w:rPr>
        <w:t xml:space="preserve"> la existencia de un perjuicio irremediable que pudiera </w:t>
      </w:r>
      <w:r>
        <w:rPr>
          <w:rFonts w:eastAsia="Verdana" w:cs="Arial"/>
          <w:szCs w:val="24"/>
        </w:rPr>
        <w:t>justificar</w:t>
      </w:r>
      <w:r w:rsidR="00F779FE">
        <w:rPr>
          <w:rFonts w:eastAsia="Verdana" w:cs="Arial"/>
          <w:szCs w:val="24"/>
        </w:rPr>
        <w:t xml:space="preserve"> su procedencia excepcional</w:t>
      </w:r>
      <w:bookmarkEnd w:id="13"/>
      <w:r w:rsidR="005942C5">
        <w:rPr>
          <w:rFonts w:eastAsia="Verdana" w:cs="Arial"/>
          <w:szCs w:val="24"/>
        </w:rPr>
        <w:t>.</w:t>
      </w:r>
    </w:p>
    <w:p w14:paraId="0E018EC6" w14:textId="6CCF079C" w:rsidR="005942C5" w:rsidRDefault="005942C5" w:rsidP="00F779FE">
      <w:pPr>
        <w:numPr>
          <w:ilvl w:val="12"/>
          <w:numId w:val="0"/>
        </w:numPr>
        <w:tabs>
          <w:tab w:val="left" w:pos="6660"/>
        </w:tabs>
        <w:jc w:val="both"/>
        <w:rPr>
          <w:rFonts w:eastAsia="Verdana" w:cs="Arial"/>
          <w:szCs w:val="24"/>
        </w:rPr>
      </w:pPr>
    </w:p>
    <w:p w14:paraId="103921F1" w14:textId="50E1D58D" w:rsidR="005942C5" w:rsidRPr="001A4A5C" w:rsidRDefault="005942C5" w:rsidP="005942C5">
      <w:pPr>
        <w:numPr>
          <w:ilvl w:val="12"/>
          <w:numId w:val="0"/>
        </w:numPr>
        <w:tabs>
          <w:tab w:val="left" w:pos="6660"/>
        </w:tabs>
        <w:jc w:val="both"/>
        <w:rPr>
          <w:rFonts w:eastAsia="Verdana" w:cs="Arial"/>
          <w:szCs w:val="24"/>
        </w:rPr>
      </w:pPr>
      <w:r w:rsidRPr="001A4A5C">
        <w:rPr>
          <w:rFonts w:eastAsia="Verdana" w:cs="Arial"/>
          <w:szCs w:val="24"/>
        </w:rPr>
        <w:lastRenderedPageBreak/>
        <w:t xml:space="preserve">10.- Debe considerarse que la </w:t>
      </w:r>
      <w:r w:rsidR="00DC36EB" w:rsidRPr="001A4A5C">
        <w:rPr>
          <w:rFonts w:eastAsia="Verdana" w:cs="Arial"/>
          <w:szCs w:val="24"/>
        </w:rPr>
        <w:t>accionante</w:t>
      </w:r>
      <w:r w:rsidRPr="001A4A5C">
        <w:rPr>
          <w:rFonts w:eastAsia="Verdana" w:cs="Arial"/>
          <w:szCs w:val="24"/>
        </w:rPr>
        <w:t xml:space="preserve"> pretende que, por vía de tutela, se declare la cesación de los efectos jurídicos de la Resolución No. CJR20-0202 de</w:t>
      </w:r>
      <w:r w:rsidR="002E6949" w:rsidRPr="001A4A5C">
        <w:rPr>
          <w:rFonts w:eastAsia="Verdana" w:cs="Arial"/>
          <w:szCs w:val="24"/>
        </w:rPr>
        <w:t>l</w:t>
      </w:r>
      <w:r w:rsidRPr="001A4A5C">
        <w:rPr>
          <w:rFonts w:eastAsia="Verdana" w:cs="Arial"/>
          <w:szCs w:val="24"/>
        </w:rPr>
        <w:t xml:space="preserve"> 27 de octubre de 2020, expedida por la Unidad de Administración de Carrera Judicial del Consejo Superior de la Judicatura y, con ello, se ordene la continuación del concurso de méritos –Convocatoria No. 27</w:t>
      </w:r>
      <w:r w:rsidR="002E6949" w:rsidRPr="001A4A5C">
        <w:rPr>
          <w:rFonts w:eastAsia="Verdana" w:cs="Arial"/>
          <w:szCs w:val="24"/>
        </w:rPr>
        <w:t>–</w:t>
      </w:r>
      <w:r w:rsidRPr="001A4A5C">
        <w:rPr>
          <w:rFonts w:eastAsia="Verdana" w:cs="Arial"/>
          <w:szCs w:val="24"/>
        </w:rPr>
        <w:t xml:space="preserve"> desde la etapa </w:t>
      </w:r>
      <w:r w:rsidR="002E6949" w:rsidRPr="001A4A5C">
        <w:rPr>
          <w:rFonts w:eastAsia="Verdana" w:cs="Arial"/>
          <w:szCs w:val="24"/>
        </w:rPr>
        <w:t xml:space="preserve">en </w:t>
      </w:r>
      <w:r w:rsidRPr="001A4A5C">
        <w:rPr>
          <w:rFonts w:eastAsia="Verdana" w:cs="Arial"/>
          <w:szCs w:val="24"/>
        </w:rPr>
        <w:t>que se encontraba antes de la expedición de la aludida resolución.</w:t>
      </w:r>
    </w:p>
    <w:p w14:paraId="7AD7CED9" w14:textId="77777777" w:rsidR="005942C5" w:rsidRPr="001A4A5C" w:rsidRDefault="005942C5" w:rsidP="005942C5">
      <w:pPr>
        <w:numPr>
          <w:ilvl w:val="12"/>
          <w:numId w:val="0"/>
        </w:numPr>
        <w:tabs>
          <w:tab w:val="left" w:pos="6660"/>
        </w:tabs>
        <w:jc w:val="both"/>
        <w:rPr>
          <w:rFonts w:eastAsia="Verdana" w:cs="Arial"/>
          <w:szCs w:val="24"/>
        </w:rPr>
      </w:pPr>
    </w:p>
    <w:p w14:paraId="442752CB" w14:textId="342A2953" w:rsidR="005942C5" w:rsidRPr="001A4A5C" w:rsidRDefault="005942C5" w:rsidP="005942C5">
      <w:pPr>
        <w:numPr>
          <w:ilvl w:val="12"/>
          <w:numId w:val="0"/>
        </w:numPr>
        <w:tabs>
          <w:tab w:val="left" w:pos="6660"/>
        </w:tabs>
        <w:jc w:val="both"/>
        <w:rPr>
          <w:rFonts w:eastAsia="Verdana" w:cs="Arial"/>
          <w:szCs w:val="24"/>
        </w:rPr>
      </w:pPr>
      <w:r w:rsidRPr="001A4A5C">
        <w:rPr>
          <w:rFonts w:eastAsia="Verdana" w:cs="Arial"/>
          <w:szCs w:val="24"/>
        </w:rPr>
        <w:t xml:space="preserve">11.- En concordancia con lo anterior, resulta preciso recordar que el artículo 6 del Decreto 2591 de 1991, que desarrolló el artículo 86 Constitucional, señaló que la tutela resulta improcedente cuando existan otros recursos o medios de defensa judicial, salvo que aquella se utilice como mecanismo transitorio para evitar un perjuicio irremediable. </w:t>
      </w:r>
    </w:p>
    <w:p w14:paraId="33A0083E" w14:textId="77777777" w:rsidR="005942C5" w:rsidRPr="001A4A5C" w:rsidRDefault="005942C5" w:rsidP="005942C5">
      <w:pPr>
        <w:numPr>
          <w:ilvl w:val="12"/>
          <w:numId w:val="0"/>
        </w:numPr>
        <w:tabs>
          <w:tab w:val="left" w:pos="6660"/>
        </w:tabs>
        <w:jc w:val="both"/>
        <w:rPr>
          <w:rFonts w:eastAsia="Verdana" w:cs="Arial"/>
          <w:szCs w:val="24"/>
        </w:rPr>
      </w:pPr>
    </w:p>
    <w:p w14:paraId="1D690BD7" w14:textId="02CA753E" w:rsidR="005942C5" w:rsidRPr="001A4A5C" w:rsidRDefault="005942C5" w:rsidP="005942C5">
      <w:pPr>
        <w:numPr>
          <w:ilvl w:val="12"/>
          <w:numId w:val="0"/>
        </w:numPr>
        <w:tabs>
          <w:tab w:val="left" w:pos="6660"/>
        </w:tabs>
        <w:jc w:val="both"/>
        <w:rPr>
          <w:rFonts w:eastAsia="Verdana" w:cs="Arial"/>
          <w:szCs w:val="24"/>
        </w:rPr>
      </w:pPr>
      <w:r w:rsidRPr="001A4A5C">
        <w:rPr>
          <w:rFonts w:eastAsia="Verdana" w:cs="Arial"/>
          <w:szCs w:val="24"/>
        </w:rPr>
        <w:t>12.- La Corte Constitucional</w:t>
      </w:r>
      <w:r w:rsidR="00DC36EB" w:rsidRPr="001A4A5C">
        <w:rPr>
          <w:rStyle w:val="Refdenotaalpie"/>
          <w:rFonts w:eastAsia="Verdana" w:cs="Arial"/>
          <w:szCs w:val="24"/>
        </w:rPr>
        <w:footnoteReference w:id="1"/>
      </w:r>
      <w:r w:rsidRPr="001A4A5C">
        <w:rPr>
          <w:rFonts w:eastAsia="Verdana" w:cs="Arial"/>
          <w:szCs w:val="24"/>
        </w:rPr>
        <w:t xml:space="preserve"> ha sostenido que es deber de la accionante desplegar todos los mecanismos judiciales ordinarios que el sistema jurídico le otorga para la defensa de sus derechos, pues de no ser así, se correría el riesgo de </w:t>
      </w:r>
      <w:r w:rsidR="009846EA" w:rsidRPr="001A4A5C">
        <w:rPr>
          <w:rFonts w:eastAsia="Verdana" w:cs="Arial"/>
          <w:szCs w:val="24"/>
        </w:rPr>
        <w:t xml:space="preserve">interferir en </w:t>
      </w:r>
      <w:r w:rsidRPr="001A4A5C">
        <w:rPr>
          <w:rFonts w:eastAsia="Verdana" w:cs="Arial"/>
          <w:szCs w:val="24"/>
        </w:rPr>
        <w:t xml:space="preserve">las competencias de las distintas autoridades judiciales. </w:t>
      </w:r>
    </w:p>
    <w:p w14:paraId="61F7FE5C" w14:textId="77777777" w:rsidR="005942C5" w:rsidRPr="001A4A5C" w:rsidRDefault="005942C5" w:rsidP="005942C5">
      <w:pPr>
        <w:numPr>
          <w:ilvl w:val="12"/>
          <w:numId w:val="0"/>
        </w:numPr>
        <w:tabs>
          <w:tab w:val="left" w:pos="6660"/>
        </w:tabs>
        <w:jc w:val="both"/>
        <w:rPr>
          <w:rFonts w:eastAsia="Verdana" w:cs="Arial"/>
          <w:szCs w:val="24"/>
        </w:rPr>
      </w:pPr>
    </w:p>
    <w:p w14:paraId="01E605AA" w14:textId="5A6DA31F" w:rsidR="005942C5" w:rsidRPr="001A4A5C" w:rsidRDefault="005942C5" w:rsidP="005942C5">
      <w:pPr>
        <w:numPr>
          <w:ilvl w:val="12"/>
          <w:numId w:val="0"/>
        </w:numPr>
        <w:tabs>
          <w:tab w:val="left" w:pos="6660"/>
        </w:tabs>
        <w:jc w:val="both"/>
        <w:rPr>
          <w:rFonts w:eastAsia="Verdana" w:cs="Arial"/>
          <w:szCs w:val="24"/>
        </w:rPr>
      </w:pPr>
      <w:r w:rsidRPr="001A4A5C">
        <w:rPr>
          <w:rFonts w:eastAsia="Verdana" w:cs="Arial"/>
          <w:szCs w:val="24"/>
        </w:rPr>
        <w:t xml:space="preserve">13.- En ese orden de ideas, para la Sala, en el asunto de la referencia no se satisfizo el mencionado requisito (subsidiariedad), por las siguientes razones: </w:t>
      </w:r>
    </w:p>
    <w:p w14:paraId="7073EFFF" w14:textId="77777777" w:rsidR="005942C5" w:rsidRPr="001A4A5C" w:rsidRDefault="005942C5" w:rsidP="005942C5">
      <w:pPr>
        <w:numPr>
          <w:ilvl w:val="12"/>
          <w:numId w:val="0"/>
        </w:numPr>
        <w:tabs>
          <w:tab w:val="left" w:pos="6660"/>
        </w:tabs>
        <w:jc w:val="both"/>
        <w:rPr>
          <w:rFonts w:eastAsia="Verdana" w:cs="Arial"/>
          <w:szCs w:val="24"/>
        </w:rPr>
      </w:pPr>
    </w:p>
    <w:p w14:paraId="2ACAEE0B" w14:textId="31BA630F" w:rsidR="005942C5" w:rsidRPr="001A4A5C" w:rsidRDefault="005942C5" w:rsidP="005942C5">
      <w:pPr>
        <w:numPr>
          <w:ilvl w:val="12"/>
          <w:numId w:val="0"/>
        </w:numPr>
        <w:tabs>
          <w:tab w:val="left" w:pos="6660"/>
        </w:tabs>
        <w:jc w:val="both"/>
        <w:rPr>
          <w:rFonts w:eastAsia="Verdana" w:cs="Arial"/>
          <w:szCs w:val="24"/>
        </w:rPr>
      </w:pPr>
      <w:r w:rsidRPr="001A4A5C">
        <w:rPr>
          <w:rFonts w:eastAsia="Verdana" w:cs="Arial"/>
          <w:szCs w:val="24"/>
        </w:rPr>
        <w:t xml:space="preserve">13.1.- </w:t>
      </w:r>
      <w:r w:rsidR="009846EA" w:rsidRPr="001A4A5C">
        <w:rPr>
          <w:rFonts w:eastAsia="Verdana" w:cs="Arial"/>
          <w:szCs w:val="24"/>
        </w:rPr>
        <w:t>La</w:t>
      </w:r>
      <w:r w:rsidRPr="001A4A5C">
        <w:rPr>
          <w:rFonts w:eastAsia="Verdana" w:cs="Arial"/>
          <w:szCs w:val="24"/>
        </w:rPr>
        <w:t xml:space="preserve"> génesis de la controversia radica en si la Resolución No. CJR20-0202 de</w:t>
      </w:r>
      <w:r w:rsidR="009846EA" w:rsidRPr="001A4A5C">
        <w:rPr>
          <w:rFonts w:eastAsia="Verdana" w:cs="Arial"/>
          <w:szCs w:val="24"/>
        </w:rPr>
        <w:t>l</w:t>
      </w:r>
      <w:r w:rsidRPr="001A4A5C">
        <w:rPr>
          <w:rFonts w:eastAsia="Verdana" w:cs="Arial"/>
          <w:szCs w:val="24"/>
        </w:rPr>
        <w:t xml:space="preserve"> 27 de octubre de 2020, expedida en el marco de un concurso de méritos, es un acto de trámite o definitivo y, en consecuencia, si es objeto o no de control judicial ante la </w:t>
      </w:r>
      <w:r w:rsidR="009846EA" w:rsidRPr="001A4A5C">
        <w:rPr>
          <w:rFonts w:eastAsia="Verdana" w:cs="Arial"/>
          <w:szCs w:val="24"/>
        </w:rPr>
        <w:t xml:space="preserve">jurisdicción </w:t>
      </w:r>
      <w:r w:rsidRPr="001A4A5C">
        <w:rPr>
          <w:rFonts w:eastAsia="Verdana" w:cs="Arial"/>
          <w:szCs w:val="24"/>
        </w:rPr>
        <w:t xml:space="preserve">de lo </w:t>
      </w:r>
      <w:r w:rsidR="009846EA" w:rsidRPr="001A4A5C">
        <w:rPr>
          <w:rFonts w:eastAsia="Verdana" w:cs="Arial"/>
          <w:szCs w:val="24"/>
        </w:rPr>
        <w:t>contencioso administrativo.</w:t>
      </w:r>
      <w:r w:rsidRPr="001A4A5C">
        <w:rPr>
          <w:rFonts w:eastAsia="Verdana" w:cs="Arial"/>
          <w:szCs w:val="24"/>
        </w:rPr>
        <w:t xml:space="preserve"> </w:t>
      </w:r>
      <w:r w:rsidR="009846EA" w:rsidRPr="001A4A5C">
        <w:rPr>
          <w:rFonts w:eastAsia="Verdana" w:cs="Arial"/>
          <w:szCs w:val="24"/>
        </w:rPr>
        <w:t>Sin embargo,</w:t>
      </w:r>
      <w:r w:rsidRPr="001A4A5C">
        <w:rPr>
          <w:rFonts w:eastAsia="Verdana" w:cs="Arial"/>
          <w:szCs w:val="24"/>
        </w:rPr>
        <w:t xml:space="preserve"> la resolución de tales cuestionamientos le corresponde al juez natural, es decir, es </w:t>
      </w:r>
      <w:r w:rsidR="009846EA" w:rsidRPr="001A4A5C">
        <w:rPr>
          <w:rFonts w:eastAsia="Verdana" w:cs="Arial"/>
          <w:szCs w:val="24"/>
        </w:rPr>
        <w:t xml:space="preserve">él </w:t>
      </w:r>
      <w:r w:rsidRPr="001A4A5C">
        <w:rPr>
          <w:rFonts w:eastAsia="Verdana" w:cs="Arial"/>
          <w:szCs w:val="24"/>
        </w:rPr>
        <w:t>quien debe (se trascribe) “</w:t>
      </w:r>
      <w:r w:rsidRPr="001A4A5C">
        <w:rPr>
          <w:rFonts w:eastAsia="Verdana" w:cs="Arial"/>
          <w:i/>
          <w:iCs/>
          <w:szCs w:val="24"/>
        </w:rPr>
        <w:t>clarificar si el pronunciamiento de la administración es de trámite o definitivo con el propósito de que proceda el control judicial o no</w:t>
      </w:r>
      <w:r w:rsidRPr="001A4A5C">
        <w:rPr>
          <w:rFonts w:eastAsia="Verdana" w:cs="Arial"/>
          <w:szCs w:val="24"/>
        </w:rPr>
        <w:t>”</w:t>
      </w:r>
      <w:r w:rsidR="00DC36EB" w:rsidRPr="001A4A5C">
        <w:rPr>
          <w:rStyle w:val="Refdenotaalpie"/>
          <w:rFonts w:eastAsia="Verdana" w:cs="Arial"/>
          <w:szCs w:val="24"/>
        </w:rPr>
        <w:footnoteReference w:id="2"/>
      </w:r>
      <w:r w:rsidRPr="001A4A5C">
        <w:rPr>
          <w:rFonts w:eastAsia="Verdana" w:cs="Arial"/>
          <w:szCs w:val="24"/>
        </w:rPr>
        <w:t>.</w:t>
      </w:r>
    </w:p>
    <w:p w14:paraId="461AF5D6" w14:textId="77777777" w:rsidR="005942C5" w:rsidRPr="00F45C3D" w:rsidRDefault="005942C5" w:rsidP="005942C5">
      <w:pPr>
        <w:numPr>
          <w:ilvl w:val="12"/>
          <w:numId w:val="0"/>
        </w:numPr>
        <w:tabs>
          <w:tab w:val="left" w:pos="6660"/>
        </w:tabs>
        <w:jc w:val="both"/>
        <w:rPr>
          <w:rFonts w:eastAsia="Verdana" w:cs="Arial"/>
          <w:szCs w:val="24"/>
          <w:highlight w:val="cyan"/>
        </w:rPr>
      </w:pPr>
    </w:p>
    <w:p w14:paraId="1355E46B" w14:textId="38228957" w:rsidR="005942C5" w:rsidRPr="001A4A5C" w:rsidRDefault="00DC36EB" w:rsidP="005942C5">
      <w:pPr>
        <w:numPr>
          <w:ilvl w:val="12"/>
          <w:numId w:val="0"/>
        </w:numPr>
        <w:tabs>
          <w:tab w:val="left" w:pos="6660"/>
        </w:tabs>
        <w:jc w:val="both"/>
        <w:rPr>
          <w:rFonts w:eastAsia="Verdana" w:cs="Arial"/>
          <w:szCs w:val="24"/>
        </w:rPr>
      </w:pPr>
      <w:r w:rsidRPr="001A4A5C">
        <w:rPr>
          <w:rFonts w:eastAsia="Verdana" w:cs="Arial"/>
          <w:szCs w:val="24"/>
        </w:rPr>
        <w:t xml:space="preserve">13.2.- </w:t>
      </w:r>
      <w:r w:rsidR="005942C5" w:rsidRPr="001A4A5C">
        <w:rPr>
          <w:rFonts w:eastAsia="Verdana" w:cs="Arial"/>
          <w:szCs w:val="24"/>
        </w:rPr>
        <w:t>Actualmente, en la Subsección A de la Sección Segunda de esta Corporación se encuentra en trámite un proceso de nulidad, con medida provisional, contra la Resolución No. CJR20-0202 de 27 de octubre de 2020</w:t>
      </w:r>
      <w:r w:rsidRPr="001A4A5C">
        <w:rPr>
          <w:rStyle w:val="Refdenotaalpie"/>
          <w:rFonts w:eastAsia="Verdana" w:cs="Arial"/>
          <w:szCs w:val="24"/>
        </w:rPr>
        <w:footnoteReference w:id="3"/>
      </w:r>
      <w:r w:rsidR="009846EA" w:rsidRPr="001A4A5C">
        <w:rPr>
          <w:rFonts w:eastAsia="Verdana" w:cs="Arial"/>
          <w:szCs w:val="24"/>
        </w:rPr>
        <w:t>.</w:t>
      </w:r>
      <w:r w:rsidR="005942C5" w:rsidRPr="001A4A5C">
        <w:rPr>
          <w:rFonts w:eastAsia="Verdana" w:cs="Arial"/>
          <w:szCs w:val="24"/>
        </w:rPr>
        <w:t xml:space="preserve"> </w:t>
      </w:r>
      <w:r w:rsidR="009846EA" w:rsidRPr="001A4A5C">
        <w:rPr>
          <w:rFonts w:eastAsia="Verdana" w:cs="Arial"/>
          <w:szCs w:val="24"/>
        </w:rPr>
        <w:t>La</w:t>
      </w:r>
      <w:r w:rsidR="005942C5" w:rsidRPr="001A4A5C">
        <w:rPr>
          <w:rFonts w:eastAsia="Verdana" w:cs="Arial"/>
          <w:szCs w:val="24"/>
        </w:rPr>
        <w:t xml:space="preserve"> Sala </w:t>
      </w:r>
      <w:r w:rsidR="009846EA" w:rsidRPr="001A4A5C">
        <w:rPr>
          <w:rFonts w:eastAsia="Verdana" w:cs="Arial"/>
          <w:szCs w:val="24"/>
        </w:rPr>
        <w:t xml:space="preserve">considera </w:t>
      </w:r>
      <w:r w:rsidR="005942C5" w:rsidRPr="001A4A5C">
        <w:rPr>
          <w:rFonts w:eastAsia="Verdana" w:cs="Arial"/>
          <w:szCs w:val="24"/>
        </w:rPr>
        <w:t xml:space="preserve">que allí es </w:t>
      </w:r>
      <w:r w:rsidR="009846EA" w:rsidRPr="001A4A5C">
        <w:rPr>
          <w:rFonts w:eastAsia="Verdana" w:cs="Arial"/>
          <w:szCs w:val="24"/>
        </w:rPr>
        <w:t>donde</w:t>
      </w:r>
      <w:r w:rsidR="005942C5" w:rsidRPr="001A4A5C">
        <w:rPr>
          <w:rFonts w:eastAsia="Verdana" w:cs="Arial"/>
          <w:szCs w:val="24"/>
        </w:rPr>
        <w:t xml:space="preserve">, precisamente, se va a definir si ese es o no el mecanismo ordinario idóneo y procedente para estudiar los reparos contra el acto administrativo demandado. </w:t>
      </w:r>
    </w:p>
    <w:p w14:paraId="61288FE5" w14:textId="77777777" w:rsidR="005942C5" w:rsidRPr="001A4A5C" w:rsidRDefault="005942C5" w:rsidP="005942C5">
      <w:pPr>
        <w:numPr>
          <w:ilvl w:val="12"/>
          <w:numId w:val="0"/>
        </w:numPr>
        <w:tabs>
          <w:tab w:val="left" w:pos="6660"/>
        </w:tabs>
        <w:jc w:val="both"/>
        <w:rPr>
          <w:rFonts w:eastAsia="Verdana" w:cs="Arial"/>
          <w:szCs w:val="24"/>
        </w:rPr>
      </w:pPr>
    </w:p>
    <w:p w14:paraId="6C2538C7" w14:textId="5C99117F" w:rsidR="005942C5" w:rsidRPr="001A4A5C" w:rsidRDefault="00DC36EB" w:rsidP="005942C5">
      <w:pPr>
        <w:numPr>
          <w:ilvl w:val="12"/>
          <w:numId w:val="0"/>
        </w:numPr>
        <w:tabs>
          <w:tab w:val="left" w:pos="6660"/>
        </w:tabs>
        <w:jc w:val="both"/>
        <w:rPr>
          <w:rFonts w:eastAsia="Verdana" w:cs="Arial"/>
          <w:szCs w:val="24"/>
        </w:rPr>
      </w:pPr>
      <w:r w:rsidRPr="001A4A5C">
        <w:rPr>
          <w:rFonts w:eastAsia="Verdana" w:cs="Arial"/>
          <w:szCs w:val="24"/>
        </w:rPr>
        <w:t xml:space="preserve">13.3.- </w:t>
      </w:r>
      <w:r w:rsidR="005942C5" w:rsidRPr="001A4A5C">
        <w:rPr>
          <w:rFonts w:eastAsia="Verdana" w:cs="Arial"/>
          <w:szCs w:val="24"/>
        </w:rPr>
        <w:t>Por lo anterior, aún no se puede hablar de una ineficacia o falta de idoneidad de un mecanismo ordinario para cuestionar la Resolución No. CJR20-0202 de</w:t>
      </w:r>
      <w:r w:rsidR="009846EA" w:rsidRPr="001A4A5C">
        <w:rPr>
          <w:rFonts w:eastAsia="Verdana" w:cs="Arial"/>
          <w:szCs w:val="24"/>
        </w:rPr>
        <w:t>l</w:t>
      </w:r>
      <w:r w:rsidR="005942C5" w:rsidRPr="001A4A5C">
        <w:rPr>
          <w:rFonts w:eastAsia="Verdana" w:cs="Arial"/>
          <w:szCs w:val="24"/>
        </w:rPr>
        <w:t xml:space="preserve"> 27 de octubre de 2020, tal como lo planteó la </w:t>
      </w:r>
      <w:r w:rsidRPr="001A4A5C">
        <w:rPr>
          <w:rFonts w:eastAsia="Verdana" w:cs="Arial"/>
          <w:szCs w:val="24"/>
        </w:rPr>
        <w:t>accionante</w:t>
      </w:r>
      <w:r w:rsidR="005942C5" w:rsidRPr="001A4A5C">
        <w:rPr>
          <w:rFonts w:eastAsia="Verdana" w:cs="Arial"/>
          <w:szCs w:val="24"/>
        </w:rPr>
        <w:t xml:space="preserve">, ni mucho menos, de la inexistencia del mismo, porque como se dijo anteriormente, ello está supeditado a un pronunciamiento propio del juez natural. </w:t>
      </w:r>
    </w:p>
    <w:p w14:paraId="6B001C68" w14:textId="77777777" w:rsidR="005942C5" w:rsidRPr="001A4A5C" w:rsidRDefault="005942C5" w:rsidP="005942C5">
      <w:pPr>
        <w:numPr>
          <w:ilvl w:val="12"/>
          <w:numId w:val="0"/>
        </w:numPr>
        <w:tabs>
          <w:tab w:val="left" w:pos="6660"/>
        </w:tabs>
        <w:jc w:val="both"/>
        <w:rPr>
          <w:rFonts w:eastAsia="Verdana" w:cs="Arial"/>
          <w:szCs w:val="24"/>
        </w:rPr>
      </w:pPr>
    </w:p>
    <w:p w14:paraId="7E4EB431" w14:textId="38FD9EC1" w:rsidR="005942C5" w:rsidRPr="001A4A5C" w:rsidRDefault="00DC36EB" w:rsidP="005942C5">
      <w:pPr>
        <w:numPr>
          <w:ilvl w:val="12"/>
          <w:numId w:val="0"/>
        </w:numPr>
        <w:tabs>
          <w:tab w:val="left" w:pos="6660"/>
        </w:tabs>
        <w:jc w:val="both"/>
        <w:rPr>
          <w:rFonts w:eastAsia="Verdana" w:cs="Arial"/>
          <w:szCs w:val="24"/>
        </w:rPr>
      </w:pPr>
      <w:r w:rsidRPr="001A4A5C">
        <w:rPr>
          <w:rFonts w:eastAsia="Verdana" w:cs="Arial"/>
          <w:szCs w:val="24"/>
        </w:rPr>
        <w:t xml:space="preserve">13.4.- </w:t>
      </w:r>
      <w:r w:rsidR="005942C5" w:rsidRPr="001A4A5C">
        <w:rPr>
          <w:rFonts w:eastAsia="Verdana" w:cs="Arial"/>
          <w:szCs w:val="24"/>
        </w:rPr>
        <w:t>Así las cosas, la Sala</w:t>
      </w:r>
      <w:r w:rsidR="009846EA" w:rsidRPr="001A4A5C">
        <w:rPr>
          <w:rFonts w:eastAsia="Verdana" w:cs="Arial"/>
          <w:szCs w:val="24"/>
        </w:rPr>
        <w:t xml:space="preserve"> estima que</w:t>
      </w:r>
      <w:r w:rsidR="005942C5" w:rsidRPr="001A4A5C">
        <w:rPr>
          <w:rFonts w:eastAsia="Verdana" w:cs="Arial"/>
          <w:szCs w:val="24"/>
        </w:rPr>
        <w:t xml:space="preserve"> la determinación del juez natural, indiscutiblemente, va a repercutir en la procedibilidad o no de la acción de tutela, incluso, como mecanismo transitorio para controvertir la Resolución No. CJR20-0202 de 27 de octubre de 2020</w:t>
      </w:r>
      <w:r w:rsidR="009846EA" w:rsidRPr="001A4A5C">
        <w:rPr>
          <w:rFonts w:eastAsia="Verdana" w:cs="Arial"/>
          <w:szCs w:val="24"/>
        </w:rPr>
        <w:t>. Por esta razón,</w:t>
      </w:r>
      <w:r w:rsidR="005942C5" w:rsidRPr="001A4A5C">
        <w:rPr>
          <w:rFonts w:eastAsia="Verdana" w:cs="Arial"/>
          <w:szCs w:val="24"/>
        </w:rPr>
        <w:t xml:space="preserve"> una decisión al respecto por parte del juez constitucional vaciaría la competencia de aquel, quien, se reitera, debe definir si el acto administrativo demandado es susceptible o no de control judicial vía ordinaria, es decir, si contra el mismo procede</w:t>
      </w:r>
      <w:r w:rsidR="009846EA" w:rsidRPr="001A4A5C">
        <w:rPr>
          <w:rFonts w:eastAsia="Verdana" w:cs="Arial"/>
          <w:szCs w:val="24"/>
        </w:rPr>
        <w:t>n</w:t>
      </w:r>
      <w:r w:rsidR="005942C5" w:rsidRPr="001A4A5C">
        <w:rPr>
          <w:rFonts w:eastAsia="Verdana" w:cs="Arial"/>
          <w:szCs w:val="24"/>
        </w:rPr>
        <w:t xml:space="preserve"> o no los medios de control previstos en la Ley 1437 de 2011 (CPACA).</w:t>
      </w:r>
    </w:p>
    <w:p w14:paraId="2C63CA17" w14:textId="77777777" w:rsidR="005942C5" w:rsidRPr="001A4A5C" w:rsidRDefault="005942C5" w:rsidP="005942C5">
      <w:pPr>
        <w:numPr>
          <w:ilvl w:val="12"/>
          <w:numId w:val="0"/>
        </w:numPr>
        <w:tabs>
          <w:tab w:val="left" w:pos="6660"/>
        </w:tabs>
        <w:jc w:val="both"/>
        <w:rPr>
          <w:rFonts w:eastAsia="Verdana" w:cs="Arial"/>
          <w:szCs w:val="24"/>
        </w:rPr>
      </w:pPr>
    </w:p>
    <w:p w14:paraId="5D63E907" w14:textId="5C005544" w:rsidR="005942C5" w:rsidRPr="001A4A5C" w:rsidRDefault="00DC36EB" w:rsidP="005942C5">
      <w:pPr>
        <w:numPr>
          <w:ilvl w:val="12"/>
          <w:numId w:val="0"/>
        </w:numPr>
        <w:tabs>
          <w:tab w:val="left" w:pos="6660"/>
        </w:tabs>
        <w:jc w:val="both"/>
        <w:rPr>
          <w:rFonts w:eastAsia="Verdana" w:cs="Arial"/>
          <w:szCs w:val="24"/>
        </w:rPr>
      </w:pPr>
      <w:r w:rsidRPr="001A4A5C">
        <w:rPr>
          <w:rFonts w:eastAsia="Verdana" w:cs="Arial"/>
          <w:szCs w:val="24"/>
        </w:rPr>
        <w:t xml:space="preserve">13.5.- </w:t>
      </w:r>
      <w:r w:rsidR="005942C5" w:rsidRPr="001A4A5C">
        <w:rPr>
          <w:rFonts w:eastAsia="Verdana" w:cs="Arial"/>
          <w:szCs w:val="24"/>
        </w:rPr>
        <w:t>En consecuencia, la Sala no encuentra factible que el juez constitucional invada la órbita de competencia del juez natural y desconozca la naturaleza subsidiaria de la acción de tutela, para así pronunciarse sobre aspectos que no son de su competencia, máxime cuando no se advierte una situación de urgencia ni un perjuicio irremediable que sustente su intervención</w:t>
      </w:r>
      <w:r w:rsidR="003171EA" w:rsidRPr="001A4A5C">
        <w:rPr>
          <w:rFonts w:eastAsia="Verdana" w:cs="Arial"/>
          <w:szCs w:val="24"/>
        </w:rPr>
        <w:t>.</w:t>
      </w:r>
    </w:p>
    <w:p w14:paraId="36641CA7" w14:textId="5E6A57BF" w:rsidR="00A85417" w:rsidRPr="001A4A5C" w:rsidRDefault="00A85417" w:rsidP="00F779FE">
      <w:pPr>
        <w:tabs>
          <w:tab w:val="left" w:pos="2655"/>
        </w:tabs>
        <w:jc w:val="both"/>
        <w:rPr>
          <w:rFonts w:eastAsia="Verdana" w:cs="Arial"/>
          <w:szCs w:val="24"/>
        </w:rPr>
      </w:pPr>
    </w:p>
    <w:p w14:paraId="30B52649" w14:textId="08130778" w:rsidR="00DC36EB" w:rsidRPr="001A4A5C" w:rsidRDefault="00DC36EB" w:rsidP="00F779FE">
      <w:pPr>
        <w:tabs>
          <w:tab w:val="left" w:pos="2655"/>
        </w:tabs>
        <w:jc w:val="both"/>
        <w:rPr>
          <w:rFonts w:eastAsia="Verdana" w:cs="Arial"/>
          <w:szCs w:val="24"/>
        </w:rPr>
      </w:pPr>
      <w:r w:rsidRPr="001A4A5C">
        <w:rPr>
          <w:rFonts w:eastAsia="Verdana" w:cs="Arial"/>
          <w:szCs w:val="24"/>
        </w:rPr>
        <w:t>13.6.- Por las consideraciones expuestas y como en casos anteriores</w:t>
      </w:r>
      <w:r w:rsidRPr="001A4A5C">
        <w:rPr>
          <w:rStyle w:val="Refdenotaalpie"/>
          <w:rFonts w:eastAsia="Verdana" w:cs="Arial"/>
          <w:szCs w:val="24"/>
        </w:rPr>
        <w:footnoteReference w:id="4"/>
      </w:r>
      <w:r w:rsidRPr="001A4A5C">
        <w:rPr>
          <w:rFonts w:eastAsia="Verdana" w:cs="Arial"/>
          <w:szCs w:val="24"/>
        </w:rPr>
        <w:t xml:space="preserve">, la Sala concluye que es el juez natural y no el constitucional quien debe definir si el acto administrativo demandado </w:t>
      </w:r>
      <w:r w:rsidR="009846EA" w:rsidRPr="001A4A5C">
        <w:rPr>
          <w:rFonts w:eastAsia="Verdana" w:cs="Arial"/>
          <w:szCs w:val="24"/>
        </w:rPr>
        <w:t>–</w:t>
      </w:r>
      <w:r w:rsidRPr="001A4A5C">
        <w:rPr>
          <w:rFonts w:eastAsia="Verdana" w:cs="Arial"/>
          <w:szCs w:val="24"/>
        </w:rPr>
        <w:t>Resolución No. CJR20-0202 de 27 de octubre de 2020– es susceptible de control judicial, lo que torna en improcedente la acción de tutela y, en ese sentido, no hay lugar a pronunciarse sobre los demás requisitos generales ni sobre el fondo del asunto.</w:t>
      </w:r>
    </w:p>
    <w:p w14:paraId="7D3A2CCE" w14:textId="385DD51F" w:rsidR="00024142" w:rsidRPr="00024142" w:rsidRDefault="00475084" w:rsidP="00F779FE">
      <w:pPr>
        <w:tabs>
          <w:tab w:val="left" w:pos="2655"/>
        </w:tabs>
        <w:jc w:val="both"/>
        <w:rPr>
          <w:rFonts w:eastAsia="Verdana" w:cs="Arial"/>
          <w:szCs w:val="24"/>
        </w:rPr>
      </w:pPr>
      <w:r w:rsidRPr="001A4A5C">
        <w:rPr>
          <w:rFonts w:eastAsia="Verdana" w:cs="Arial"/>
          <w:szCs w:val="24"/>
        </w:rPr>
        <w:lastRenderedPageBreak/>
        <w:t>14</w:t>
      </w:r>
      <w:r w:rsidR="00024142" w:rsidRPr="001A4A5C">
        <w:rPr>
          <w:rFonts w:eastAsia="Verdana" w:cs="Arial"/>
          <w:szCs w:val="24"/>
        </w:rPr>
        <w:t xml:space="preserve">.- Finalmente, </w:t>
      </w:r>
      <w:bookmarkStart w:id="14" w:name="_Hlk71640829"/>
      <w:r w:rsidR="00024142" w:rsidRPr="001A4A5C">
        <w:rPr>
          <w:rFonts w:eastAsia="Verdana" w:cs="Arial"/>
          <w:szCs w:val="24"/>
        </w:rPr>
        <w:t xml:space="preserve">cabe señalar que las nuevas solicitudes presentadas por la accionante en el escrito de impugnación no son de recibo, por cuanto implican (i) la presentación (pero no solicitud de amparo) de un derecho de petición a la entidad accionada, a través de la jurisdicción constitucional, lo cual es a todas luces improcedente; y (ii) una suspensión del término legal para presentar los </w:t>
      </w:r>
      <w:r w:rsidR="00085F68" w:rsidRPr="001A4A5C">
        <w:rPr>
          <w:rFonts w:eastAsia="Verdana" w:cs="Arial"/>
          <w:szCs w:val="24"/>
        </w:rPr>
        <w:t>medios</w:t>
      </w:r>
      <w:r w:rsidR="00024142" w:rsidRPr="001A4A5C">
        <w:rPr>
          <w:rFonts w:eastAsia="Verdana" w:cs="Arial"/>
          <w:szCs w:val="24"/>
        </w:rPr>
        <w:t xml:space="preserve"> de control previstos en la Ley 1437 de 2011, lo que implicaría una extralimitación de las facultades del juez de tutela, quien no puede, sin </w:t>
      </w:r>
      <w:r w:rsidR="00085F68" w:rsidRPr="001A4A5C">
        <w:rPr>
          <w:rFonts w:eastAsia="Verdana" w:cs="Arial"/>
          <w:szCs w:val="24"/>
        </w:rPr>
        <w:t>mayor</w:t>
      </w:r>
      <w:r w:rsidR="00024142" w:rsidRPr="001A4A5C">
        <w:rPr>
          <w:rFonts w:eastAsia="Verdana" w:cs="Arial"/>
          <w:szCs w:val="24"/>
        </w:rPr>
        <w:t xml:space="preserve"> consideración, desconocer un mandato imperativo y de orden público como lo es la caducidad.</w:t>
      </w:r>
      <w:r w:rsidR="00024142">
        <w:rPr>
          <w:rFonts w:eastAsia="Verdana" w:cs="Arial"/>
          <w:szCs w:val="24"/>
        </w:rPr>
        <w:t xml:space="preserve"> </w:t>
      </w:r>
    </w:p>
    <w:bookmarkEnd w:id="14"/>
    <w:p w14:paraId="78CAA769" w14:textId="77777777" w:rsidR="00F779FE" w:rsidRDefault="00F779FE" w:rsidP="00F779FE">
      <w:pPr>
        <w:tabs>
          <w:tab w:val="left" w:pos="2655"/>
        </w:tabs>
        <w:jc w:val="both"/>
        <w:rPr>
          <w:rFonts w:eastAsia="Verdana" w:cs="Arial"/>
          <w:szCs w:val="24"/>
        </w:rPr>
      </w:pPr>
    </w:p>
    <w:p w14:paraId="1185670D" w14:textId="77777777" w:rsidR="00F779FE" w:rsidRDefault="00F779FE" w:rsidP="00F779FE">
      <w:pPr>
        <w:tabs>
          <w:tab w:val="left" w:pos="2655"/>
        </w:tabs>
        <w:jc w:val="both"/>
        <w:rPr>
          <w:rFonts w:cs="Arial"/>
          <w:szCs w:val="24"/>
          <w:lang w:val="es-ES"/>
        </w:rPr>
      </w:pPr>
      <w:r>
        <w:rPr>
          <w:rFonts w:cs="Arial"/>
          <w:szCs w:val="24"/>
          <w:lang w:val="es-ES"/>
        </w:rPr>
        <w:t>Por lo expuesto, el Consejo de Estado, Sala de lo Contencioso Administrativo, Sección Tercera, Subsección B, administrando justicia en nombre de la República y por autoridad de la ley,</w:t>
      </w:r>
    </w:p>
    <w:p w14:paraId="45CF1399" w14:textId="0761B73E" w:rsidR="00F779FE" w:rsidRDefault="00F779FE" w:rsidP="00F779FE">
      <w:pPr>
        <w:tabs>
          <w:tab w:val="left" w:pos="2655"/>
        </w:tabs>
        <w:jc w:val="both"/>
        <w:rPr>
          <w:rFonts w:cs="Arial"/>
          <w:szCs w:val="24"/>
          <w:lang w:val="es-ES"/>
        </w:rPr>
      </w:pPr>
    </w:p>
    <w:p w14:paraId="4ABF8058" w14:textId="77777777" w:rsidR="009846EA" w:rsidRDefault="009846EA" w:rsidP="00F779FE">
      <w:pPr>
        <w:tabs>
          <w:tab w:val="left" w:pos="2655"/>
        </w:tabs>
        <w:jc w:val="both"/>
        <w:rPr>
          <w:rFonts w:cs="Arial"/>
          <w:szCs w:val="24"/>
          <w:lang w:val="es-ES"/>
        </w:rPr>
      </w:pPr>
    </w:p>
    <w:p w14:paraId="342F9F10" w14:textId="77777777" w:rsidR="00F779FE" w:rsidRDefault="00F779FE" w:rsidP="00F779FE">
      <w:pPr>
        <w:jc w:val="center"/>
        <w:rPr>
          <w:rFonts w:eastAsia="Times New Roman" w:cs="Arial"/>
          <w:szCs w:val="24"/>
          <w:lang w:eastAsia="es-ES"/>
        </w:rPr>
      </w:pPr>
      <w:r>
        <w:rPr>
          <w:rFonts w:eastAsia="Times New Roman" w:cs="Arial"/>
          <w:b/>
          <w:szCs w:val="24"/>
          <w:lang w:eastAsia="es-ES"/>
        </w:rPr>
        <w:t>RESUELVE</w:t>
      </w:r>
    </w:p>
    <w:p w14:paraId="21F5F16C" w14:textId="77777777" w:rsidR="00F779FE" w:rsidRDefault="00F779FE" w:rsidP="00F779FE">
      <w:pPr>
        <w:jc w:val="both"/>
        <w:rPr>
          <w:rFonts w:eastAsia="Times New Roman" w:cs="Arial"/>
          <w:szCs w:val="24"/>
          <w:lang w:eastAsia="es-ES"/>
        </w:rPr>
      </w:pPr>
      <w:r>
        <w:rPr>
          <w:rFonts w:eastAsia="Times New Roman" w:cs="Arial"/>
          <w:szCs w:val="24"/>
          <w:lang w:eastAsia="es-ES"/>
        </w:rPr>
        <w:t xml:space="preserve"> </w:t>
      </w:r>
    </w:p>
    <w:p w14:paraId="3DEEFD78" w14:textId="4AF78275" w:rsidR="00024142" w:rsidRDefault="00F779FE" w:rsidP="00F779FE">
      <w:pPr>
        <w:tabs>
          <w:tab w:val="left" w:pos="709"/>
          <w:tab w:val="left" w:pos="1701"/>
        </w:tabs>
        <w:jc w:val="both"/>
        <w:rPr>
          <w:rFonts w:eastAsia="Times New Roman" w:cs="Arial"/>
          <w:b/>
          <w:bCs/>
          <w:color w:val="000000"/>
          <w:szCs w:val="24"/>
          <w:lang w:val="es-ES" w:eastAsia="es-ES"/>
        </w:rPr>
      </w:pPr>
      <w:r>
        <w:rPr>
          <w:rFonts w:eastAsia="Times New Roman" w:cs="Arial"/>
          <w:b/>
          <w:bCs/>
          <w:color w:val="000000"/>
          <w:szCs w:val="24"/>
          <w:lang w:val="es-ES" w:eastAsia="es-ES"/>
        </w:rPr>
        <w:t xml:space="preserve">PRIMERO: </w:t>
      </w:r>
      <w:r w:rsidR="00475084">
        <w:rPr>
          <w:rFonts w:eastAsia="Times New Roman" w:cs="Arial"/>
          <w:b/>
          <w:szCs w:val="24"/>
          <w:lang w:val="es-ES" w:eastAsia="es-ES"/>
        </w:rPr>
        <w:t>REVOCÁSE</w:t>
      </w:r>
      <w:r w:rsidR="009846EA">
        <w:rPr>
          <w:rFonts w:eastAsia="Times New Roman" w:cs="Arial"/>
          <w:b/>
          <w:szCs w:val="24"/>
          <w:lang w:val="es-ES" w:eastAsia="es-ES"/>
        </w:rPr>
        <w:t xml:space="preserve"> </w:t>
      </w:r>
      <w:r w:rsidR="00024142">
        <w:rPr>
          <w:rFonts w:eastAsia="Times New Roman" w:cs="Arial"/>
          <w:bCs/>
          <w:szCs w:val="24"/>
          <w:lang w:val="es-ES" w:eastAsia="es-ES"/>
        </w:rPr>
        <w:t xml:space="preserve">la sentencia de primera instancia proferida por la Sección Segunda, Subsección A del Consejo de Estado, que negó el amparo de los derechos fundamentales invocados por </w:t>
      </w:r>
      <w:r w:rsidR="00024142" w:rsidRPr="00F779FE">
        <w:rPr>
          <w:rFonts w:cs="Arial"/>
          <w:szCs w:val="24"/>
        </w:rPr>
        <w:t>Marcela Chaves Álava</w:t>
      </w:r>
      <w:r w:rsidR="00475084">
        <w:rPr>
          <w:rFonts w:cs="Arial"/>
          <w:szCs w:val="24"/>
        </w:rPr>
        <w:t xml:space="preserve"> y, en su lugar, </w:t>
      </w:r>
      <w:r w:rsidR="00475084" w:rsidRPr="00F3315A">
        <w:rPr>
          <w:rFonts w:cs="Arial"/>
          <w:b/>
          <w:szCs w:val="24"/>
        </w:rPr>
        <w:t>DECLÁRESE</w:t>
      </w:r>
      <w:r w:rsidR="00475084">
        <w:rPr>
          <w:rFonts w:cs="Arial"/>
          <w:szCs w:val="24"/>
        </w:rPr>
        <w:t xml:space="preserve"> la improcedencia por subsidiariedad</w:t>
      </w:r>
      <w:r w:rsidR="00024142">
        <w:rPr>
          <w:rFonts w:cs="Arial"/>
          <w:szCs w:val="24"/>
        </w:rPr>
        <w:t xml:space="preserve">. </w:t>
      </w:r>
    </w:p>
    <w:p w14:paraId="4A47CA24" w14:textId="77777777" w:rsidR="00F779FE" w:rsidRDefault="00F779FE" w:rsidP="00F779FE">
      <w:pPr>
        <w:jc w:val="both"/>
        <w:textAlignment w:val="baseline"/>
        <w:rPr>
          <w:rFonts w:eastAsia="Times New Roman" w:cs="Arial"/>
          <w:bCs/>
          <w:color w:val="000000"/>
          <w:szCs w:val="24"/>
          <w:lang w:val="es-ES" w:eastAsia="es-ES"/>
        </w:rPr>
      </w:pPr>
    </w:p>
    <w:p w14:paraId="3F22B24D" w14:textId="5D1D1321" w:rsidR="00F779FE" w:rsidRDefault="00F779FE" w:rsidP="00F779FE">
      <w:pPr>
        <w:jc w:val="both"/>
        <w:textAlignment w:val="baseline"/>
        <w:rPr>
          <w:rFonts w:eastAsia="Dotum" w:cs="Arial"/>
          <w:szCs w:val="24"/>
        </w:rPr>
      </w:pPr>
      <w:r>
        <w:rPr>
          <w:rFonts w:eastAsia="Times New Roman" w:cs="Arial"/>
          <w:b/>
          <w:bCs/>
          <w:color w:val="000000"/>
          <w:szCs w:val="24"/>
          <w:lang w:val="es-ES" w:eastAsia="es-ES"/>
        </w:rPr>
        <w:t xml:space="preserve">SEGUNDO: </w:t>
      </w:r>
      <w:r>
        <w:rPr>
          <w:rFonts w:eastAsia="Times New Roman" w:cs="Arial"/>
          <w:b/>
          <w:bCs/>
          <w:color w:val="000000"/>
          <w:szCs w:val="24"/>
          <w:lang w:val="es-ES" w:eastAsia="es-ES"/>
        </w:rPr>
        <w:tab/>
      </w:r>
      <w:r>
        <w:rPr>
          <w:rFonts w:eastAsia="Times New Roman" w:cs="Arial"/>
          <w:b/>
          <w:bCs/>
          <w:szCs w:val="24"/>
          <w:lang w:eastAsia="es-ES"/>
        </w:rPr>
        <w:t xml:space="preserve">NOTIFÍQUESE </w:t>
      </w:r>
      <w:r>
        <w:rPr>
          <w:rFonts w:eastAsia="Verdana" w:cs="Arial"/>
          <w:szCs w:val="24"/>
        </w:rPr>
        <w:t>la presente decisión</w:t>
      </w:r>
      <w:r>
        <w:rPr>
          <w:rFonts w:eastAsia="Times New Roman" w:cs="Arial"/>
          <w:bCs/>
          <w:szCs w:val="24"/>
          <w:lang w:eastAsia="es-ES"/>
        </w:rPr>
        <w:t xml:space="preserve"> a las partes por el medio </w:t>
      </w:r>
      <w:r w:rsidR="0015046B">
        <w:rPr>
          <w:rFonts w:eastAsia="Times New Roman" w:cs="Arial"/>
          <w:bCs/>
          <w:szCs w:val="24"/>
          <w:lang w:eastAsia="es-ES"/>
        </w:rPr>
        <w:t>más expedito</w:t>
      </w:r>
      <w:r>
        <w:rPr>
          <w:rFonts w:eastAsia="Times New Roman" w:cs="Arial"/>
          <w:bCs/>
          <w:szCs w:val="24"/>
          <w:lang w:eastAsia="es-ES"/>
        </w:rPr>
        <w:t xml:space="preserve"> y eficaz.</w:t>
      </w:r>
    </w:p>
    <w:p w14:paraId="311F0B0A" w14:textId="77777777" w:rsidR="00F779FE" w:rsidRDefault="00F779FE" w:rsidP="00F779FE">
      <w:pPr>
        <w:jc w:val="both"/>
        <w:textAlignment w:val="baseline"/>
        <w:rPr>
          <w:rFonts w:eastAsia="Times New Roman" w:cs="Arial"/>
          <w:bCs/>
          <w:color w:val="000000"/>
          <w:szCs w:val="24"/>
          <w:lang w:eastAsia="es-ES"/>
        </w:rPr>
      </w:pPr>
    </w:p>
    <w:p w14:paraId="0EF75B06" w14:textId="0705B49D" w:rsidR="00F779FE" w:rsidRDefault="00F779FE" w:rsidP="00F779FE">
      <w:pPr>
        <w:jc w:val="both"/>
        <w:textAlignment w:val="baseline"/>
        <w:rPr>
          <w:rFonts w:eastAsia="Dotum" w:cs="Arial"/>
          <w:szCs w:val="24"/>
          <w:lang w:val="es-ES" w:eastAsia="es-ES"/>
        </w:rPr>
      </w:pPr>
      <w:r>
        <w:rPr>
          <w:rFonts w:eastAsia="Times New Roman" w:cs="Arial"/>
          <w:b/>
          <w:color w:val="000000"/>
          <w:szCs w:val="24"/>
          <w:lang w:val="es-ES" w:eastAsia="es-ES"/>
        </w:rPr>
        <w:t>TERCERO:</w:t>
      </w:r>
      <w:r>
        <w:rPr>
          <w:rFonts w:eastAsia="Times New Roman" w:cs="Arial"/>
          <w:color w:val="000000"/>
          <w:szCs w:val="24"/>
          <w:lang w:val="es-ES" w:eastAsia="es-ES"/>
        </w:rPr>
        <w:t xml:space="preserve"> </w:t>
      </w:r>
      <w:r w:rsidR="00024142" w:rsidRPr="00241450">
        <w:rPr>
          <w:b/>
          <w:bCs/>
          <w:szCs w:val="24"/>
        </w:rPr>
        <w:t xml:space="preserve">ENVÍESE </w:t>
      </w:r>
      <w:r w:rsidR="00024142" w:rsidRPr="00241450">
        <w:rPr>
          <w:bCs/>
          <w:szCs w:val="24"/>
        </w:rPr>
        <w:t>el expediente a la Corte Constitucional para su eventual revisión.</w:t>
      </w:r>
    </w:p>
    <w:p w14:paraId="426BA73B" w14:textId="77777777" w:rsidR="00F779FE" w:rsidRDefault="00F779FE" w:rsidP="00F779FE">
      <w:pPr>
        <w:jc w:val="both"/>
        <w:rPr>
          <w:rFonts w:cs="Arial"/>
          <w:color w:val="000000"/>
          <w:szCs w:val="24"/>
        </w:rPr>
      </w:pPr>
    </w:p>
    <w:p w14:paraId="36FB6929" w14:textId="77777777" w:rsidR="00F779FE" w:rsidRDefault="00F779FE" w:rsidP="00F779FE">
      <w:pPr>
        <w:jc w:val="both"/>
        <w:rPr>
          <w:rFonts w:cs="Arial"/>
          <w:color w:val="000000"/>
          <w:szCs w:val="24"/>
        </w:rPr>
      </w:pPr>
      <w:r>
        <w:rPr>
          <w:rFonts w:cs="Arial"/>
          <w:b/>
          <w:bCs/>
          <w:color w:val="000000"/>
          <w:szCs w:val="24"/>
        </w:rPr>
        <w:t>CUARTO:</w:t>
      </w:r>
      <w:r>
        <w:rPr>
          <w:rFonts w:cs="Arial"/>
          <w:color w:val="000000"/>
          <w:szCs w:val="24"/>
        </w:rPr>
        <w:t xml:space="preserve"> </w:t>
      </w:r>
      <w:r>
        <w:rPr>
          <w:rFonts w:eastAsia="Times New Roman" w:cs="Arial"/>
          <w:b/>
          <w:color w:val="000000" w:themeColor="text1"/>
          <w:szCs w:val="24"/>
          <w:lang w:eastAsia="es-ES"/>
        </w:rPr>
        <w:t>PUBLÍQUESE</w:t>
      </w:r>
      <w:r>
        <w:rPr>
          <w:rFonts w:eastAsia="Times New Roman" w:cs="Arial"/>
          <w:bCs/>
          <w:color w:val="000000" w:themeColor="text1"/>
          <w:szCs w:val="24"/>
          <w:lang w:eastAsia="es-ES"/>
        </w:rPr>
        <w:t xml:space="preserve"> la presente providencia en la página web de la Corporación.</w:t>
      </w:r>
    </w:p>
    <w:p w14:paraId="65FE24DB" w14:textId="1261C5EB" w:rsidR="00F779FE" w:rsidRDefault="00F779FE" w:rsidP="00F779FE">
      <w:pPr>
        <w:jc w:val="center"/>
        <w:rPr>
          <w:rFonts w:cs="Arial"/>
          <w:b/>
          <w:color w:val="000000"/>
          <w:szCs w:val="24"/>
        </w:rPr>
      </w:pPr>
    </w:p>
    <w:p w14:paraId="0CECB790" w14:textId="77777777" w:rsidR="00024142" w:rsidRPr="00900D22" w:rsidRDefault="00024142" w:rsidP="00024142">
      <w:pPr>
        <w:tabs>
          <w:tab w:val="center" w:pos="4419"/>
          <w:tab w:val="right" w:pos="8838"/>
        </w:tabs>
        <w:spacing w:line="240" w:lineRule="auto"/>
        <w:jc w:val="center"/>
        <w:rPr>
          <w:rFonts w:eastAsia="Arial Unicode MS" w:cs="Arial"/>
          <w:b/>
          <w:bCs/>
          <w:szCs w:val="24"/>
          <w:bdr w:val="none" w:sz="0" w:space="0" w:color="auto" w:frame="1"/>
          <w:lang w:val="es-ES" w:eastAsia="es-CO"/>
        </w:rPr>
      </w:pPr>
      <w:r w:rsidRPr="00900D22">
        <w:rPr>
          <w:rFonts w:eastAsia="Arial Unicode MS" w:cs="Arial"/>
          <w:b/>
          <w:bCs/>
          <w:szCs w:val="24"/>
          <w:bdr w:val="none" w:sz="0" w:space="0" w:color="auto" w:frame="1"/>
          <w:lang w:val="es-ES" w:eastAsia="es-CO"/>
        </w:rPr>
        <w:t>CÓPIESE, NOTIFÍQUESE, COMUNÍQUESE Y CÚMPLASE,</w:t>
      </w:r>
    </w:p>
    <w:p w14:paraId="56249BD8" w14:textId="704ACD80" w:rsidR="00F779FE" w:rsidRDefault="00F779FE" w:rsidP="00F779FE">
      <w:pPr>
        <w:rPr>
          <w:rFonts w:eastAsia="Verdana" w:cs="Arial"/>
          <w:szCs w:val="24"/>
          <w:lang w:val="es-ES" w:eastAsia="es-CO"/>
        </w:rPr>
      </w:pPr>
    </w:p>
    <w:p w14:paraId="557B8150" w14:textId="77777777" w:rsidR="00F779FE" w:rsidRDefault="00F779FE" w:rsidP="00F779FE">
      <w:pPr>
        <w:rPr>
          <w:rFonts w:eastAsia="Verdana" w:cs="Arial"/>
          <w:szCs w:val="24"/>
          <w:lang w:eastAsia="es-CO"/>
        </w:rPr>
      </w:pPr>
      <w:r>
        <w:rPr>
          <w:rFonts w:eastAsia="Verdana" w:cs="Arial"/>
          <w:szCs w:val="24"/>
          <w:lang w:eastAsia="es-CO"/>
        </w:rPr>
        <w:t>Esta sentencia se estudió y aprobó en sesión celebrada en la fecha.</w:t>
      </w:r>
    </w:p>
    <w:p w14:paraId="7E1CBDB7" w14:textId="77777777" w:rsidR="00F779FE" w:rsidRDefault="00F779FE" w:rsidP="00F779FE">
      <w:pPr>
        <w:rPr>
          <w:rFonts w:cs="Arial"/>
          <w:b/>
          <w:szCs w:val="24"/>
        </w:rPr>
      </w:pPr>
      <w:r>
        <w:rPr>
          <w:rFonts w:cs="Arial"/>
          <w:b/>
          <w:szCs w:val="24"/>
        </w:rPr>
        <w:t xml:space="preserve">     </w:t>
      </w:r>
    </w:p>
    <w:tbl>
      <w:tblPr>
        <w:tblW w:w="8789" w:type="dxa"/>
        <w:tblCellMar>
          <w:left w:w="10" w:type="dxa"/>
          <w:right w:w="10" w:type="dxa"/>
        </w:tblCellMar>
        <w:tblLook w:val="04A0" w:firstRow="1" w:lastRow="0" w:firstColumn="1" w:lastColumn="0" w:noHBand="0" w:noVBand="1"/>
      </w:tblPr>
      <w:tblGrid>
        <w:gridCol w:w="4348"/>
        <w:gridCol w:w="4441"/>
      </w:tblGrid>
      <w:tr w:rsidR="00F779FE" w14:paraId="2FAEB2CF" w14:textId="77777777" w:rsidTr="00F779FE">
        <w:tc>
          <w:tcPr>
            <w:tcW w:w="8789" w:type="dxa"/>
            <w:gridSpan w:val="2"/>
          </w:tcPr>
          <w:p w14:paraId="2FA705A6" w14:textId="321B5EC6" w:rsidR="00F779FE" w:rsidRDefault="00F779FE">
            <w:pPr>
              <w:rPr>
                <w:rFonts w:eastAsia="Times New Roman" w:cs="Arial"/>
                <w:b/>
                <w:bCs/>
                <w:szCs w:val="24"/>
                <w:lang w:val="es-ES_tradnl" w:eastAsia="es-ES"/>
              </w:rPr>
            </w:pPr>
          </w:p>
          <w:p w14:paraId="5F0F8E05" w14:textId="77777777" w:rsidR="00024142" w:rsidRDefault="00024142">
            <w:pPr>
              <w:rPr>
                <w:rFonts w:eastAsia="Times New Roman" w:cs="Arial"/>
                <w:b/>
                <w:bCs/>
                <w:szCs w:val="24"/>
                <w:lang w:val="es-ES_tradnl" w:eastAsia="es-ES"/>
              </w:rPr>
            </w:pPr>
          </w:p>
          <w:p w14:paraId="359087FF" w14:textId="77777777" w:rsidR="00F779FE" w:rsidRDefault="00F779FE">
            <w:pPr>
              <w:jc w:val="center"/>
              <w:rPr>
                <w:rFonts w:eastAsia="Times New Roman" w:cs="Arial"/>
                <w:bCs/>
                <w:i/>
                <w:iCs/>
                <w:lang w:val="es-ES_tradnl" w:eastAsia="es-ES"/>
              </w:rPr>
            </w:pPr>
            <w:r>
              <w:rPr>
                <w:rFonts w:eastAsia="Times New Roman" w:cs="Arial"/>
                <w:bCs/>
                <w:i/>
                <w:iCs/>
                <w:lang w:val="es-ES_tradnl" w:eastAsia="es-ES"/>
              </w:rPr>
              <w:t xml:space="preserve">Con firma electrónica </w:t>
            </w:r>
          </w:p>
          <w:p w14:paraId="04BE218D" w14:textId="2FAB7A00" w:rsidR="00F779FE" w:rsidRDefault="00F779FE">
            <w:pPr>
              <w:jc w:val="center"/>
              <w:rPr>
                <w:rFonts w:eastAsia="Times New Roman" w:cs="Arial"/>
                <w:b/>
                <w:szCs w:val="24"/>
                <w:lang w:val="es-ES_tradnl" w:eastAsia="es-ES"/>
              </w:rPr>
            </w:pPr>
            <w:r>
              <w:rPr>
                <w:rFonts w:eastAsia="Times New Roman" w:cs="Arial"/>
                <w:b/>
                <w:szCs w:val="24"/>
                <w:lang w:val="es-ES_tradnl" w:eastAsia="es-ES"/>
              </w:rPr>
              <w:t>ALBERTO MO</w:t>
            </w:r>
            <w:r w:rsidR="009846EA">
              <w:rPr>
                <w:rFonts w:eastAsia="Times New Roman" w:cs="Arial"/>
                <w:b/>
                <w:szCs w:val="24"/>
                <w:lang w:val="es-ES_tradnl" w:eastAsia="es-ES"/>
              </w:rPr>
              <w:t>N</w:t>
            </w:r>
            <w:r>
              <w:rPr>
                <w:rFonts w:eastAsia="Times New Roman" w:cs="Arial"/>
                <w:b/>
                <w:szCs w:val="24"/>
                <w:lang w:val="es-ES_tradnl" w:eastAsia="es-ES"/>
              </w:rPr>
              <w:t>TAÑA PLATA</w:t>
            </w:r>
          </w:p>
          <w:p w14:paraId="0D19BE85" w14:textId="77777777" w:rsidR="00F779FE" w:rsidRDefault="00F779FE">
            <w:pPr>
              <w:jc w:val="center"/>
              <w:rPr>
                <w:rFonts w:eastAsia="Times New Roman" w:cs="Arial"/>
                <w:b/>
                <w:szCs w:val="24"/>
                <w:lang w:val="es-ES_tradnl" w:eastAsia="es-ES"/>
              </w:rPr>
            </w:pPr>
            <w:r>
              <w:rPr>
                <w:rFonts w:eastAsia="Times New Roman" w:cs="Arial"/>
                <w:b/>
                <w:szCs w:val="24"/>
                <w:lang w:val="es-ES_tradnl" w:eastAsia="es-ES"/>
              </w:rPr>
              <w:t>Presidente</w:t>
            </w:r>
          </w:p>
        </w:tc>
      </w:tr>
      <w:tr w:rsidR="00F779FE" w14:paraId="6C04B733" w14:textId="77777777" w:rsidTr="00F779FE">
        <w:tc>
          <w:tcPr>
            <w:tcW w:w="4348" w:type="dxa"/>
          </w:tcPr>
          <w:p w14:paraId="5C0E7568" w14:textId="77777777" w:rsidR="00F779FE" w:rsidRDefault="00F779FE">
            <w:pPr>
              <w:rPr>
                <w:rFonts w:eastAsia="Times New Roman" w:cs="Arial"/>
                <w:b/>
                <w:bCs/>
                <w:szCs w:val="24"/>
                <w:lang w:val="es-ES_tradnl" w:eastAsia="es-ES"/>
              </w:rPr>
            </w:pPr>
          </w:p>
          <w:p w14:paraId="31BAF830" w14:textId="77777777" w:rsidR="00F779FE" w:rsidRDefault="00F779FE">
            <w:pPr>
              <w:jc w:val="center"/>
              <w:rPr>
                <w:rFonts w:eastAsia="Times New Roman" w:cs="Arial"/>
                <w:i/>
                <w:iCs/>
                <w:lang w:val="es-ES_tradnl" w:eastAsia="es-ES"/>
              </w:rPr>
            </w:pPr>
            <w:r>
              <w:rPr>
                <w:rFonts w:eastAsia="Times New Roman" w:cs="Arial"/>
                <w:i/>
                <w:iCs/>
                <w:lang w:val="es-ES_tradnl" w:eastAsia="es-ES"/>
              </w:rPr>
              <w:lastRenderedPageBreak/>
              <w:t>Con firma electrónica</w:t>
            </w:r>
          </w:p>
          <w:p w14:paraId="6CD0285F" w14:textId="77777777" w:rsidR="00F779FE" w:rsidRDefault="00F779FE">
            <w:pPr>
              <w:jc w:val="center"/>
              <w:rPr>
                <w:rFonts w:eastAsia="Times New Roman" w:cs="Arial"/>
                <w:b/>
                <w:szCs w:val="24"/>
                <w:lang w:val="es-ES_tradnl" w:eastAsia="es-ES"/>
              </w:rPr>
            </w:pPr>
            <w:r>
              <w:rPr>
                <w:rFonts w:eastAsia="Times New Roman" w:cs="Arial"/>
                <w:b/>
                <w:szCs w:val="24"/>
                <w:lang w:val="es-ES_tradnl" w:eastAsia="es-ES"/>
              </w:rPr>
              <w:t>MARTÍN BERMÚDEZ MUÑOZ</w:t>
            </w:r>
          </w:p>
          <w:p w14:paraId="08A9A3AD" w14:textId="77777777" w:rsidR="00F779FE" w:rsidRDefault="00F779FE">
            <w:pPr>
              <w:jc w:val="center"/>
              <w:rPr>
                <w:rFonts w:eastAsia="Times New Roman" w:cs="Arial"/>
                <w:b/>
                <w:szCs w:val="24"/>
                <w:lang w:val="es-ES_tradnl" w:eastAsia="es-ES"/>
              </w:rPr>
            </w:pPr>
            <w:r>
              <w:rPr>
                <w:rFonts w:eastAsia="Times New Roman" w:cs="Arial"/>
                <w:b/>
                <w:szCs w:val="24"/>
                <w:lang w:val="es-ES_tradnl" w:eastAsia="es-ES"/>
              </w:rPr>
              <w:t>Magistrado</w:t>
            </w:r>
          </w:p>
        </w:tc>
        <w:tc>
          <w:tcPr>
            <w:tcW w:w="4441" w:type="dxa"/>
          </w:tcPr>
          <w:p w14:paraId="6EF8CB55" w14:textId="77777777" w:rsidR="00F779FE" w:rsidRDefault="00F779FE">
            <w:pPr>
              <w:rPr>
                <w:rFonts w:eastAsia="Times New Roman" w:cs="Arial"/>
                <w:b/>
                <w:szCs w:val="24"/>
                <w:lang w:val="es-ES_tradnl" w:eastAsia="es-ES"/>
              </w:rPr>
            </w:pPr>
          </w:p>
          <w:p w14:paraId="599D7184" w14:textId="77777777" w:rsidR="00F779FE" w:rsidRDefault="00F779FE">
            <w:pPr>
              <w:jc w:val="center"/>
              <w:rPr>
                <w:rFonts w:eastAsia="Times New Roman" w:cs="Arial"/>
                <w:bCs/>
                <w:i/>
                <w:iCs/>
                <w:lang w:val="es-ES_tradnl" w:eastAsia="es-ES"/>
              </w:rPr>
            </w:pPr>
            <w:r>
              <w:rPr>
                <w:rFonts w:eastAsia="Times New Roman" w:cs="Arial"/>
                <w:bCs/>
                <w:i/>
                <w:iCs/>
                <w:lang w:val="es-ES_tradnl" w:eastAsia="es-ES"/>
              </w:rPr>
              <w:lastRenderedPageBreak/>
              <w:t>Con firma electrónica</w:t>
            </w:r>
          </w:p>
          <w:p w14:paraId="0818B5B0" w14:textId="77777777" w:rsidR="00F779FE" w:rsidRDefault="00F779FE">
            <w:pPr>
              <w:jc w:val="center"/>
              <w:rPr>
                <w:rFonts w:eastAsia="Times New Roman" w:cs="Arial"/>
                <w:b/>
                <w:szCs w:val="24"/>
                <w:lang w:val="es-ES_tradnl" w:eastAsia="es-ES"/>
              </w:rPr>
            </w:pPr>
            <w:r>
              <w:rPr>
                <w:rFonts w:eastAsia="Times New Roman" w:cs="Arial"/>
                <w:b/>
                <w:szCs w:val="24"/>
                <w:lang w:val="es-ES_tradnl" w:eastAsia="es-ES"/>
              </w:rPr>
              <w:t>RAMIRO PAZOS GUERRERO</w:t>
            </w:r>
          </w:p>
          <w:p w14:paraId="20C7F273" w14:textId="77777777" w:rsidR="00F779FE" w:rsidRDefault="00F779FE">
            <w:pPr>
              <w:jc w:val="center"/>
              <w:rPr>
                <w:rFonts w:eastAsia="Times New Roman" w:cs="Arial"/>
                <w:b/>
                <w:szCs w:val="24"/>
                <w:lang w:val="es-ES_tradnl" w:eastAsia="es-ES"/>
              </w:rPr>
            </w:pPr>
            <w:r>
              <w:rPr>
                <w:rFonts w:eastAsia="Times New Roman" w:cs="Arial"/>
                <w:b/>
                <w:szCs w:val="24"/>
                <w:lang w:val="es-ES_tradnl" w:eastAsia="es-ES"/>
              </w:rPr>
              <w:t>Magistrado</w:t>
            </w:r>
          </w:p>
          <w:p w14:paraId="36FEE785" w14:textId="31EE5495" w:rsidR="00B80B49" w:rsidRDefault="00B80B49">
            <w:pPr>
              <w:jc w:val="center"/>
              <w:rPr>
                <w:rFonts w:eastAsia="Times New Roman" w:cs="Arial"/>
                <w:b/>
                <w:szCs w:val="24"/>
                <w:lang w:val="es-ES_tradnl" w:eastAsia="es-ES"/>
              </w:rPr>
            </w:pPr>
            <w:r>
              <w:rPr>
                <w:rFonts w:eastAsia="Times New Roman" w:cs="Arial"/>
                <w:b/>
                <w:szCs w:val="24"/>
                <w:lang w:val="es-ES_tradnl" w:eastAsia="es-ES"/>
              </w:rPr>
              <w:t>Salva el voto</w:t>
            </w:r>
          </w:p>
        </w:tc>
      </w:tr>
    </w:tbl>
    <w:p w14:paraId="0BF51039" w14:textId="77777777" w:rsidR="00F779FE" w:rsidRDefault="00F779FE" w:rsidP="00F779FE">
      <w:pPr>
        <w:rPr>
          <w:rFonts w:cs="Arial"/>
          <w:b/>
          <w:szCs w:val="24"/>
        </w:rPr>
      </w:pPr>
    </w:p>
    <w:p w14:paraId="537C1560" w14:textId="77777777" w:rsidR="00F779FE" w:rsidRDefault="00F779FE" w:rsidP="00F779FE">
      <w:pPr>
        <w:rPr>
          <w:rFonts w:cs="Arial"/>
          <w:b/>
          <w:szCs w:val="24"/>
        </w:rPr>
      </w:pPr>
    </w:p>
    <w:p w14:paraId="5A4CE654" w14:textId="77777777" w:rsidR="00F779FE" w:rsidRDefault="00F779FE" w:rsidP="00F779FE">
      <w:pPr>
        <w:jc w:val="center"/>
        <w:rPr>
          <w:rFonts w:cs="Arial"/>
          <w:b/>
          <w:szCs w:val="24"/>
        </w:rPr>
      </w:pPr>
    </w:p>
    <w:p w14:paraId="7B8492C7" w14:textId="5739B481" w:rsidR="00376EF6" w:rsidRDefault="00376EF6"/>
    <w:sectPr w:rsidR="00376EF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83816C" w14:textId="77777777" w:rsidR="00D54112" w:rsidRDefault="00D54112" w:rsidP="005942C5">
      <w:pPr>
        <w:spacing w:line="240" w:lineRule="auto"/>
      </w:pPr>
      <w:r>
        <w:separator/>
      </w:r>
    </w:p>
  </w:endnote>
  <w:endnote w:type="continuationSeparator" w:id="0">
    <w:p w14:paraId="40568A4F" w14:textId="77777777" w:rsidR="00D54112" w:rsidRDefault="00D54112" w:rsidP="005942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auto"/>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Verdana">
    <w:panose1 w:val="020B0604030504040204"/>
    <w:charset w:val="00"/>
    <w:family w:val="auto"/>
    <w:pitch w:val="variable"/>
    <w:sig w:usb0="A10006FF" w:usb1="4000205B" w:usb2="00000010" w:usb3="00000000" w:csb0="0000019F" w:csb1="00000000"/>
  </w:font>
  <w:font w:name="Dotum">
    <w:altName w:val="돋움"/>
    <w:panose1 w:val="020B0600000101010101"/>
    <w:charset w:val="81"/>
    <w:family w:val="swiss"/>
    <w:pitch w:val="variable"/>
    <w:sig w:usb0="B00002AF" w:usb1="69D77CFB" w:usb2="00000030" w:usb3="00000000" w:csb0="0008009F" w:csb1="00000000"/>
  </w:font>
  <w:font w:name="Arial Unicode MS">
    <w:panose1 w:val="020B0604020202020204"/>
    <w:charset w:val="00"/>
    <w:family w:val="auto"/>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DDD907" w14:textId="77777777" w:rsidR="00D54112" w:rsidRDefault="00D54112" w:rsidP="005942C5">
      <w:pPr>
        <w:spacing w:line="240" w:lineRule="auto"/>
      </w:pPr>
      <w:r>
        <w:separator/>
      </w:r>
    </w:p>
  </w:footnote>
  <w:footnote w:type="continuationSeparator" w:id="0">
    <w:p w14:paraId="45DC10DD" w14:textId="77777777" w:rsidR="00D54112" w:rsidRDefault="00D54112" w:rsidP="005942C5">
      <w:pPr>
        <w:spacing w:line="240" w:lineRule="auto"/>
      </w:pPr>
      <w:r>
        <w:continuationSeparator/>
      </w:r>
    </w:p>
  </w:footnote>
  <w:footnote w:id="1">
    <w:p w14:paraId="5E584208" w14:textId="41A9585F" w:rsidR="00427BB8" w:rsidRDefault="00427BB8">
      <w:pPr>
        <w:pStyle w:val="Textonotapie"/>
      </w:pPr>
      <w:r>
        <w:rPr>
          <w:rStyle w:val="Refdenotaalpie"/>
        </w:rPr>
        <w:footnoteRef/>
      </w:r>
      <w:r>
        <w:t xml:space="preserve"> </w:t>
      </w:r>
      <w:r w:rsidRPr="00DC36EB">
        <w:t>Corte Constitucional, Sentencia C-590 de 2005.</w:t>
      </w:r>
    </w:p>
  </w:footnote>
  <w:footnote w:id="2">
    <w:p w14:paraId="17FEDCD4" w14:textId="1E45A57E" w:rsidR="00427BB8" w:rsidRDefault="00427BB8" w:rsidP="00DC36EB">
      <w:pPr>
        <w:pStyle w:val="Textonotapie"/>
        <w:jc w:val="both"/>
      </w:pPr>
      <w:r>
        <w:rPr>
          <w:rStyle w:val="Refdenotaalpie"/>
        </w:rPr>
        <w:footnoteRef/>
      </w:r>
      <w:r>
        <w:t xml:space="preserve"> </w:t>
      </w:r>
      <w:r w:rsidRPr="00DC36EB">
        <w:t>Consejo de Estado, Sección Segunda, Subsección B, Sentencia de 15 de octubre de 2019, radicado No. 25000-23-42-000-2017-01441-01(1846-19), se dispuso que (se trascribe): “</w:t>
      </w:r>
      <w:r w:rsidRPr="00DC36EB">
        <w:rPr>
          <w:i/>
          <w:iCs/>
        </w:rPr>
        <w:t>no todos los pronunciamientos de la administración tienen la vocación de crear, modificar o extinguir una situación jurídica; existen manifestaciones que no tienen estas características, como son los actos de trámite, que le permiten a la autoridad administrativa impulsar una actuación que es necesaria para la formación del acto administrativo definitivo, entre los que se encuentran los actos expedidos durante el transcurrir de una convocatoria, a menos que el acto de trámite impida la continuidad de la actuación administrativa; por ello, es de suma importancia clarificar si el pronunciamiento de la administración es de trámite o definitivo con el propósito de que proceda el control judicial o no</w:t>
      </w:r>
      <w:r w:rsidRPr="00DC36EB">
        <w:t>”. En el mismo sentido, Consejo de Estado, Sección Segunda, Subsección A, Sentencia de 1 de septiembre de 2014, radicado No. 05001-23-31-000-2008-01185-01(2271-10); Consejo de Estado, Sección Segunda, Subsección A, Sentencia de 19 de febrero de 2015, radicado No. 25000-23-25-000-2011-00327-01(3703-13); Consejo de Estado, Sección Segunda, Subsección A, Sentencia de 5 de noviembre de 2020, radicado No. 25000-23-41-000-2012-00680-01 (3562-15).</w:t>
      </w:r>
    </w:p>
  </w:footnote>
  <w:footnote w:id="3">
    <w:p w14:paraId="70D0EF8C" w14:textId="243FADD3" w:rsidR="00427BB8" w:rsidRDefault="00427BB8">
      <w:pPr>
        <w:pStyle w:val="Textonotapie"/>
      </w:pPr>
      <w:r>
        <w:rPr>
          <w:rStyle w:val="Refdenotaalpie"/>
        </w:rPr>
        <w:footnoteRef/>
      </w:r>
      <w:r>
        <w:t xml:space="preserve"> </w:t>
      </w:r>
      <w:r w:rsidRPr="00DC36EB">
        <w:t>Bajo el radicado No. 11001-03-25-000-2021-00055-00.</w:t>
      </w:r>
    </w:p>
  </w:footnote>
  <w:footnote w:id="4">
    <w:p w14:paraId="27D81216" w14:textId="28374592" w:rsidR="00427BB8" w:rsidRDefault="00427BB8" w:rsidP="00DC36EB">
      <w:pPr>
        <w:pStyle w:val="Textonotapie"/>
        <w:jc w:val="both"/>
      </w:pPr>
      <w:r>
        <w:rPr>
          <w:rStyle w:val="Refdenotaalpie"/>
        </w:rPr>
        <w:footnoteRef/>
      </w:r>
      <w:r>
        <w:t xml:space="preserve"> </w:t>
      </w:r>
      <w:r w:rsidRPr="00DC36EB">
        <w:t>Consejo de Estado, Sección Tercera, Subsección B, Sentencia de 26 de enero de 2021, radicación No. 11001-03-15-000-2020-04843-00 (AC); Sentencia de 8 de febrero de 2021, radicación No. 11001-03-15-000-2020-05189-00; Sentencia de 5 de marzo de 2021, radicación No. 11001-03-15-000-2020-00353-00; Sentencia de 12 de marzo de 2021, radicación No. 11001-03-15-000-2020-00158-00; Sentencia de 19 de abril de 2021, radicación No. 11001-03-15-000-2021-00706-00.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74511A"/>
    <w:multiLevelType w:val="multilevel"/>
    <w:tmpl w:val="18FE41C0"/>
    <w:lvl w:ilvl="0">
      <w:start w:val="1"/>
      <w:numFmt w:val="decimal"/>
      <w:lvlText w:val="%1."/>
      <w:lvlJc w:val="left"/>
      <w:pPr>
        <w:ind w:left="644" w:hanging="359"/>
      </w:pPr>
      <w:rPr>
        <w:rFonts w:ascii="Century Gothic" w:eastAsia="Century Gothic" w:hAnsi="Century Gothic" w:cs="Century Gothic"/>
        <w:b w:val="0"/>
        <w:i w:val="0"/>
        <w:color w:val="000000"/>
        <w:sz w:val="24"/>
        <w:szCs w:val="24"/>
        <w:vertAlign w:val="baseline"/>
      </w:rPr>
    </w:lvl>
    <w:lvl w:ilvl="1">
      <w:start w:val="1"/>
      <w:numFmt w:val="decimal"/>
      <w:lvlText w:val="%1.%2."/>
      <w:lvlJc w:val="left"/>
      <w:pPr>
        <w:ind w:left="1080" w:hanging="720"/>
      </w:pPr>
      <w:rPr>
        <w:vertAlign w:val="baseline"/>
      </w:rPr>
    </w:lvl>
    <w:lvl w:ilvl="2">
      <w:start w:val="1"/>
      <w:numFmt w:val="decimal"/>
      <w:lvlText w:val="%1.%2.%3."/>
      <w:lvlJc w:val="left"/>
      <w:pPr>
        <w:ind w:left="1080" w:hanging="720"/>
      </w:pPr>
      <w:rPr>
        <w:vertAlign w:val="baseline"/>
      </w:rPr>
    </w:lvl>
    <w:lvl w:ilvl="3">
      <w:start w:val="1"/>
      <w:numFmt w:val="decimal"/>
      <w:lvlText w:val="%1.%2.%3.%4."/>
      <w:lvlJc w:val="left"/>
      <w:pPr>
        <w:ind w:left="1440" w:hanging="1080"/>
      </w:pPr>
      <w:rPr>
        <w:vertAlign w:val="baseline"/>
      </w:rPr>
    </w:lvl>
    <w:lvl w:ilvl="4">
      <w:start w:val="1"/>
      <w:numFmt w:val="decimal"/>
      <w:lvlText w:val="%1.%2.%3.%4.%5."/>
      <w:lvlJc w:val="left"/>
      <w:pPr>
        <w:ind w:left="1440" w:hanging="1080"/>
      </w:pPr>
      <w:rPr>
        <w:vertAlign w:val="baseline"/>
      </w:rPr>
    </w:lvl>
    <w:lvl w:ilvl="5">
      <w:start w:val="1"/>
      <w:numFmt w:val="decimal"/>
      <w:lvlText w:val="%1.%2.%3.%4.%5.%6."/>
      <w:lvlJc w:val="left"/>
      <w:pPr>
        <w:ind w:left="1800" w:hanging="1440"/>
      </w:pPr>
      <w:rPr>
        <w:vertAlign w:val="baseline"/>
      </w:rPr>
    </w:lvl>
    <w:lvl w:ilvl="6">
      <w:start w:val="1"/>
      <w:numFmt w:val="decimal"/>
      <w:lvlText w:val="%1.%2.%3.%4.%5.%6.%7."/>
      <w:lvlJc w:val="left"/>
      <w:pPr>
        <w:ind w:left="1800" w:hanging="1440"/>
      </w:pPr>
      <w:rPr>
        <w:vertAlign w:val="baseline"/>
      </w:rPr>
    </w:lvl>
    <w:lvl w:ilvl="7">
      <w:start w:val="1"/>
      <w:numFmt w:val="decimal"/>
      <w:lvlText w:val="%1.%2.%3.%4.%5.%6.%7.%8."/>
      <w:lvlJc w:val="left"/>
      <w:pPr>
        <w:ind w:left="2160" w:hanging="1800"/>
      </w:pPr>
      <w:rPr>
        <w:vertAlign w:val="baseline"/>
      </w:rPr>
    </w:lvl>
    <w:lvl w:ilvl="8">
      <w:start w:val="1"/>
      <w:numFmt w:val="decimal"/>
      <w:lvlText w:val="%1.%2.%3.%4.%5.%6.%7.%8.%9."/>
      <w:lvlJc w:val="left"/>
      <w:pPr>
        <w:ind w:left="2520" w:hanging="2160"/>
      </w:pPr>
      <w:rPr>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9FE"/>
    <w:rsid w:val="00024142"/>
    <w:rsid w:val="0004722D"/>
    <w:rsid w:val="00085F68"/>
    <w:rsid w:val="00095189"/>
    <w:rsid w:val="000D0148"/>
    <w:rsid w:val="000F41D1"/>
    <w:rsid w:val="00111DBC"/>
    <w:rsid w:val="0015046B"/>
    <w:rsid w:val="00171734"/>
    <w:rsid w:val="001A4A5C"/>
    <w:rsid w:val="001C359F"/>
    <w:rsid w:val="001F422E"/>
    <w:rsid w:val="002B3759"/>
    <w:rsid w:val="002E6949"/>
    <w:rsid w:val="003171EA"/>
    <w:rsid w:val="00317972"/>
    <w:rsid w:val="00363F9F"/>
    <w:rsid w:val="00376EF6"/>
    <w:rsid w:val="003E65DF"/>
    <w:rsid w:val="00427BB8"/>
    <w:rsid w:val="00475084"/>
    <w:rsid w:val="0048742C"/>
    <w:rsid w:val="005942C5"/>
    <w:rsid w:val="005E180E"/>
    <w:rsid w:val="00615274"/>
    <w:rsid w:val="00656327"/>
    <w:rsid w:val="006700A7"/>
    <w:rsid w:val="007900F9"/>
    <w:rsid w:val="00791B14"/>
    <w:rsid w:val="007A2BD6"/>
    <w:rsid w:val="007B6038"/>
    <w:rsid w:val="008942E4"/>
    <w:rsid w:val="00901BF9"/>
    <w:rsid w:val="009118CB"/>
    <w:rsid w:val="009846EA"/>
    <w:rsid w:val="009A7E9C"/>
    <w:rsid w:val="009B4566"/>
    <w:rsid w:val="00A43504"/>
    <w:rsid w:val="00A85417"/>
    <w:rsid w:val="00B024AC"/>
    <w:rsid w:val="00B80B49"/>
    <w:rsid w:val="00C90BD5"/>
    <w:rsid w:val="00D35011"/>
    <w:rsid w:val="00D54112"/>
    <w:rsid w:val="00D563C6"/>
    <w:rsid w:val="00DC36EB"/>
    <w:rsid w:val="00DE5752"/>
    <w:rsid w:val="00E67482"/>
    <w:rsid w:val="00F229D4"/>
    <w:rsid w:val="00F3315A"/>
    <w:rsid w:val="00F45C3D"/>
    <w:rsid w:val="00F779FE"/>
    <w:rsid w:val="00FA0EE1"/>
    <w:rsid w:val="00FF0613"/>
    <w:rsid w:val="19A7461F"/>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ED19944"/>
  <w15:docId w15:val="{664B6C2B-5C7C-4374-BC60-A65BF5A44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79FE"/>
    <w:pPr>
      <w:spacing w:after="0" w:line="276" w:lineRule="auto"/>
    </w:pPr>
    <w:rPr>
      <w:rFonts w:ascii="Arial" w:hAnsi="Arial"/>
      <w:sz w:val="24"/>
    </w:rPr>
  </w:style>
  <w:style w:type="paragraph" w:styleId="Ttulo1">
    <w:name w:val="heading 1"/>
    <w:basedOn w:val="Normal"/>
    <w:next w:val="Normal"/>
    <w:link w:val="Ttulo1Car"/>
    <w:uiPriority w:val="9"/>
    <w:qFormat/>
    <w:rsid w:val="00F779FE"/>
    <w:pPr>
      <w:keepNext/>
      <w:keepLines/>
      <w:spacing w:before="480"/>
      <w:outlineLvl w:val="0"/>
    </w:pPr>
    <w:rPr>
      <w:rFonts w:eastAsiaTheme="majorEastAsia" w:cstheme="majorBidi"/>
      <w:b/>
      <w:bCs/>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779FE"/>
    <w:rPr>
      <w:rFonts w:ascii="Arial" w:eastAsiaTheme="majorEastAsia" w:hAnsi="Arial" w:cstheme="majorBidi"/>
      <w:b/>
      <w:bCs/>
      <w:sz w:val="24"/>
      <w:szCs w:val="28"/>
    </w:rPr>
  </w:style>
  <w:style w:type="paragraph" w:styleId="NormalWeb">
    <w:name w:val="Normal (Web)"/>
    <w:basedOn w:val="Normal"/>
    <w:uiPriority w:val="99"/>
    <w:semiHidden/>
    <w:unhideWhenUsed/>
    <w:rsid w:val="00F779FE"/>
    <w:pPr>
      <w:spacing w:before="100" w:beforeAutospacing="1" w:after="100" w:afterAutospacing="1" w:line="240" w:lineRule="auto"/>
    </w:pPr>
    <w:rPr>
      <w:rFonts w:ascii="Times New Roman" w:eastAsia="Calibri" w:hAnsi="Times New Roman" w:cs="Times New Roman"/>
      <w:sz w:val="20"/>
      <w:szCs w:val="20"/>
      <w:lang w:val="es-ES_tradnl" w:eastAsia="es-ES"/>
    </w:rPr>
  </w:style>
  <w:style w:type="character" w:customStyle="1" w:styleId="TextonotapieCar1">
    <w:name w:val="Texto nota pie Car1"/>
    <w:aliases w:val="Footnote Text Char Char Char Char Char Car,Footnote Text Char Char Char Char Car,Footnote reference Car,FA Fu Car,Footnote Text Char Char Char Car1,Footnote Text Char Char Char Car Car,ft Car,texto de nota al pie Car,Car1 Car"/>
    <w:link w:val="Textonotapie"/>
    <w:semiHidden/>
    <w:locked/>
    <w:rsid w:val="00F779FE"/>
    <w:rPr>
      <w:rFonts w:ascii="Arial" w:hAnsi="Arial" w:cs="Arial"/>
      <w:sz w:val="20"/>
    </w:rPr>
  </w:style>
  <w:style w:type="paragraph" w:styleId="Textonotapie">
    <w:name w:val="footnote text"/>
    <w:aliases w:val="Footnote Text Char Char Char Char Char,Footnote Text Char Char Char Char,Footnote reference,FA Fu,Footnote Text Char Char Char,Footnote Text Char Char Char Car,ft,texto de nota al pie,FA Fußnotentext,FA Fuﬂnotentext,Footnote Text Cha,Car1"/>
    <w:basedOn w:val="Normal"/>
    <w:link w:val="TextonotapieCar1"/>
    <w:semiHidden/>
    <w:unhideWhenUsed/>
    <w:qFormat/>
    <w:rsid w:val="00F779FE"/>
    <w:pPr>
      <w:spacing w:line="240" w:lineRule="auto"/>
    </w:pPr>
    <w:rPr>
      <w:rFonts w:cs="Arial"/>
      <w:sz w:val="20"/>
    </w:rPr>
  </w:style>
  <w:style w:type="character" w:customStyle="1" w:styleId="TextonotapieCar">
    <w:name w:val="Texto nota pie Car"/>
    <w:basedOn w:val="Fuentedeprrafopredeter"/>
    <w:uiPriority w:val="99"/>
    <w:semiHidden/>
    <w:rsid w:val="00F779FE"/>
    <w:rPr>
      <w:rFonts w:ascii="Arial" w:hAnsi="Arial"/>
      <w:sz w:val="20"/>
      <w:szCs w:val="20"/>
    </w:rPr>
  </w:style>
  <w:style w:type="character" w:styleId="Refdenotaalpie">
    <w:name w:val="footnote reference"/>
    <w:basedOn w:val="Fuentedeprrafopredeter"/>
    <w:uiPriority w:val="99"/>
    <w:semiHidden/>
    <w:unhideWhenUsed/>
    <w:rsid w:val="00DC36EB"/>
    <w:rPr>
      <w:vertAlign w:val="superscript"/>
    </w:rPr>
  </w:style>
  <w:style w:type="character" w:styleId="Hipervnculo">
    <w:name w:val="Hyperlink"/>
    <w:basedOn w:val="Fuentedeprrafopredeter"/>
    <w:uiPriority w:val="99"/>
    <w:unhideWhenUsed/>
    <w:rsid w:val="00DC36EB"/>
    <w:rPr>
      <w:color w:val="0563C1" w:themeColor="hyperlink"/>
      <w:u w:val="single"/>
    </w:rPr>
  </w:style>
  <w:style w:type="character" w:customStyle="1" w:styleId="Mencinsinresolver1">
    <w:name w:val="Mención sin resolver1"/>
    <w:basedOn w:val="Fuentedeprrafopredeter"/>
    <w:uiPriority w:val="99"/>
    <w:semiHidden/>
    <w:unhideWhenUsed/>
    <w:rsid w:val="00DC36EB"/>
    <w:rPr>
      <w:color w:val="605E5C"/>
      <w:shd w:val="clear" w:color="auto" w:fill="E1DFDD"/>
    </w:rPr>
  </w:style>
  <w:style w:type="character" w:styleId="Refdecomentario">
    <w:name w:val="annotation reference"/>
    <w:basedOn w:val="Fuentedeprrafopredeter"/>
    <w:uiPriority w:val="99"/>
    <w:semiHidden/>
    <w:unhideWhenUsed/>
    <w:rsid w:val="00A43504"/>
    <w:rPr>
      <w:sz w:val="16"/>
      <w:szCs w:val="16"/>
    </w:rPr>
  </w:style>
  <w:style w:type="paragraph" w:styleId="Textocomentario">
    <w:name w:val="annotation text"/>
    <w:basedOn w:val="Normal"/>
    <w:link w:val="TextocomentarioCar"/>
    <w:uiPriority w:val="99"/>
    <w:semiHidden/>
    <w:unhideWhenUsed/>
    <w:rsid w:val="00A4350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43504"/>
    <w:rPr>
      <w:rFonts w:ascii="Arial" w:hAnsi="Arial"/>
      <w:sz w:val="20"/>
      <w:szCs w:val="20"/>
    </w:rPr>
  </w:style>
  <w:style w:type="paragraph" w:styleId="Asuntodelcomentario">
    <w:name w:val="annotation subject"/>
    <w:basedOn w:val="Textocomentario"/>
    <w:next w:val="Textocomentario"/>
    <w:link w:val="AsuntodelcomentarioCar"/>
    <w:uiPriority w:val="99"/>
    <w:semiHidden/>
    <w:unhideWhenUsed/>
    <w:rsid w:val="00A43504"/>
    <w:rPr>
      <w:b/>
      <w:bCs/>
    </w:rPr>
  </w:style>
  <w:style w:type="character" w:customStyle="1" w:styleId="AsuntodelcomentarioCar">
    <w:name w:val="Asunto del comentario Car"/>
    <w:basedOn w:val="TextocomentarioCar"/>
    <w:link w:val="Asuntodelcomentario"/>
    <w:uiPriority w:val="99"/>
    <w:semiHidden/>
    <w:rsid w:val="00A43504"/>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4435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902567-6107-4C4E-AF71-9F2871CE15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2898</Words>
  <Characters>15943</Characters>
  <Application>Microsoft Office Word</Application>
  <DocSecurity>0</DocSecurity>
  <Lines>132</Lines>
  <Paragraphs>37</Paragraphs>
  <ScaleCrop>false</ScaleCrop>
  <Company/>
  <LinksUpToDate>false</LinksUpToDate>
  <CharactersWithSpaces>18804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Alejandro Romero Ortiz</dc:creator>
  <cp:keywords/>
  <dc:description/>
  <cp:lastModifiedBy>Alejandro Romero Ortiz</cp:lastModifiedBy>
  <cp:revision>2</cp:revision>
  <dcterms:created xsi:type="dcterms:W3CDTF">2021-05-26T19:40:00Z</dcterms:created>
  <dcterms:modified xsi:type="dcterms:W3CDTF">2021-05-26T19:40:00Z</dcterms:modified>
</cp:coreProperties>
</file>