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D2537" w14:textId="77777777" w:rsidR="00527456" w:rsidRDefault="00527456" w:rsidP="00527456">
      <w:pPr>
        <w:tabs>
          <w:tab w:val="center" w:pos="3985"/>
        </w:tabs>
        <w:suppressAutoHyphens/>
        <w:spacing w:after="0" w:line="276" w:lineRule="auto"/>
        <w:jc w:val="center"/>
        <w:rPr>
          <w:rFonts w:ascii="Century Gothic" w:eastAsia="Times New Roman" w:hAnsi="Century Gothic" w:cs="Arial"/>
          <w:b/>
          <w:lang w:val="es-ES"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58240" behindDoc="0" locked="0" layoutInCell="1" allowOverlap="1" wp14:anchorId="7A599E42" wp14:editId="5B194FF1">
            <wp:simplePos x="0" y="0"/>
            <wp:positionH relativeFrom="margin">
              <wp:posOffset>-95250</wp:posOffset>
            </wp:positionH>
            <wp:positionV relativeFrom="paragraph">
              <wp:posOffset>1270</wp:posOffset>
            </wp:positionV>
            <wp:extent cx="2438400" cy="63817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Times New Roman" w:hAnsi="Century Gothic" w:cs="Arial"/>
          <w:b/>
          <w:lang w:val="es-MX"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70A9952E" w14:textId="77777777" w:rsidR="00527456" w:rsidRDefault="00527456" w:rsidP="00527456">
      <w:pPr>
        <w:tabs>
          <w:tab w:val="center" w:pos="3985"/>
        </w:tabs>
        <w:suppressAutoHyphens/>
        <w:spacing w:after="0" w:line="276" w:lineRule="auto"/>
        <w:jc w:val="cente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pPr>
      <w:r>
        <w:rPr>
          <w:rFonts w:ascii="Century Gothic" w:eastAsia="Times New Roman" w:hAnsi="Century Gothic" w:cs="Arial"/>
          <w:lang w:val="es-ES_tradnl"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p>
    <w:p w14:paraId="34CCFCA0" w14:textId="7ADE633F" w:rsidR="00527456" w:rsidRPr="004E556E" w:rsidRDefault="00527456" w:rsidP="004E556E">
      <w:pPr>
        <w:tabs>
          <w:tab w:val="center" w:pos="3985"/>
        </w:tabs>
        <w:suppressAutoHyphens/>
        <w:spacing w:after="0" w:line="276" w:lineRule="auto"/>
        <w:rPr>
          <w:rFonts w:ascii="Century Gothic" w:eastAsia="Times New Roman" w:hAnsi="Century Gothic" w:cs="Arial"/>
          <w:sz w:val="23"/>
          <w:szCs w:val="23"/>
          <w:lang w:val="es-ES" w:eastAsia="es-ES"/>
        </w:rPr>
      </w:pPr>
      <w:r w:rsidRPr="004E556E">
        <w:rPr>
          <w:rFonts w:ascii="Century Gothic" w:eastAsia="Times New Roman" w:hAnsi="Century Gothic" w:cs="Arial"/>
          <w:sz w:val="23"/>
          <w:szCs w:val="23"/>
          <w:lang w:val="es-ES" w:eastAsia="es-ES"/>
        </w:rPr>
        <w:t>Bogotá D.C., Veintidós (22) de Mayo de dos mil veinticuatro (2024).</w:t>
      </w:r>
    </w:p>
    <w:p w14:paraId="370443CB" w14:textId="77777777" w:rsidR="00527456" w:rsidRPr="004E556E" w:rsidRDefault="00527456" w:rsidP="004E556E">
      <w:pPr>
        <w:tabs>
          <w:tab w:val="center" w:pos="3985"/>
        </w:tabs>
        <w:suppressAutoHyphens/>
        <w:spacing w:after="0" w:line="276" w:lineRule="auto"/>
        <w:rPr>
          <w:rFonts w:ascii="Century Gothic" w:eastAsia="Times New Roman" w:hAnsi="Century Gothic" w:cs="Arial"/>
          <w:b/>
          <w:spacing w:val="-4"/>
          <w:sz w:val="23"/>
          <w:szCs w:val="23"/>
          <w:lang w:val="es-ES_tradnl" w:eastAsia="es-ES"/>
          <w14:shadow w14:blurRad="50800" w14:dist="38100" w14:dir="2700000" w14:sx="100000" w14:sy="100000" w14:kx="0" w14:ky="0" w14:algn="tl">
            <w14:srgbClr w14:val="000000">
              <w14:alpha w14:val="60000"/>
            </w14:srgbClr>
          </w14:shadow>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tblGrid>
      <w:tr w:rsidR="00527456" w:rsidRPr="004E556E" w14:paraId="28BB4730"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39A98908" w14:textId="77777777" w:rsidR="00527456" w:rsidRPr="004E556E" w:rsidRDefault="00527456" w:rsidP="004E556E">
            <w:pPr>
              <w:spacing w:after="0" w:line="276" w:lineRule="auto"/>
              <w:rPr>
                <w:rFonts w:ascii="Century Gothic" w:eastAsia="Times New Roman" w:hAnsi="Century Gothic" w:cs="Times New Roman"/>
                <w:b/>
                <w:bCs/>
                <w:sz w:val="23"/>
                <w:szCs w:val="23"/>
                <w:lang w:val="es-ES" w:eastAsia="es-ES"/>
              </w:rPr>
            </w:pPr>
            <w:r w:rsidRPr="004E556E">
              <w:rPr>
                <w:rFonts w:ascii="Century Gothic" w:eastAsia="Times New Roman" w:hAnsi="Century Gothic" w:cs="Times New Roman"/>
                <w:b/>
                <w:bCs/>
                <w:sz w:val="23"/>
                <w:szCs w:val="23"/>
                <w:lang w:val="es-ES" w:eastAsia="es-ES"/>
              </w:rPr>
              <w:t>Juez:</w:t>
            </w:r>
          </w:p>
        </w:tc>
        <w:tc>
          <w:tcPr>
            <w:tcW w:w="6663" w:type="dxa"/>
            <w:tcBorders>
              <w:top w:val="single" w:sz="4" w:space="0" w:color="auto"/>
              <w:left w:val="single" w:sz="4" w:space="0" w:color="auto"/>
              <w:bottom w:val="single" w:sz="4" w:space="0" w:color="auto"/>
              <w:right w:val="single" w:sz="4" w:space="0" w:color="auto"/>
            </w:tcBorders>
            <w:hideMark/>
          </w:tcPr>
          <w:p w14:paraId="37FAB9EB" w14:textId="77777777" w:rsidR="00527456" w:rsidRPr="004E556E" w:rsidRDefault="00527456" w:rsidP="004E556E">
            <w:pPr>
              <w:spacing w:after="0" w:line="276" w:lineRule="auto"/>
              <w:rPr>
                <w:rFonts w:ascii="Century Gothic" w:eastAsia="Times New Roman" w:hAnsi="Century Gothic" w:cs="Times New Roman"/>
                <w:sz w:val="23"/>
                <w:szCs w:val="23"/>
                <w:lang w:val="es-ES" w:eastAsia="es-ES"/>
              </w:rPr>
            </w:pPr>
            <w:r w:rsidRPr="004E556E">
              <w:rPr>
                <w:rFonts w:ascii="Century Gothic" w:eastAsia="Times New Roman" w:hAnsi="Century Gothic" w:cs="Times New Roman"/>
                <w:sz w:val="23"/>
                <w:szCs w:val="23"/>
                <w:lang w:val="es-ES" w:eastAsia="es-ES"/>
              </w:rPr>
              <w:t>John Alexander Ceballos Gaviria</w:t>
            </w:r>
          </w:p>
        </w:tc>
      </w:tr>
      <w:tr w:rsidR="00527456" w:rsidRPr="004E556E" w14:paraId="0211DD4B"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33A6B59C" w14:textId="77777777" w:rsidR="00527456" w:rsidRPr="004E556E" w:rsidRDefault="00527456" w:rsidP="004E556E">
            <w:pPr>
              <w:spacing w:after="0" w:line="276" w:lineRule="auto"/>
              <w:rPr>
                <w:rFonts w:ascii="Century Gothic" w:eastAsia="Times New Roman" w:hAnsi="Century Gothic" w:cs="Times New Roman"/>
                <w:b/>
                <w:bCs/>
                <w:sz w:val="23"/>
                <w:szCs w:val="23"/>
                <w:lang w:val="es-ES" w:eastAsia="es-ES"/>
              </w:rPr>
            </w:pPr>
            <w:r w:rsidRPr="004E556E">
              <w:rPr>
                <w:rFonts w:ascii="Century Gothic" w:eastAsia="Times New Roman" w:hAnsi="Century Gothic" w:cs="Times New Roman"/>
                <w:b/>
                <w:bCs/>
                <w:sz w:val="23"/>
                <w:szCs w:val="23"/>
                <w:lang w:val="es-ES" w:eastAsia="es-ES"/>
              </w:rPr>
              <w:t>Medio de control:</w:t>
            </w:r>
          </w:p>
        </w:tc>
        <w:tc>
          <w:tcPr>
            <w:tcW w:w="6663" w:type="dxa"/>
            <w:tcBorders>
              <w:top w:val="single" w:sz="4" w:space="0" w:color="auto"/>
              <w:left w:val="single" w:sz="4" w:space="0" w:color="auto"/>
              <w:bottom w:val="single" w:sz="4" w:space="0" w:color="auto"/>
              <w:right w:val="single" w:sz="4" w:space="0" w:color="auto"/>
            </w:tcBorders>
            <w:hideMark/>
          </w:tcPr>
          <w:p w14:paraId="1D91EBDA" w14:textId="77777777" w:rsidR="00527456" w:rsidRPr="004E556E" w:rsidRDefault="00527456" w:rsidP="004E556E">
            <w:pPr>
              <w:spacing w:after="0" w:line="276" w:lineRule="auto"/>
              <w:rPr>
                <w:rFonts w:ascii="Century Gothic" w:eastAsia="Times New Roman" w:hAnsi="Century Gothic" w:cs="Times New Roman"/>
                <w:sz w:val="23"/>
                <w:szCs w:val="23"/>
                <w:lang w:val="es-ES" w:eastAsia="es-ES"/>
              </w:rPr>
            </w:pPr>
            <w:r w:rsidRPr="004E556E">
              <w:rPr>
                <w:rFonts w:ascii="Century Gothic" w:eastAsia="Times New Roman" w:hAnsi="Century Gothic" w:cs="Times New Roman"/>
                <w:sz w:val="23"/>
                <w:szCs w:val="23"/>
                <w:lang w:val="es-ES" w:eastAsia="es-ES"/>
              </w:rPr>
              <w:t>Reparación Directa</w:t>
            </w:r>
          </w:p>
        </w:tc>
      </w:tr>
      <w:tr w:rsidR="00527456" w:rsidRPr="004E556E" w14:paraId="11449C87"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02634A96" w14:textId="77777777" w:rsidR="00527456" w:rsidRPr="004E556E" w:rsidRDefault="00527456" w:rsidP="004E556E">
            <w:pPr>
              <w:spacing w:after="0" w:line="276" w:lineRule="auto"/>
              <w:rPr>
                <w:rFonts w:ascii="Century Gothic" w:eastAsia="Times New Roman" w:hAnsi="Century Gothic" w:cs="Times New Roman"/>
                <w:b/>
                <w:bCs/>
                <w:sz w:val="23"/>
                <w:szCs w:val="23"/>
                <w:lang w:val="es-ES" w:eastAsia="es-ES"/>
              </w:rPr>
            </w:pPr>
            <w:r w:rsidRPr="004E556E">
              <w:rPr>
                <w:rFonts w:ascii="Century Gothic" w:eastAsia="Times New Roman" w:hAnsi="Century Gothic" w:cs="Times New Roman"/>
                <w:b/>
                <w:bCs/>
                <w:sz w:val="23"/>
                <w:szCs w:val="23"/>
                <w:lang w:val="es-ES" w:eastAsia="es-ES"/>
              </w:rPr>
              <w:t>Radicación no.:</w:t>
            </w:r>
          </w:p>
        </w:tc>
        <w:tc>
          <w:tcPr>
            <w:tcW w:w="6663" w:type="dxa"/>
            <w:tcBorders>
              <w:top w:val="single" w:sz="4" w:space="0" w:color="auto"/>
              <w:left w:val="single" w:sz="4" w:space="0" w:color="auto"/>
              <w:bottom w:val="single" w:sz="4" w:space="0" w:color="auto"/>
              <w:right w:val="single" w:sz="4" w:space="0" w:color="auto"/>
            </w:tcBorders>
            <w:hideMark/>
          </w:tcPr>
          <w:p w14:paraId="363102C9" w14:textId="3C4BEF6C" w:rsidR="00527456" w:rsidRPr="004E556E" w:rsidRDefault="00527456" w:rsidP="004E556E">
            <w:pPr>
              <w:spacing w:after="0" w:line="276" w:lineRule="auto"/>
              <w:rPr>
                <w:rFonts w:ascii="Century Gothic" w:eastAsia="Times New Roman" w:hAnsi="Century Gothic" w:cs="Times New Roman"/>
                <w:b/>
                <w:bCs/>
                <w:sz w:val="23"/>
                <w:szCs w:val="23"/>
                <w:lang w:val="es-ES" w:eastAsia="es-ES"/>
              </w:rPr>
            </w:pPr>
            <w:r w:rsidRPr="004E556E">
              <w:rPr>
                <w:rFonts w:ascii="Century Gothic" w:eastAsia="Times New Roman" w:hAnsi="Century Gothic" w:cs="Times New Roman"/>
                <w:b/>
                <w:bCs/>
                <w:sz w:val="23"/>
                <w:szCs w:val="23"/>
                <w:lang w:val="es-ES" w:eastAsia="es-ES"/>
              </w:rPr>
              <w:t>110013343064-2019-00295-00</w:t>
            </w:r>
          </w:p>
        </w:tc>
      </w:tr>
      <w:tr w:rsidR="00527456" w:rsidRPr="004E556E" w14:paraId="3FDD449B" w14:textId="77777777" w:rsidTr="002E465C">
        <w:trPr>
          <w:trHeight w:val="71"/>
          <w:jc w:val="center"/>
        </w:trPr>
        <w:tc>
          <w:tcPr>
            <w:tcW w:w="2268" w:type="dxa"/>
            <w:tcBorders>
              <w:top w:val="single" w:sz="4" w:space="0" w:color="auto"/>
              <w:left w:val="single" w:sz="4" w:space="0" w:color="auto"/>
              <w:bottom w:val="single" w:sz="4" w:space="0" w:color="auto"/>
              <w:right w:val="single" w:sz="4" w:space="0" w:color="auto"/>
            </w:tcBorders>
            <w:hideMark/>
          </w:tcPr>
          <w:p w14:paraId="1035AC21" w14:textId="77777777" w:rsidR="00527456" w:rsidRPr="004E556E" w:rsidRDefault="00527456" w:rsidP="004E556E">
            <w:pPr>
              <w:spacing w:after="0" w:line="276" w:lineRule="auto"/>
              <w:rPr>
                <w:rFonts w:ascii="Century Gothic" w:eastAsia="Times New Roman" w:hAnsi="Century Gothic" w:cs="Times New Roman"/>
                <w:b/>
                <w:bCs/>
                <w:sz w:val="23"/>
                <w:szCs w:val="23"/>
                <w:lang w:val="es-ES" w:eastAsia="es-ES"/>
              </w:rPr>
            </w:pPr>
            <w:r w:rsidRPr="004E556E">
              <w:rPr>
                <w:rFonts w:ascii="Century Gothic" w:eastAsia="Times New Roman" w:hAnsi="Century Gothic" w:cs="Times New Roman"/>
                <w:b/>
                <w:bCs/>
                <w:sz w:val="23"/>
                <w:szCs w:val="23"/>
                <w:lang w:val="es-ES" w:eastAsia="es-ES"/>
              </w:rPr>
              <w:t>Demandante:</w:t>
            </w:r>
          </w:p>
        </w:tc>
        <w:tc>
          <w:tcPr>
            <w:tcW w:w="6663" w:type="dxa"/>
            <w:tcBorders>
              <w:top w:val="single" w:sz="4" w:space="0" w:color="auto"/>
              <w:left w:val="single" w:sz="4" w:space="0" w:color="auto"/>
              <w:bottom w:val="single" w:sz="4" w:space="0" w:color="auto"/>
              <w:right w:val="single" w:sz="4" w:space="0" w:color="auto"/>
            </w:tcBorders>
            <w:hideMark/>
          </w:tcPr>
          <w:p w14:paraId="76193398" w14:textId="6354C610" w:rsidR="00527456" w:rsidRPr="004E556E" w:rsidRDefault="00527456" w:rsidP="004E556E">
            <w:pPr>
              <w:tabs>
                <w:tab w:val="left" w:pos="4215"/>
              </w:tabs>
              <w:spacing w:after="0" w:line="276" w:lineRule="auto"/>
              <w:rPr>
                <w:rFonts w:ascii="Century Gothic" w:eastAsia="Times New Roman" w:hAnsi="Century Gothic" w:cs="Times New Roman"/>
                <w:color w:val="000000"/>
                <w:sz w:val="23"/>
                <w:szCs w:val="23"/>
                <w:lang w:val="es-ES" w:eastAsia="es-ES"/>
              </w:rPr>
            </w:pPr>
            <w:r w:rsidRPr="004E556E">
              <w:rPr>
                <w:rFonts w:ascii="Century Gothic" w:eastAsia="Times New Roman" w:hAnsi="Century Gothic" w:cs="Times New Roman"/>
                <w:color w:val="000000"/>
                <w:sz w:val="23"/>
                <w:szCs w:val="23"/>
                <w:lang w:val="es-ES" w:eastAsia="es-ES"/>
              </w:rPr>
              <w:t>María Leticia Téllez Maldonado</w:t>
            </w:r>
          </w:p>
        </w:tc>
      </w:tr>
      <w:tr w:rsidR="00527456" w:rsidRPr="004E556E" w14:paraId="7DBB1925" w14:textId="77777777" w:rsidTr="002E465C">
        <w:trPr>
          <w:trHeight w:val="257"/>
          <w:jc w:val="center"/>
        </w:trPr>
        <w:tc>
          <w:tcPr>
            <w:tcW w:w="2268" w:type="dxa"/>
            <w:tcBorders>
              <w:top w:val="single" w:sz="4" w:space="0" w:color="auto"/>
              <w:left w:val="single" w:sz="4" w:space="0" w:color="auto"/>
              <w:bottom w:val="single" w:sz="4" w:space="0" w:color="auto"/>
              <w:right w:val="single" w:sz="4" w:space="0" w:color="auto"/>
            </w:tcBorders>
            <w:hideMark/>
          </w:tcPr>
          <w:p w14:paraId="269DC7DA" w14:textId="77777777" w:rsidR="00527456" w:rsidRPr="004E556E" w:rsidRDefault="00527456" w:rsidP="004E556E">
            <w:pPr>
              <w:spacing w:after="0" w:line="276" w:lineRule="auto"/>
              <w:rPr>
                <w:rFonts w:ascii="Century Gothic" w:eastAsia="Times New Roman" w:hAnsi="Century Gothic" w:cs="Times New Roman"/>
                <w:b/>
                <w:bCs/>
                <w:sz w:val="23"/>
                <w:szCs w:val="23"/>
                <w:lang w:val="es-ES" w:eastAsia="es-ES"/>
              </w:rPr>
            </w:pPr>
            <w:r w:rsidRPr="004E556E">
              <w:rPr>
                <w:rFonts w:ascii="Century Gothic" w:eastAsia="Times New Roman" w:hAnsi="Century Gothic" w:cs="Times New Roman"/>
                <w:b/>
                <w:bCs/>
                <w:sz w:val="23"/>
                <w:szCs w:val="23"/>
                <w:lang w:val="es-ES" w:eastAsia="es-ES"/>
              </w:rPr>
              <w:t>Demandado:</w:t>
            </w:r>
          </w:p>
        </w:tc>
        <w:tc>
          <w:tcPr>
            <w:tcW w:w="6663" w:type="dxa"/>
            <w:tcBorders>
              <w:top w:val="single" w:sz="4" w:space="0" w:color="auto"/>
              <w:left w:val="single" w:sz="4" w:space="0" w:color="auto"/>
              <w:bottom w:val="single" w:sz="4" w:space="0" w:color="auto"/>
              <w:right w:val="single" w:sz="4" w:space="0" w:color="auto"/>
            </w:tcBorders>
            <w:hideMark/>
          </w:tcPr>
          <w:p w14:paraId="0E08ABFF" w14:textId="0189315B" w:rsidR="00527456" w:rsidRPr="004E556E" w:rsidRDefault="00527456" w:rsidP="004E556E">
            <w:pPr>
              <w:tabs>
                <w:tab w:val="left" w:pos="4215"/>
              </w:tabs>
              <w:spacing w:after="0" w:line="276" w:lineRule="auto"/>
              <w:jc w:val="both"/>
              <w:rPr>
                <w:rFonts w:ascii="Century Gothic" w:eastAsia="Times New Roman" w:hAnsi="Century Gothic" w:cs="Times New Roman"/>
                <w:color w:val="000000"/>
                <w:sz w:val="23"/>
                <w:szCs w:val="23"/>
                <w:lang w:val="es-ES" w:eastAsia="es-ES"/>
              </w:rPr>
            </w:pPr>
            <w:r w:rsidRPr="004E556E">
              <w:rPr>
                <w:rFonts w:ascii="Century Gothic" w:eastAsia="Times New Roman" w:hAnsi="Century Gothic" w:cs="Times New Roman"/>
                <w:color w:val="000000"/>
                <w:sz w:val="23"/>
                <w:szCs w:val="23"/>
                <w:lang w:val="es-ES" w:eastAsia="es-ES"/>
              </w:rPr>
              <w:t xml:space="preserve">Nación – Ministerio de Defensa – Ejército Nacional. </w:t>
            </w:r>
          </w:p>
        </w:tc>
      </w:tr>
    </w:tbl>
    <w:p w14:paraId="0DC09389" w14:textId="77777777" w:rsidR="00527456" w:rsidRPr="004E556E" w:rsidRDefault="00527456" w:rsidP="004E556E">
      <w:pPr>
        <w:spacing w:after="0" w:line="276" w:lineRule="auto"/>
        <w:jc w:val="center"/>
        <w:textAlignment w:val="baseline"/>
        <w:rPr>
          <w:rFonts w:ascii="Century Gothic" w:eastAsia="Times New Roman" w:hAnsi="Century Gothic" w:cs="Segoe UI"/>
          <w:b/>
          <w:bCs/>
          <w:kern w:val="0"/>
          <w:sz w:val="23"/>
          <w:szCs w:val="23"/>
          <w:lang w:val="es-ES" w:eastAsia="es-CO"/>
          <w14:ligatures w14:val="none"/>
        </w:rPr>
      </w:pPr>
    </w:p>
    <w:p w14:paraId="2FE8A23F" w14:textId="77777777" w:rsidR="00527456" w:rsidRPr="004E556E" w:rsidRDefault="00527456" w:rsidP="004E556E">
      <w:pPr>
        <w:spacing w:after="0" w:line="276" w:lineRule="auto"/>
        <w:jc w:val="center"/>
        <w:textAlignment w:val="baseline"/>
        <w:rPr>
          <w:rFonts w:ascii="Century Gothic" w:eastAsia="Times New Roman" w:hAnsi="Century Gothic" w:cs="Segoe UI"/>
          <w:b/>
          <w:bCs/>
          <w:kern w:val="0"/>
          <w:sz w:val="23"/>
          <w:szCs w:val="23"/>
          <w:lang w:val="es-ES" w:eastAsia="es-CO"/>
          <w14:ligatures w14:val="none"/>
        </w:rPr>
      </w:pPr>
    </w:p>
    <w:p w14:paraId="0AA51C90" w14:textId="77777777" w:rsidR="00527456" w:rsidRPr="004E556E" w:rsidRDefault="00527456" w:rsidP="004E556E">
      <w:pPr>
        <w:spacing w:after="0" w:line="276" w:lineRule="auto"/>
        <w:jc w:val="center"/>
        <w:textAlignment w:val="baseline"/>
        <w:rPr>
          <w:rFonts w:ascii="Century Gothic" w:eastAsia="Times New Roman" w:hAnsi="Century Gothic" w:cs="Segoe UI"/>
          <w:kern w:val="0"/>
          <w:sz w:val="23"/>
          <w:szCs w:val="23"/>
          <w:lang w:eastAsia="es-CO"/>
          <w14:ligatures w14:val="none"/>
        </w:rPr>
      </w:pPr>
      <w:r w:rsidRPr="004E556E">
        <w:rPr>
          <w:rFonts w:ascii="Century Gothic" w:eastAsia="Times New Roman" w:hAnsi="Century Gothic" w:cs="Segoe UI"/>
          <w:b/>
          <w:bCs/>
          <w:kern w:val="0"/>
          <w:sz w:val="23"/>
          <w:szCs w:val="23"/>
          <w:lang w:val="es-ES" w:eastAsia="es-CO"/>
          <w14:ligatures w14:val="none"/>
        </w:rPr>
        <w:t>RESUELVE RECURSO – PONE CONOCIMIENTO</w:t>
      </w:r>
    </w:p>
    <w:p w14:paraId="7B457356" w14:textId="77777777" w:rsidR="00527456" w:rsidRPr="004E556E" w:rsidRDefault="00527456" w:rsidP="004E556E">
      <w:pPr>
        <w:spacing w:after="0" w:line="276" w:lineRule="auto"/>
        <w:jc w:val="both"/>
        <w:textAlignment w:val="baseline"/>
        <w:rPr>
          <w:rFonts w:ascii="Century Gothic" w:eastAsia="Times New Roman" w:hAnsi="Century Gothic" w:cs="Segoe UI"/>
          <w:b/>
          <w:bCs/>
          <w:kern w:val="0"/>
          <w:sz w:val="23"/>
          <w:szCs w:val="23"/>
          <w:lang w:eastAsia="es-CO"/>
          <w14:ligatures w14:val="none"/>
        </w:rPr>
      </w:pPr>
      <w:r w:rsidRPr="004E556E">
        <w:rPr>
          <w:rFonts w:ascii="Arial" w:eastAsia="Times New Roman" w:hAnsi="Arial" w:cs="Arial"/>
          <w:kern w:val="0"/>
          <w:sz w:val="23"/>
          <w:szCs w:val="23"/>
          <w:lang w:eastAsia="es-CO"/>
          <w14:ligatures w14:val="none"/>
        </w:rPr>
        <w:t> </w:t>
      </w:r>
      <w:r w:rsidRPr="004E556E">
        <w:rPr>
          <w:rFonts w:ascii="Century Gothic" w:eastAsia="Times New Roman" w:hAnsi="Century Gothic" w:cs="Segoe UI"/>
          <w:kern w:val="0"/>
          <w:sz w:val="23"/>
          <w:szCs w:val="23"/>
          <w:lang w:eastAsia="es-CO"/>
          <w14:ligatures w14:val="none"/>
        </w:rPr>
        <w:t> </w:t>
      </w:r>
    </w:p>
    <w:p w14:paraId="32669ED5" w14:textId="77777777" w:rsidR="00527456" w:rsidRPr="004E556E" w:rsidRDefault="00527456" w:rsidP="004E556E">
      <w:pPr>
        <w:pStyle w:val="Prrafodelista"/>
        <w:numPr>
          <w:ilvl w:val="0"/>
          <w:numId w:val="1"/>
        </w:numPr>
        <w:spacing w:after="0" w:line="276" w:lineRule="auto"/>
        <w:jc w:val="both"/>
        <w:textAlignment w:val="baseline"/>
        <w:rPr>
          <w:rFonts w:ascii="Century Gothic" w:eastAsia="Times New Roman" w:hAnsi="Century Gothic" w:cs="Segoe UI"/>
          <w:b/>
          <w:bCs/>
          <w:kern w:val="0"/>
          <w:sz w:val="23"/>
          <w:szCs w:val="23"/>
          <w:lang w:eastAsia="es-CO"/>
          <w14:ligatures w14:val="none"/>
        </w:rPr>
      </w:pPr>
      <w:r w:rsidRPr="004E556E">
        <w:rPr>
          <w:rFonts w:ascii="Century Gothic" w:eastAsia="Times New Roman" w:hAnsi="Century Gothic" w:cs="Segoe UI"/>
          <w:b/>
          <w:bCs/>
          <w:kern w:val="0"/>
          <w:sz w:val="23"/>
          <w:szCs w:val="23"/>
          <w:lang w:eastAsia="es-CO"/>
          <w14:ligatures w14:val="none"/>
        </w:rPr>
        <w:t>Antecedentes</w:t>
      </w:r>
      <w:r w:rsidRPr="004E556E">
        <w:rPr>
          <w:rFonts w:ascii="Arial" w:eastAsia="Times New Roman" w:hAnsi="Arial" w:cs="Arial"/>
          <w:b/>
          <w:bCs/>
          <w:kern w:val="0"/>
          <w:sz w:val="23"/>
          <w:szCs w:val="23"/>
          <w:lang w:val="en-US" w:eastAsia="es-CO"/>
          <w14:ligatures w14:val="none"/>
        </w:rPr>
        <w:t> </w:t>
      </w:r>
      <w:r w:rsidRPr="004E556E">
        <w:rPr>
          <w:rFonts w:ascii="Century Gothic" w:eastAsia="Times New Roman" w:hAnsi="Century Gothic" w:cs="Segoe UI"/>
          <w:b/>
          <w:bCs/>
          <w:kern w:val="0"/>
          <w:sz w:val="23"/>
          <w:szCs w:val="23"/>
          <w:lang w:eastAsia="es-CO"/>
          <w14:ligatures w14:val="none"/>
        </w:rPr>
        <w:t> </w:t>
      </w:r>
    </w:p>
    <w:p w14:paraId="25E81D22" w14:textId="77777777" w:rsidR="00527456" w:rsidRPr="004E556E" w:rsidRDefault="00527456" w:rsidP="004E556E">
      <w:pPr>
        <w:spacing w:after="0" w:line="276" w:lineRule="auto"/>
        <w:jc w:val="both"/>
        <w:textAlignment w:val="baseline"/>
        <w:rPr>
          <w:rFonts w:ascii="Century Gothic" w:eastAsia="Times New Roman" w:hAnsi="Century Gothic" w:cs="Segoe UI"/>
          <w:kern w:val="0"/>
          <w:sz w:val="23"/>
          <w:szCs w:val="23"/>
          <w:lang w:eastAsia="es-CO"/>
          <w14:ligatures w14:val="none"/>
        </w:rPr>
      </w:pPr>
      <w:r w:rsidRPr="004E556E">
        <w:rPr>
          <w:rFonts w:ascii="Arial" w:eastAsia="Times New Roman" w:hAnsi="Arial" w:cs="Arial"/>
          <w:kern w:val="0"/>
          <w:sz w:val="23"/>
          <w:szCs w:val="23"/>
          <w:lang w:val="en-US" w:eastAsia="es-CO"/>
          <w14:ligatures w14:val="none"/>
        </w:rPr>
        <w:t> </w:t>
      </w:r>
      <w:r w:rsidRPr="004E556E">
        <w:rPr>
          <w:rFonts w:ascii="Century Gothic" w:eastAsia="Times New Roman" w:hAnsi="Century Gothic" w:cs="Segoe UI"/>
          <w:kern w:val="0"/>
          <w:sz w:val="23"/>
          <w:szCs w:val="23"/>
          <w:lang w:eastAsia="es-CO"/>
          <w14:ligatures w14:val="none"/>
        </w:rPr>
        <w:t> </w:t>
      </w:r>
    </w:p>
    <w:p w14:paraId="54B26D54" w14:textId="5B7BE963" w:rsidR="00527456" w:rsidRPr="004E556E" w:rsidRDefault="00527456" w:rsidP="004E556E">
      <w:pPr>
        <w:pStyle w:val="Textoindependiente2"/>
        <w:spacing w:after="0" w:line="276" w:lineRule="auto"/>
        <w:jc w:val="both"/>
        <w:rPr>
          <w:rFonts w:ascii="Century Gothic" w:eastAsia="Century Gothic" w:hAnsi="Century Gothic" w:cs="Century Gothic"/>
          <w:color w:val="000000"/>
          <w:sz w:val="23"/>
          <w:szCs w:val="23"/>
          <w:shd w:val="clear" w:color="auto" w:fill="FFFFFF"/>
        </w:rPr>
      </w:pPr>
      <w:r w:rsidRPr="004E556E">
        <w:rPr>
          <w:rFonts w:ascii="Century Gothic" w:eastAsia="Century Gothic" w:hAnsi="Century Gothic" w:cs="Century Gothic"/>
          <w:color w:val="000000"/>
          <w:sz w:val="23"/>
          <w:szCs w:val="23"/>
          <w:shd w:val="clear" w:color="auto" w:fill="FFFFFF"/>
        </w:rPr>
        <w:t xml:space="preserve">Por auto de fecha de 10 de octubre de 2022, se dejó a disposición de las partes copia integra de la investigación penal con el radicado No. 99016000642201800446 por el fallecimiento del soldado regular Álvaro Quintero Téllez. Asimismo, se inició trámite sancionatorio contra el </w:t>
      </w:r>
      <w:r w:rsidR="00A003E8" w:rsidRPr="004E556E">
        <w:rPr>
          <w:rFonts w:ascii="Century Gothic" w:eastAsia="Century Gothic" w:hAnsi="Century Gothic" w:cs="Century Gothic"/>
          <w:color w:val="000000"/>
          <w:sz w:val="23"/>
          <w:szCs w:val="23"/>
          <w:shd w:val="clear" w:color="auto" w:fill="FFFFFF"/>
        </w:rPr>
        <w:t>C</w:t>
      </w:r>
      <w:r w:rsidRPr="004E556E">
        <w:rPr>
          <w:rFonts w:ascii="Century Gothic" w:eastAsia="Century Gothic" w:hAnsi="Century Gothic" w:cs="Century Gothic"/>
          <w:color w:val="000000"/>
          <w:sz w:val="23"/>
          <w:szCs w:val="23"/>
          <w:shd w:val="clear" w:color="auto" w:fill="FFFFFF"/>
        </w:rPr>
        <w:t xml:space="preserve">omandante del </w:t>
      </w:r>
      <w:r w:rsidR="00A003E8" w:rsidRPr="004E556E">
        <w:rPr>
          <w:rFonts w:ascii="Century Gothic" w:eastAsia="Century Gothic" w:hAnsi="Century Gothic" w:cs="Century Gothic"/>
          <w:color w:val="000000"/>
          <w:sz w:val="23"/>
          <w:szCs w:val="23"/>
          <w:shd w:val="clear" w:color="auto" w:fill="FFFFFF"/>
        </w:rPr>
        <w:t>E</w:t>
      </w:r>
      <w:r w:rsidRPr="004E556E">
        <w:rPr>
          <w:rFonts w:ascii="Century Gothic" w:eastAsia="Century Gothic" w:hAnsi="Century Gothic" w:cs="Century Gothic"/>
          <w:color w:val="000000"/>
          <w:sz w:val="23"/>
          <w:szCs w:val="23"/>
          <w:shd w:val="clear" w:color="auto" w:fill="FFFFFF"/>
        </w:rPr>
        <w:t xml:space="preserve">jército </w:t>
      </w:r>
      <w:r w:rsidR="00A003E8" w:rsidRPr="004E556E">
        <w:rPr>
          <w:rFonts w:ascii="Century Gothic" w:eastAsia="Century Gothic" w:hAnsi="Century Gothic" w:cs="Century Gothic"/>
          <w:color w:val="000000"/>
          <w:sz w:val="23"/>
          <w:szCs w:val="23"/>
          <w:shd w:val="clear" w:color="auto" w:fill="FFFFFF"/>
        </w:rPr>
        <w:t>N</w:t>
      </w:r>
      <w:r w:rsidRPr="004E556E">
        <w:rPr>
          <w:rFonts w:ascii="Century Gothic" w:eastAsia="Century Gothic" w:hAnsi="Century Gothic" w:cs="Century Gothic"/>
          <w:color w:val="000000"/>
          <w:sz w:val="23"/>
          <w:szCs w:val="23"/>
          <w:shd w:val="clear" w:color="auto" w:fill="FFFFFF"/>
        </w:rPr>
        <w:t xml:space="preserve">acional, en el entendido que no remitió los antecedentes administrativos requeridos. Por </w:t>
      </w:r>
      <w:r w:rsidR="009342E4" w:rsidRPr="004E556E">
        <w:rPr>
          <w:rFonts w:ascii="Century Gothic" w:eastAsia="Century Gothic" w:hAnsi="Century Gothic" w:cs="Century Gothic"/>
          <w:color w:val="000000"/>
          <w:sz w:val="23"/>
          <w:szCs w:val="23"/>
          <w:shd w:val="clear" w:color="auto" w:fill="FFFFFF"/>
        </w:rPr>
        <w:t>último,</w:t>
      </w:r>
      <w:r w:rsidRPr="004E556E">
        <w:rPr>
          <w:rFonts w:ascii="Century Gothic" w:eastAsia="Century Gothic" w:hAnsi="Century Gothic" w:cs="Century Gothic"/>
          <w:color w:val="000000"/>
          <w:sz w:val="23"/>
          <w:szCs w:val="23"/>
          <w:shd w:val="clear" w:color="auto" w:fill="FFFFFF"/>
        </w:rPr>
        <w:t xml:space="preserve"> se sancionó al abogado de la parte demandada, por no tramitar el oficio con destino al comandante del Ejército Nacional. </w:t>
      </w:r>
      <w:r w:rsidR="009342E4" w:rsidRPr="004E556E">
        <w:rPr>
          <w:rFonts w:ascii="Century Gothic" w:eastAsia="Century Gothic" w:hAnsi="Century Gothic" w:cs="Century Gothic"/>
          <w:color w:val="000000"/>
          <w:sz w:val="23"/>
          <w:szCs w:val="23"/>
          <w:shd w:val="clear" w:color="auto" w:fill="FFFFFF"/>
        </w:rPr>
        <w:t xml:space="preserve"> </w:t>
      </w:r>
    </w:p>
    <w:p w14:paraId="5C191066" w14:textId="77777777" w:rsidR="00527456" w:rsidRPr="004E556E" w:rsidRDefault="00527456" w:rsidP="004E556E">
      <w:pPr>
        <w:pStyle w:val="Textoindependiente2"/>
        <w:spacing w:after="0" w:line="276" w:lineRule="auto"/>
        <w:jc w:val="both"/>
        <w:rPr>
          <w:rFonts w:ascii="Century Gothic" w:eastAsia="Century Gothic" w:hAnsi="Century Gothic" w:cs="Century Gothic"/>
          <w:color w:val="000000"/>
          <w:sz w:val="23"/>
          <w:szCs w:val="23"/>
          <w:shd w:val="clear" w:color="auto" w:fill="FFFFFF"/>
        </w:rPr>
      </w:pPr>
    </w:p>
    <w:p w14:paraId="13C470A7" w14:textId="5C64CF8A" w:rsidR="00527456" w:rsidRPr="004E556E" w:rsidRDefault="009342E4" w:rsidP="004E556E">
      <w:pPr>
        <w:pStyle w:val="Textoindependiente2"/>
        <w:spacing w:after="0" w:line="276" w:lineRule="auto"/>
        <w:jc w:val="both"/>
        <w:rPr>
          <w:rFonts w:ascii="Century Gothic" w:eastAsia="Century Gothic" w:hAnsi="Century Gothic" w:cs="Century Gothic"/>
          <w:color w:val="000000"/>
          <w:sz w:val="23"/>
          <w:szCs w:val="23"/>
          <w:shd w:val="clear" w:color="auto" w:fill="FFFFFF"/>
        </w:rPr>
      </w:pPr>
      <w:r w:rsidRPr="004E556E">
        <w:rPr>
          <w:rFonts w:ascii="Century Gothic" w:eastAsia="Century Gothic" w:hAnsi="Century Gothic" w:cs="Century Gothic"/>
          <w:color w:val="000000"/>
          <w:sz w:val="23"/>
          <w:szCs w:val="23"/>
          <w:shd w:val="clear" w:color="auto" w:fill="FFFFFF"/>
        </w:rPr>
        <w:t xml:space="preserve">Contra el auto en mención, el apoderado de la parte demandada interpuso recurso de reposición y allegó constancia de trámite de pruebas requeridas.  </w:t>
      </w:r>
    </w:p>
    <w:p w14:paraId="722285A4" w14:textId="77777777" w:rsidR="00527456" w:rsidRPr="004E556E" w:rsidRDefault="00527456" w:rsidP="004E556E">
      <w:pPr>
        <w:spacing w:after="0" w:line="276" w:lineRule="auto"/>
        <w:jc w:val="both"/>
        <w:textAlignment w:val="baseline"/>
        <w:rPr>
          <w:rFonts w:ascii="Century Gothic" w:eastAsia="Times New Roman" w:hAnsi="Century Gothic" w:cs="Segoe UI"/>
          <w:kern w:val="0"/>
          <w:sz w:val="23"/>
          <w:szCs w:val="23"/>
          <w:lang w:eastAsia="es-CO"/>
          <w14:ligatures w14:val="none"/>
        </w:rPr>
      </w:pPr>
      <w:r w:rsidRPr="004E556E">
        <w:rPr>
          <w:rFonts w:ascii="Century Gothic" w:eastAsia="Times New Roman" w:hAnsi="Century Gothic" w:cs="Segoe UI"/>
          <w:kern w:val="0"/>
          <w:sz w:val="23"/>
          <w:szCs w:val="23"/>
          <w:lang w:eastAsia="es-CO"/>
          <w14:ligatures w14:val="none"/>
        </w:rPr>
        <w:t> </w:t>
      </w:r>
    </w:p>
    <w:p w14:paraId="316DCFA7" w14:textId="77777777" w:rsidR="00527456" w:rsidRPr="004E556E" w:rsidRDefault="00527456" w:rsidP="004E556E">
      <w:pPr>
        <w:pStyle w:val="Prrafodelista"/>
        <w:numPr>
          <w:ilvl w:val="0"/>
          <w:numId w:val="1"/>
        </w:numPr>
        <w:spacing w:after="0" w:line="276" w:lineRule="auto"/>
        <w:jc w:val="both"/>
        <w:textAlignment w:val="baseline"/>
        <w:rPr>
          <w:rFonts w:ascii="Century Gothic" w:eastAsia="Times New Roman" w:hAnsi="Century Gothic" w:cs="Segoe UI"/>
          <w:b/>
          <w:bCs/>
          <w:kern w:val="0"/>
          <w:sz w:val="23"/>
          <w:szCs w:val="23"/>
          <w:lang w:eastAsia="es-CO"/>
          <w14:ligatures w14:val="none"/>
        </w:rPr>
      </w:pPr>
      <w:r w:rsidRPr="004E556E">
        <w:rPr>
          <w:rFonts w:ascii="Century Gothic" w:eastAsia="Times New Roman" w:hAnsi="Century Gothic" w:cs="Segoe UI"/>
          <w:b/>
          <w:bCs/>
          <w:kern w:val="0"/>
          <w:sz w:val="23"/>
          <w:szCs w:val="23"/>
          <w:lang w:eastAsia="es-CO"/>
          <w14:ligatures w14:val="none"/>
        </w:rPr>
        <w:t>Consideraciones</w:t>
      </w:r>
    </w:p>
    <w:p w14:paraId="66AF109B" w14:textId="77777777" w:rsidR="00527456" w:rsidRPr="004E556E" w:rsidRDefault="00527456" w:rsidP="004E556E">
      <w:pPr>
        <w:spacing w:after="0" w:line="276" w:lineRule="auto"/>
        <w:jc w:val="both"/>
        <w:textAlignment w:val="baseline"/>
        <w:rPr>
          <w:rFonts w:ascii="Century Gothic" w:eastAsia="Times New Roman" w:hAnsi="Century Gothic" w:cs="Segoe UI"/>
          <w:kern w:val="0"/>
          <w:sz w:val="23"/>
          <w:szCs w:val="23"/>
          <w:lang w:eastAsia="es-CO"/>
          <w14:ligatures w14:val="none"/>
        </w:rPr>
      </w:pPr>
    </w:p>
    <w:p w14:paraId="2537A021" w14:textId="6B9156D8" w:rsidR="00527456" w:rsidRPr="004E556E" w:rsidRDefault="00527456" w:rsidP="004E556E">
      <w:pPr>
        <w:pStyle w:val="Prrafodelista"/>
        <w:numPr>
          <w:ilvl w:val="1"/>
          <w:numId w:val="1"/>
        </w:numPr>
        <w:spacing w:after="0" w:line="276" w:lineRule="auto"/>
        <w:ind w:left="1080"/>
        <w:jc w:val="both"/>
        <w:textAlignment w:val="baseline"/>
        <w:rPr>
          <w:rFonts w:ascii="Century Gothic" w:eastAsia="Times New Roman" w:hAnsi="Century Gothic" w:cs="Segoe UI"/>
          <w:kern w:val="0"/>
          <w:sz w:val="23"/>
          <w:szCs w:val="23"/>
          <w:lang w:eastAsia="es-CO"/>
          <w14:ligatures w14:val="none"/>
        </w:rPr>
      </w:pPr>
      <w:r w:rsidRPr="004E556E">
        <w:rPr>
          <w:rFonts w:ascii="Century Gothic" w:eastAsia="Times New Roman" w:hAnsi="Century Gothic" w:cs="Segoe UI"/>
          <w:b/>
          <w:bCs/>
          <w:kern w:val="0"/>
          <w:sz w:val="23"/>
          <w:szCs w:val="23"/>
          <w:lang w:eastAsia="es-CO"/>
          <w14:ligatures w14:val="none"/>
        </w:rPr>
        <w:t>Del recurso de reposición</w:t>
      </w:r>
      <w:r w:rsidR="008D1B23" w:rsidRPr="004E556E">
        <w:rPr>
          <w:rFonts w:ascii="Century Gothic" w:eastAsia="Times New Roman" w:hAnsi="Century Gothic" w:cs="Segoe UI"/>
          <w:b/>
          <w:bCs/>
          <w:kern w:val="0"/>
          <w:sz w:val="23"/>
          <w:szCs w:val="23"/>
          <w:lang w:eastAsia="es-CO"/>
          <w14:ligatures w14:val="none"/>
        </w:rPr>
        <w:t>.</w:t>
      </w:r>
    </w:p>
    <w:p w14:paraId="20E892FA" w14:textId="77777777" w:rsidR="008D1B23" w:rsidRPr="004E556E" w:rsidRDefault="008D1B23" w:rsidP="004E556E">
      <w:pPr>
        <w:pStyle w:val="Prrafodelista"/>
        <w:spacing w:after="0" w:line="276" w:lineRule="auto"/>
        <w:ind w:left="1080"/>
        <w:jc w:val="both"/>
        <w:textAlignment w:val="baseline"/>
        <w:rPr>
          <w:rFonts w:ascii="Century Gothic" w:eastAsia="Times New Roman" w:hAnsi="Century Gothic" w:cs="Segoe UI"/>
          <w:kern w:val="0"/>
          <w:sz w:val="23"/>
          <w:szCs w:val="23"/>
          <w:lang w:eastAsia="es-CO"/>
          <w14:ligatures w14:val="none"/>
        </w:rPr>
      </w:pPr>
    </w:p>
    <w:p w14:paraId="6206C5E9" w14:textId="77777777" w:rsidR="00527456" w:rsidRPr="004E556E" w:rsidRDefault="00527456" w:rsidP="004E556E">
      <w:pPr>
        <w:tabs>
          <w:tab w:val="left" w:pos="567"/>
        </w:tabs>
        <w:spacing w:after="0" w:line="276" w:lineRule="auto"/>
        <w:ind w:right="49"/>
        <w:jc w:val="both"/>
        <w:rPr>
          <w:rFonts w:ascii="Century Gothic" w:eastAsia="Calibri" w:hAnsi="Century Gothic"/>
          <w:kern w:val="0"/>
          <w:sz w:val="23"/>
          <w:szCs w:val="23"/>
          <w:lang w:val="es-ES"/>
          <w14:ligatures w14:val="none"/>
        </w:rPr>
      </w:pPr>
      <w:r w:rsidRPr="004E556E">
        <w:rPr>
          <w:rFonts w:ascii="Century Gothic" w:eastAsia="Calibri" w:hAnsi="Century Gothic"/>
          <w:sz w:val="23"/>
          <w:szCs w:val="23"/>
        </w:rPr>
        <w:t xml:space="preserve">De conformidad con lo dispuesto en el artículo 242 del CPACA -modificado por el artículo 61 de la Ley 2080 de 2021-, el recurso de reposición procede en contra de todos los autos, salvo norma legal en contrario. </w:t>
      </w:r>
    </w:p>
    <w:p w14:paraId="38E37721" w14:textId="77777777" w:rsidR="00527456" w:rsidRPr="004E556E" w:rsidRDefault="00527456" w:rsidP="004E556E">
      <w:pPr>
        <w:tabs>
          <w:tab w:val="left" w:pos="567"/>
        </w:tabs>
        <w:spacing w:after="0" w:line="276" w:lineRule="auto"/>
        <w:ind w:right="49"/>
        <w:jc w:val="both"/>
        <w:rPr>
          <w:rFonts w:ascii="Century Gothic" w:eastAsia="Calibri" w:hAnsi="Century Gothic"/>
          <w:kern w:val="0"/>
          <w:sz w:val="23"/>
          <w:szCs w:val="23"/>
          <w:lang w:val="es-ES"/>
          <w14:ligatures w14:val="none"/>
        </w:rPr>
      </w:pPr>
    </w:p>
    <w:p w14:paraId="095DEDA8" w14:textId="77777777" w:rsidR="00527456" w:rsidRPr="004E556E" w:rsidRDefault="00527456" w:rsidP="004E556E">
      <w:pPr>
        <w:tabs>
          <w:tab w:val="left" w:pos="567"/>
        </w:tabs>
        <w:spacing w:after="0" w:line="276" w:lineRule="auto"/>
        <w:ind w:right="49"/>
        <w:jc w:val="both"/>
        <w:rPr>
          <w:rFonts w:ascii="Century Gothic" w:eastAsia="Calibri" w:hAnsi="Century Gothic"/>
          <w:sz w:val="23"/>
          <w:szCs w:val="23"/>
        </w:rPr>
      </w:pPr>
      <w:r w:rsidRPr="004E556E">
        <w:rPr>
          <w:rFonts w:ascii="Century Gothic" w:eastAsia="Calibri" w:hAnsi="Century Gothic"/>
          <w:sz w:val="23"/>
          <w:szCs w:val="23"/>
        </w:rPr>
        <w:t xml:space="preserve">El mencionado artículo también señala que el recurso de reposición sigue lo normado en el Código General del Proceso en cuanto a la oportunidad y trámite. </w:t>
      </w:r>
    </w:p>
    <w:p w14:paraId="53B0E5C2" w14:textId="77777777" w:rsidR="005C06FB" w:rsidRPr="004E556E" w:rsidRDefault="005C06FB" w:rsidP="004E556E">
      <w:pPr>
        <w:tabs>
          <w:tab w:val="left" w:pos="567"/>
        </w:tabs>
        <w:spacing w:after="0" w:line="276" w:lineRule="auto"/>
        <w:ind w:right="49"/>
        <w:jc w:val="both"/>
        <w:rPr>
          <w:rFonts w:ascii="Century Gothic" w:eastAsia="Calibri" w:hAnsi="Century Gothic"/>
          <w:kern w:val="0"/>
          <w:sz w:val="23"/>
          <w:szCs w:val="23"/>
          <w:lang w:val="es-ES"/>
          <w14:ligatures w14:val="none"/>
        </w:rPr>
      </w:pPr>
    </w:p>
    <w:p w14:paraId="7372F023" w14:textId="65908385" w:rsidR="00527456" w:rsidRPr="004E556E" w:rsidRDefault="00527456" w:rsidP="004E556E">
      <w:pPr>
        <w:spacing w:after="0" w:line="276" w:lineRule="auto"/>
        <w:jc w:val="both"/>
        <w:rPr>
          <w:rFonts w:ascii="Century Gothic" w:eastAsia="Calibri" w:hAnsi="Century Gothic" w:cs="Arial"/>
          <w:sz w:val="23"/>
          <w:szCs w:val="23"/>
        </w:rPr>
      </w:pPr>
      <w:r w:rsidRPr="004E556E">
        <w:rPr>
          <w:rFonts w:ascii="Century Gothic" w:eastAsia="Calibri" w:hAnsi="Century Gothic" w:cs="Arial"/>
          <w:sz w:val="23"/>
          <w:szCs w:val="23"/>
        </w:rPr>
        <w:t xml:space="preserve">El auto recurrido fue notificado por estado el </w:t>
      </w:r>
      <w:r w:rsidR="005C06FB" w:rsidRPr="004E556E">
        <w:rPr>
          <w:rFonts w:ascii="Century Gothic" w:eastAsia="Calibri" w:hAnsi="Century Gothic" w:cs="Arial"/>
          <w:b/>
          <w:sz w:val="23"/>
          <w:szCs w:val="23"/>
        </w:rPr>
        <w:t>11</w:t>
      </w:r>
      <w:r w:rsidRPr="004E556E">
        <w:rPr>
          <w:rFonts w:ascii="Century Gothic" w:eastAsia="Calibri" w:hAnsi="Century Gothic" w:cs="Arial"/>
          <w:b/>
          <w:sz w:val="23"/>
          <w:szCs w:val="23"/>
        </w:rPr>
        <w:t xml:space="preserve"> de </w:t>
      </w:r>
      <w:r w:rsidR="005C06FB" w:rsidRPr="004E556E">
        <w:rPr>
          <w:rFonts w:ascii="Century Gothic" w:eastAsia="Calibri" w:hAnsi="Century Gothic" w:cs="Arial"/>
          <w:b/>
          <w:sz w:val="23"/>
          <w:szCs w:val="23"/>
        </w:rPr>
        <w:t>octubre</w:t>
      </w:r>
      <w:r w:rsidRPr="004E556E">
        <w:rPr>
          <w:rFonts w:ascii="Century Gothic" w:eastAsia="Calibri" w:hAnsi="Century Gothic" w:cs="Arial"/>
          <w:b/>
          <w:sz w:val="23"/>
          <w:szCs w:val="23"/>
        </w:rPr>
        <w:t xml:space="preserve"> de 2022</w:t>
      </w:r>
      <w:r w:rsidRPr="004E556E">
        <w:rPr>
          <w:rFonts w:ascii="Century Gothic" w:eastAsia="Calibri" w:hAnsi="Century Gothic" w:cs="Arial"/>
          <w:sz w:val="23"/>
          <w:szCs w:val="23"/>
        </w:rPr>
        <w:t xml:space="preserve">, por lo que se tenía hasta el </w:t>
      </w:r>
      <w:r w:rsidR="005C06FB" w:rsidRPr="004E556E">
        <w:rPr>
          <w:rFonts w:ascii="Century Gothic" w:eastAsia="Calibri" w:hAnsi="Century Gothic" w:cs="Arial"/>
          <w:b/>
          <w:sz w:val="23"/>
          <w:szCs w:val="23"/>
        </w:rPr>
        <w:t>14</w:t>
      </w:r>
      <w:r w:rsidRPr="004E556E">
        <w:rPr>
          <w:rFonts w:ascii="Century Gothic" w:eastAsia="Calibri" w:hAnsi="Century Gothic" w:cs="Arial"/>
          <w:b/>
          <w:sz w:val="23"/>
          <w:szCs w:val="23"/>
        </w:rPr>
        <w:t xml:space="preserve"> </w:t>
      </w:r>
      <w:r w:rsidRPr="004E556E">
        <w:rPr>
          <w:rFonts w:ascii="Century Gothic" w:eastAsia="Calibri" w:hAnsi="Century Gothic" w:cs="Arial"/>
          <w:b/>
          <w:bCs/>
          <w:sz w:val="23"/>
          <w:szCs w:val="23"/>
        </w:rPr>
        <w:t xml:space="preserve">de </w:t>
      </w:r>
      <w:r w:rsidR="005C06FB" w:rsidRPr="004E556E">
        <w:rPr>
          <w:rFonts w:ascii="Century Gothic" w:eastAsia="Calibri" w:hAnsi="Century Gothic" w:cs="Arial"/>
          <w:b/>
          <w:bCs/>
          <w:sz w:val="23"/>
          <w:szCs w:val="23"/>
        </w:rPr>
        <w:t>octubre</w:t>
      </w:r>
      <w:r w:rsidRPr="004E556E">
        <w:rPr>
          <w:rFonts w:ascii="Century Gothic" w:eastAsia="Calibri" w:hAnsi="Century Gothic" w:cs="Arial"/>
          <w:b/>
          <w:bCs/>
          <w:sz w:val="23"/>
          <w:szCs w:val="23"/>
        </w:rPr>
        <w:t xml:space="preserve"> de 2022</w:t>
      </w:r>
      <w:r w:rsidRPr="004E556E">
        <w:rPr>
          <w:rFonts w:ascii="Century Gothic" w:eastAsia="Calibri" w:hAnsi="Century Gothic" w:cs="Arial"/>
          <w:b/>
          <w:sz w:val="23"/>
          <w:szCs w:val="23"/>
        </w:rPr>
        <w:t xml:space="preserve"> </w:t>
      </w:r>
      <w:r w:rsidRPr="004E556E">
        <w:rPr>
          <w:rFonts w:ascii="Century Gothic" w:eastAsia="Calibri" w:hAnsi="Century Gothic" w:cs="Arial"/>
          <w:sz w:val="23"/>
          <w:szCs w:val="23"/>
        </w:rPr>
        <w:t xml:space="preserve">para presentar el recurso, dado que dicho auto se notificó conforme al art. 201 del CPACA. </w:t>
      </w:r>
    </w:p>
    <w:p w14:paraId="1B737211" w14:textId="77777777" w:rsidR="00527456" w:rsidRPr="004E556E" w:rsidRDefault="00527456" w:rsidP="004E556E">
      <w:pPr>
        <w:spacing w:after="0" w:line="276" w:lineRule="auto"/>
        <w:jc w:val="both"/>
        <w:rPr>
          <w:rFonts w:ascii="Century Gothic" w:eastAsia="Calibri" w:hAnsi="Century Gothic" w:cs="Arial"/>
          <w:sz w:val="23"/>
          <w:szCs w:val="23"/>
        </w:rPr>
      </w:pPr>
    </w:p>
    <w:p w14:paraId="36EBB9B0" w14:textId="62A51105" w:rsidR="00527456" w:rsidRPr="004E556E" w:rsidRDefault="00527456" w:rsidP="004E556E">
      <w:pPr>
        <w:spacing w:after="0" w:line="276" w:lineRule="auto"/>
        <w:jc w:val="both"/>
        <w:rPr>
          <w:rFonts w:ascii="Century Gothic" w:eastAsia="Calibri" w:hAnsi="Century Gothic" w:cs="Arial"/>
          <w:sz w:val="23"/>
          <w:szCs w:val="23"/>
        </w:rPr>
      </w:pPr>
      <w:r w:rsidRPr="004E556E">
        <w:rPr>
          <w:rFonts w:ascii="Century Gothic" w:eastAsia="Calibri" w:hAnsi="Century Gothic" w:cs="Arial"/>
          <w:sz w:val="23"/>
          <w:szCs w:val="23"/>
        </w:rPr>
        <w:t xml:space="preserve">Revisado el expediente, se advierte que el recurso se presentó el día </w:t>
      </w:r>
      <w:r w:rsidR="005C06FB" w:rsidRPr="004E556E">
        <w:rPr>
          <w:rFonts w:ascii="Century Gothic" w:eastAsia="Calibri" w:hAnsi="Century Gothic" w:cs="Arial"/>
          <w:sz w:val="23"/>
          <w:szCs w:val="23"/>
        </w:rPr>
        <w:t>14</w:t>
      </w:r>
      <w:r w:rsidRPr="004E556E">
        <w:rPr>
          <w:rFonts w:ascii="Century Gothic" w:eastAsia="Calibri" w:hAnsi="Century Gothic" w:cs="Arial"/>
          <w:sz w:val="23"/>
          <w:szCs w:val="23"/>
        </w:rPr>
        <w:t xml:space="preserve"> de </w:t>
      </w:r>
      <w:r w:rsidR="005C06FB" w:rsidRPr="004E556E">
        <w:rPr>
          <w:rFonts w:ascii="Century Gothic" w:eastAsia="Calibri" w:hAnsi="Century Gothic" w:cs="Arial"/>
          <w:sz w:val="23"/>
          <w:szCs w:val="23"/>
        </w:rPr>
        <w:t>octubre</w:t>
      </w:r>
      <w:r w:rsidRPr="004E556E">
        <w:rPr>
          <w:rFonts w:ascii="Century Gothic" w:eastAsia="Calibri" w:hAnsi="Century Gothic" w:cs="Arial"/>
          <w:sz w:val="23"/>
          <w:szCs w:val="23"/>
        </w:rPr>
        <w:t xml:space="preserve"> de 2022, esto es, dentro del término legal. </w:t>
      </w:r>
    </w:p>
    <w:p w14:paraId="0C3F61AB" w14:textId="77777777" w:rsidR="00527456" w:rsidRPr="004E556E" w:rsidRDefault="00527456" w:rsidP="004E556E">
      <w:pPr>
        <w:spacing w:after="0" w:line="276" w:lineRule="auto"/>
        <w:jc w:val="both"/>
        <w:rPr>
          <w:rFonts w:ascii="Century Gothic" w:eastAsia="Calibri" w:hAnsi="Century Gothic" w:cs="Arial"/>
          <w:sz w:val="23"/>
          <w:szCs w:val="23"/>
        </w:rPr>
      </w:pPr>
    </w:p>
    <w:p w14:paraId="30316FC8" w14:textId="151F4E17" w:rsidR="006F7516" w:rsidRPr="004E556E" w:rsidRDefault="005C06FB" w:rsidP="004E556E">
      <w:pPr>
        <w:tabs>
          <w:tab w:val="left" w:pos="567"/>
        </w:tabs>
        <w:spacing w:after="0" w:line="276" w:lineRule="auto"/>
        <w:ind w:right="49"/>
        <w:jc w:val="both"/>
        <w:rPr>
          <w:rFonts w:ascii="Century Gothic" w:eastAsia="Calibri" w:hAnsi="Century Gothic"/>
          <w:sz w:val="23"/>
          <w:szCs w:val="23"/>
        </w:rPr>
      </w:pPr>
      <w:r w:rsidRPr="004E556E">
        <w:rPr>
          <w:rFonts w:ascii="Century Gothic" w:eastAsia="Calibri" w:hAnsi="Century Gothic"/>
          <w:sz w:val="23"/>
          <w:szCs w:val="23"/>
        </w:rPr>
        <w:lastRenderedPageBreak/>
        <w:t>Se argumentó con el recurso que la prueba cuestionada, no fue solicitada por la parte demandada y está se decretó a favor de la parte demandante, quien era la encargada de tramitarla</w:t>
      </w:r>
      <w:r w:rsidR="00B70F36" w:rsidRPr="004E556E">
        <w:rPr>
          <w:rFonts w:ascii="Century Gothic" w:eastAsia="Calibri" w:hAnsi="Century Gothic"/>
          <w:sz w:val="23"/>
          <w:szCs w:val="23"/>
        </w:rPr>
        <w:t xml:space="preserve">. No obstante, informa que la prueba si la tramitó el día 18 de febrero de 2022 con el radicado 2022115000299252, la cual se puede consultar en el anexo denominado “16. informativoyOAP”. También, aseguró que con el auto de fecha 26 de mayo de 2022, se reiteró que la carga de tramitar la prueba se encontraba en poder del demandante. </w:t>
      </w:r>
    </w:p>
    <w:p w14:paraId="3CD747D7" w14:textId="77777777" w:rsidR="006F7516" w:rsidRPr="004E556E" w:rsidRDefault="006F7516" w:rsidP="004E556E">
      <w:pPr>
        <w:tabs>
          <w:tab w:val="left" w:pos="567"/>
        </w:tabs>
        <w:spacing w:after="0" w:line="276" w:lineRule="auto"/>
        <w:ind w:right="49"/>
        <w:jc w:val="both"/>
        <w:rPr>
          <w:rFonts w:ascii="Century Gothic" w:eastAsia="Calibri" w:hAnsi="Century Gothic"/>
          <w:sz w:val="23"/>
          <w:szCs w:val="23"/>
        </w:rPr>
      </w:pPr>
    </w:p>
    <w:p w14:paraId="58098746" w14:textId="10CC6D29" w:rsidR="006F7516" w:rsidRPr="004E556E" w:rsidRDefault="006F7516" w:rsidP="004E556E">
      <w:pPr>
        <w:tabs>
          <w:tab w:val="left" w:pos="567"/>
        </w:tabs>
        <w:spacing w:after="0" w:line="276" w:lineRule="auto"/>
        <w:ind w:right="49"/>
        <w:jc w:val="both"/>
        <w:rPr>
          <w:rFonts w:ascii="Century Gothic" w:eastAsia="Calibri" w:hAnsi="Century Gothic"/>
          <w:sz w:val="23"/>
          <w:szCs w:val="23"/>
        </w:rPr>
      </w:pPr>
      <w:r w:rsidRPr="004E556E">
        <w:rPr>
          <w:rFonts w:ascii="Century Gothic" w:eastAsia="Calibri" w:hAnsi="Century Gothic"/>
          <w:sz w:val="23"/>
          <w:szCs w:val="23"/>
        </w:rPr>
        <w:t>Añadió que ya había aportado copia del informativo administrativo por muerte del señor Quintero Téllez Álvaro y copia de la orden administrativa de personal  No.2095 de la Dirección de Personal del Ej</w:t>
      </w:r>
      <w:r w:rsidR="004E556E">
        <w:rPr>
          <w:rFonts w:ascii="Century Gothic" w:eastAsia="Calibri" w:hAnsi="Century Gothic"/>
          <w:sz w:val="23"/>
          <w:szCs w:val="23"/>
        </w:rPr>
        <w:t>ér</w:t>
      </w:r>
      <w:r w:rsidRPr="004E556E">
        <w:rPr>
          <w:rFonts w:ascii="Century Gothic" w:eastAsia="Calibri" w:hAnsi="Century Gothic"/>
          <w:sz w:val="23"/>
          <w:szCs w:val="23"/>
        </w:rPr>
        <w:t xml:space="preserve">cito Nacional. Como anexo al recurso aportó respuesta de petición a la Dra. Maria del Pilar Sepúlveda, con el cual se le entrega copia de la investigación disciplinaria. </w:t>
      </w:r>
    </w:p>
    <w:p w14:paraId="6FC20F40" w14:textId="77777777" w:rsidR="00527456" w:rsidRPr="004E556E" w:rsidRDefault="00527456" w:rsidP="004E556E">
      <w:pPr>
        <w:tabs>
          <w:tab w:val="left" w:pos="567"/>
        </w:tabs>
        <w:spacing w:after="0" w:line="276" w:lineRule="auto"/>
        <w:ind w:right="49"/>
        <w:jc w:val="both"/>
        <w:rPr>
          <w:rFonts w:ascii="Century Gothic" w:eastAsia="Calibri" w:hAnsi="Century Gothic"/>
          <w:sz w:val="23"/>
          <w:szCs w:val="23"/>
        </w:rPr>
      </w:pPr>
    </w:p>
    <w:p w14:paraId="02D00A28" w14:textId="6F3E3998" w:rsidR="006F7516" w:rsidRPr="004E556E" w:rsidRDefault="00527456" w:rsidP="004E556E">
      <w:pPr>
        <w:tabs>
          <w:tab w:val="left" w:pos="567"/>
        </w:tabs>
        <w:spacing w:after="0" w:line="276" w:lineRule="auto"/>
        <w:ind w:right="49"/>
        <w:jc w:val="both"/>
        <w:rPr>
          <w:rFonts w:ascii="Century Gothic" w:hAnsi="Century Gothic"/>
          <w:sz w:val="23"/>
          <w:szCs w:val="23"/>
        </w:rPr>
      </w:pPr>
      <w:r w:rsidRPr="004E556E">
        <w:rPr>
          <w:rFonts w:ascii="Century Gothic" w:eastAsia="Calibri" w:hAnsi="Century Gothic"/>
          <w:sz w:val="23"/>
          <w:szCs w:val="23"/>
        </w:rPr>
        <w:t xml:space="preserve">En cuanto a la prueba </w:t>
      </w:r>
      <w:r w:rsidR="006F7516" w:rsidRPr="004E556E">
        <w:rPr>
          <w:rFonts w:ascii="Century Gothic" w:eastAsia="Calibri" w:hAnsi="Century Gothic"/>
          <w:sz w:val="23"/>
          <w:szCs w:val="23"/>
        </w:rPr>
        <w:t xml:space="preserve">pendiente, informo que está se gestionó ante el Juez de Instrucción penal militar. </w:t>
      </w:r>
    </w:p>
    <w:p w14:paraId="3507E1E5" w14:textId="67387437" w:rsidR="003D23AF" w:rsidRPr="004E556E" w:rsidRDefault="003D23AF" w:rsidP="004E556E">
      <w:pPr>
        <w:spacing w:after="0" w:line="276" w:lineRule="auto"/>
        <w:rPr>
          <w:rFonts w:ascii="Century Gothic" w:hAnsi="Century Gothic"/>
          <w:sz w:val="23"/>
          <w:szCs w:val="23"/>
        </w:rPr>
      </w:pPr>
    </w:p>
    <w:p w14:paraId="08EADB39" w14:textId="77777777" w:rsidR="007E10C0" w:rsidRDefault="007E10C0" w:rsidP="004E556E">
      <w:pPr>
        <w:spacing w:after="0" w:line="276" w:lineRule="auto"/>
        <w:jc w:val="both"/>
        <w:rPr>
          <w:rFonts w:ascii="Century Gothic" w:hAnsi="Century Gothic" w:cs="Arial"/>
          <w:sz w:val="23"/>
          <w:szCs w:val="23"/>
        </w:rPr>
      </w:pPr>
      <w:r w:rsidRPr="004E556E">
        <w:rPr>
          <w:rFonts w:ascii="Century Gothic" w:hAnsi="Century Gothic" w:cs="Arial"/>
          <w:sz w:val="23"/>
          <w:szCs w:val="23"/>
        </w:rPr>
        <w:t xml:space="preserve">Pues bien, al revisar los argumentos planteados en el recurso, se repondrá parcialmente la decisión del 10 de octubre de 2022, dado que el apoderado de la parte demandada allegó copia del expediente disciplinario y demostró haber gestionado pruebas previo al auto del 26 de mayo de 2022, por lo cual se levantará la sanción en multa. </w:t>
      </w:r>
    </w:p>
    <w:p w14:paraId="7698870F" w14:textId="77777777" w:rsidR="004E556E" w:rsidRPr="004E556E" w:rsidRDefault="004E556E" w:rsidP="004E556E">
      <w:pPr>
        <w:spacing w:after="0" w:line="276" w:lineRule="auto"/>
        <w:jc w:val="both"/>
        <w:rPr>
          <w:rFonts w:ascii="Century Gothic" w:hAnsi="Century Gothic" w:cs="Arial"/>
          <w:sz w:val="23"/>
          <w:szCs w:val="23"/>
        </w:rPr>
      </w:pPr>
    </w:p>
    <w:p w14:paraId="04F07D74" w14:textId="14522F41" w:rsidR="007E10C0" w:rsidRPr="004E556E" w:rsidRDefault="007E10C0" w:rsidP="004E556E">
      <w:pPr>
        <w:spacing w:after="0" w:line="276" w:lineRule="auto"/>
        <w:jc w:val="both"/>
        <w:rPr>
          <w:rFonts w:ascii="Century Gothic" w:hAnsi="Century Gothic" w:cs="Arial"/>
          <w:sz w:val="23"/>
          <w:szCs w:val="23"/>
        </w:rPr>
      </w:pPr>
      <w:r w:rsidRPr="004E556E">
        <w:rPr>
          <w:rFonts w:ascii="Century Gothic" w:hAnsi="Century Gothic" w:cs="Arial"/>
          <w:sz w:val="23"/>
          <w:szCs w:val="23"/>
        </w:rPr>
        <w:t xml:space="preserve">No obstante, se le aclara que la carga de notificar al comandante de la solicitud de antecedentes administrativos si se encontraba a su cargo, ello lo puede observar en el numeral tercero del auto del 26 de mayo de 2022 y las pruebas requeridas conforman los antecedentes administrativos, luego no es cierto que el trámite de esta, este a cargo del demandante. </w:t>
      </w:r>
    </w:p>
    <w:p w14:paraId="25A65874" w14:textId="77777777" w:rsidR="006F7516" w:rsidRPr="004E556E" w:rsidRDefault="006F7516" w:rsidP="004E556E">
      <w:pPr>
        <w:spacing w:after="0" w:line="276" w:lineRule="auto"/>
        <w:rPr>
          <w:rFonts w:ascii="Century Gothic" w:hAnsi="Century Gothic"/>
          <w:sz w:val="23"/>
          <w:szCs w:val="23"/>
        </w:rPr>
      </w:pPr>
    </w:p>
    <w:p w14:paraId="68C1A382" w14:textId="5A8E4725" w:rsidR="006F7516" w:rsidRPr="004E556E" w:rsidRDefault="006F7516" w:rsidP="004E556E">
      <w:pPr>
        <w:pStyle w:val="Prrafodelista"/>
        <w:numPr>
          <w:ilvl w:val="1"/>
          <w:numId w:val="1"/>
        </w:numPr>
        <w:spacing w:after="0" w:line="276" w:lineRule="auto"/>
        <w:rPr>
          <w:rFonts w:ascii="Century Gothic" w:hAnsi="Century Gothic"/>
          <w:b/>
          <w:bCs/>
          <w:sz w:val="23"/>
          <w:szCs w:val="23"/>
        </w:rPr>
      </w:pPr>
      <w:r w:rsidRPr="004E556E">
        <w:rPr>
          <w:rFonts w:ascii="Century Gothic" w:hAnsi="Century Gothic"/>
          <w:b/>
          <w:bCs/>
          <w:sz w:val="23"/>
          <w:szCs w:val="23"/>
        </w:rPr>
        <w:t xml:space="preserve">PRUEBAS DOCUMENTALES. </w:t>
      </w:r>
    </w:p>
    <w:p w14:paraId="1C60F052" w14:textId="77777777" w:rsidR="004E556E" w:rsidRDefault="004E556E" w:rsidP="004E556E">
      <w:pPr>
        <w:spacing w:after="0" w:line="276" w:lineRule="auto"/>
        <w:jc w:val="both"/>
        <w:rPr>
          <w:rFonts w:ascii="Century Gothic" w:hAnsi="Century Gothic"/>
          <w:sz w:val="23"/>
          <w:szCs w:val="23"/>
        </w:rPr>
      </w:pPr>
    </w:p>
    <w:p w14:paraId="7AC87468" w14:textId="340E1C50" w:rsidR="00BF76BF" w:rsidRPr="004E556E" w:rsidRDefault="006F7516" w:rsidP="004E556E">
      <w:pPr>
        <w:spacing w:after="0" w:line="276" w:lineRule="auto"/>
        <w:jc w:val="both"/>
        <w:rPr>
          <w:rFonts w:ascii="Century Gothic" w:hAnsi="Century Gothic"/>
          <w:sz w:val="23"/>
          <w:szCs w:val="23"/>
        </w:rPr>
      </w:pPr>
      <w:r w:rsidRPr="004E556E">
        <w:rPr>
          <w:rFonts w:ascii="Century Gothic" w:hAnsi="Century Gothic"/>
          <w:sz w:val="23"/>
          <w:szCs w:val="23"/>
        </w:rPr>
        <w:t xml:space="preserve">A través de memorial de fecha 20 de octubre de 2022, se aportó al expediente respuesta del Juzgado 63 de Instrucción Penal Militar, en el que informa que revisado los libros radicadores, se estableció que no cursó acción por citados presuntos hechos ante la jurisdicción penal militar.  </w:t>
      </w:r>
    </w:p>
    <w:p w14:paraId="1646CA5D" w14:textId="77777777" w:rsidR="004E556E" w:rsidRDefault="004E556E" w:rsidP="004E556E">
      <w:pPr>
        <w:pStyle w:val="paragraph"/>
        <w:spacing w:before="0" w:beforeAutospacing="0" w:after="0" w:afterAutospacing="0" w:line="276" w:lineRule="auto"/>
        <w:jc w:val="both"/>
        <w:rPr>
          <w:rFonts w:ascii="Century Gothic" w:hAnsi="Century Gothic"/>
          <w:sz w:val="23"/>
          <w:szCs w:val="23"/>
          <w:lang w:val="es-ES" w:eastAsia="es-ES"/>
        </w:rPr>
      </w:pPr>
    </w:p>
    <w:p w14:paraId="238EAC29" w14:textId="4DF049A9" w:rsidR="00BF76BF" w:rsidRPr="004E556E" w:rsidRDefault="00BF76BF" w:rsidP="004E556E">
      <w:pPr>
        <w:pStyle w:val="paragraph"/>
        <w:spacing w:before="0" w:beforeAutospacing="0" w:after="0" w:afterAutospacing="0" w:line="276" w:lineRule="auto"/>
        <w:jc w:val="both"/>
        <w:rPr>
          <w:rStyle w:val="eop"/>
          <w:rFonts w:ascii="Century Gothic" w:eastAsiaTheme="majorEastAsia" w:hAnsi="Century Gothic"/>
          <w:color w:val="000000"/>
          <w:sz w:val="23"/>
          <w:szCs w:val="23"/>
          <w:shd w:val="clear" w:color="auto" w:fill="FFFFFF"/>
        </w:rPr>
      </w:pPr>
      <w:r w:rsidRPr="004E556E">
        <w:rPr>
          <w:rFonts w:ascii="Century Gothic" w:hAnsi="Century Gothic"/>
          <w:sz w:val="23"/>
          <w:szCs w:val="23"/>
          <w:lang w:val="es-ES" w:eastAsia="es-ES"/>
        </w:rPr>
        <w:t xml:space="preserve">En ese orden, se dará traslado de dicho documental </w:t>
      </w:r>
      <w:r w:rsidRPr="004E556E">
        <w:rPr>
          <w:rStyle w:val="normaltextrun"/>
          <w:rFonts w:ascii="Century Gothic" w:eastAsiaTheme="majorEastAsia" w:hAnsi="Century Gothic"/>
          <w:color w:val="000000"/>
          <w:sz w:val="23"/>
          <w:szCs w:val="23"/>
          <w:shd w:val="clear" w:color="auto" w:fill="FFFFFF"/>
          <w:lang w:val="es-ES"/>
        </w:rPr>
        <w:t>por el termino de tres (3) días siguientes a la notificación del auto, para los efectos previstos en los artículos 173 (oportunidades probatorias), 269 (tacha de falsedad) y 272 (desconocimiento de documento) del CGP y demás normas concordantes, en virtud del principio de contradicción.</w:t>
      </w:r>
      <w:r w:rsidRPr="004E556E">
        <w:rPr>
          <w:rStyle w:val="normaltextrun"/>
          <w:rFonts w:ascii="Century Gothic" w:eastAsiaTheme="majorEastAsia" w:hAnsi="Century Gothic"/>
          <w:b/>
          <w:bCs/>
          <w:color w:val="000000"/>
          <w:sz w:val="23"/>
          <w:szCs w:val="23"/>
          <w:shd w:val="clear" w:color="auto" w:fill="FFFFFF"/>
          <w:lang w:val="es-ES"/>
        </w:rPr>
        <w:t> </w:t>
      </w:r>
      <w:r w:rsidRPr="004E556E">
        <w:rPr>
          <w:rStyle w:val="eop"/>
          <w:rFonts w:ascii="Century Gothic" w:eastAsiaTheme="majorEastAsia" w:hAnsi="Century Gothic"/>
          <w:color w:val="000000"/>
          <w:sz w:val="23"/>
          <w:szCs w:val="23"/>
          <w:shd w:val="clear" w:color="auto" w:fill="FFFFFF"/>
        </w:rPr>
        <w:t> </w:t>
      </w:r>
    </w:p>
    <w:p w14:paraId="34B7ED55" w14:textId="77777777" w:rsidR="007E10C0" w:rsidRPr="004E556E" w:rsidRDefault="007E10C0" w:rsidP="004E556E">
      <w:pPr>
        <w:pStyle w:val="paragraph"/>
        <w:spacing w:before="0" w:beforeAutospacing="0" w:after="0" w:afterAutospacing="0" w:line="276" w:lineRule="auto"/>
        <w:jc w:val="both"/>
        <w:rPr>
          <w:rFonts w:ascii="Century Gothic" w:eastAsiaTheme="majorEastAsia" w:hAnsi="Century Gothic"/>
          <w:color w:val="000000"/>
          <w:sz w:val="23"/>
          <w:szCs w:val="23"/>
          <w:shd w:val="clear" w:color="auto" w:fill="FFFFFF"/>
        </w:rPr>
      </w:pPr>
    </w:p>
    <w:p w14:paraId="1F2494B1" w14:textId="77777777" w:rsidR="00BF76BF" w:rsidRPr="004E556E" w:rsidRDefault="00BF76BF" w:rsidP="004E556E">
      <w:pPr>
        <w:spacing w:after="0" w:line="276" w:lineRule="auto"/>
        <w:jc w:val="both"/>
        <w:textAlignment w:val="baseline"/>
        <w:rPr>
          <w:rFonts w:ascii="Century Gothic" w:eastAsia="Times New Roman" w:hAnsi="Century Gothic" w:cs="Segoe UI"/>
          <w:kern w:val="0"/>
          <w:sz w:val="23"/>
          <w:szCs w:val="23"/>
          <w:lang w:eastAsia="es-CO"/>
          <w14:ligatures w14:val="none"/>
        </w:rPr>
      </w:pPr>
      <w:r w:rsidRPr="004E556E">
        <w:rPr>
          <w:rFonts w:ascii="Century Gothic" w:eastAsia="Times New Roman" w:hAnsi="Century Gothic" w:cs="Segoe UI"/>
          <w:kern w:val="0"/>
          <w:sz w:val="23"/>
          <w:szCs w:val="23"/>
          <w:lang w:eastAsia="es-CO"/>
          <w14:ligatures w14:val="none"/>
        </w:rPr>
        <w:t xml:space="preserve">En consecuencia, el </w:t>
      </w:r>
      <w:r w:rsidRPr="004E556E">
        <w:rPr>
          <w:rFonts w:ascii="Century Gothic" w:eastAsia="Times New Roman" w:hAnsi="Century Gothic" w:cs="Segoe UI"/>
          <w:b/>
          <w:bCs/>
          <w:kern w:val="0"/>
          <w:sz w:val="23"/>
          <w:szCs w:val="23"/>
          <w:lang w:eastAsia="es-CO"/>
          <w14:ligatures w14:val="none"/>
        </w:rPr>
        <w:t>JUZGADO SESENTA Y CUATRO (64) ADMINISTRATIVO DE ORALIDAD DEL CIRCUITO JUDICIAL DE BOGOTÁ D.C.</w:t>
      </w:r>
      <w:r w:rsidRPr="004E556E">
        <w:rPr>
          <w:rFonts w:ascii="Century Gothic" w:eastAsia="Times New Roman" w:hAnsi="Century Gothic" w:cs="Segoe UI"/>
          <w:kern w:val="0"/>
          <w:sz w:val="23"/>
          <w:szCs w:val="23"/>
          <w:lang w:eastAsia="es-CO"/>
          <w14:ligatures w14:val="none"/>
        </w:rPr>
        <w:t>,</w:t>
      </w:r>
      <w:r w:rsidRPr="004E556E">
        <w:rPr>
          <w:rFonts w:ascii="Arial" w:eastAsia="Times New Roman" w:hAnsi="Arial" w:cs="Arial"/>
          <w:kern w:val="0"/>
          <w:sz w:val="23"/>
          <w:szCs w:val="23"/>
          <w:lang w:eastAsia="es-CO"/>
          <w14:ligatures w14:val="none"/>
        </w:rPr>
        <w:t> </w:t>
      </w:r>
      <w:r w:rsidRPr="004E556E">
        <w:rPr>
          <w:rFonts w:ascii="Century Gothic" w:eastAsia="Times New Roman" w:hAnsi="Century Gothic" w:cs="Segoe UI"/>
          <w:kern w:val="0"/>
          <w:sz w:val="23"/>
          <w:szCs w:val="23"/>
          <w:lang w:eastAsia="es-CO"/>
          <w14:ligatures w14:val="none"/>
        </w:rPr>
        <w:t> </w:t>
      </w:r>
    </w:p>
    <w:p w14:paraId="5969160D" w14:textId="77777777" w:rsidR="00BF76BF" w:rsidRPr="004E556E" w:rsidRDefault="00BF76BF" w:rsidP="004E556E">
      <w:pPr>
        <w:spacing w:after="0" w:line="276" w:lineRule="auto"/>
        <w:jc w:val="both"/>
        <w:textAlignment w:val="baseline"/>
        <w:rPr>
          <w:rFonts w:ascii="Century Gothic" w:eastAsia="Times New Roman" w:hAnsi="Century Gothic" w:cs="Segoe UI"/>
          <w:kern w:val="0"/>
          <w:sz w:val="23"/>
          <w:szCs w:val="23"/>
          <w:lang w:eastAsia="es-CO"/>
          <w14:ligatures w14:val="none"/>
        </w:rPr>
      </w:pPr>
      <w:r w:rsidRPr="004E556E">
        <w:rPr>
          <w:rFonts w:ascii="Arial" w:eastAsia="Times New Roman" w:hAnsi="Arial" w:cs="Arial"/>
          <w:kern w:val="0"/>
          <w:sz w:val="23"/>
          <w:szCs w:val="23"/>
          <w:lang w:eastAsia="es-CO"/>
          <w14:ligatures w14:val="none"/>
        </w:rPr>
        <w:t> </w:t>
      </w:r>
      <w:r w:rsidRPr="004E556E">
        <w:rPr>
          <w:rFonts w:ascii="Century Gothic" w:eastAsia="Times New Roman" w:hAnsi="Century Gothic" w:cs="Segoe UI"/>
          <w:kern w:val="0"/>
          <w:sz w:val="23"/>
          <w:szCs w:val="23"/>
          <w:lang w:eastAsia="es-CO"/>
          <w14:ligatures w14:val="none"/>
        </w:rPr>
        <w:t> </w:t>
      </w:r>
    </w:p>
    <w:p w14:paraId="2F7FE311" w14:textId="77777777" w:rsidR="00BF76BF" w:rsidRPr="004E556E" w:rsidRDefault="00BF76BF" w:rsidP="004E556E">
      <w:pPr>
        <w:spacing w:after="0" w:line="276" w:lineRule="auto"/>
        <w:ind w:right="45"/>
        <w:jc w:val="center"/>
        <w:textAlignment w:val="baseline"/>
        <w:rPr>
          <w:rFonts w:ascii="Century Gothic" w:eastAsia="Times New Roman" w:hAnsi="Century Gothic" w:cs="Segoe UI"/>
          <w:kern w:val="0"/>
          <w:sz w:val="23"/>
          <w:szCs w:val="23"/>
          <w:lang w:eastAsia="es-CO"/>
          <w14:ligatures w14:val="none"/>
        </w:rPr>
      </w:pPr>
      <w:r w:rsidRPr="004E556E">
        <w:rPr>
          <w:rFonts w:ascii="Century Gothic" w:eastAsia="Times New Roman" w:hAnsi="Century Gothic" w:cs="Segoe UI"/>
          <w:b/>
          <w:bCs/>
          <w:kern w:val="0"/>
          <w:sz w:val="23"/>
          <w:szCs w:val="23"/>
          <w:lang w:eastAsia="es-CO"/>
          <w14:ligatures w14:val="none"/>
        </w:rPr>
        <w:t>RESUELVE:</w:t>
      </w:r>
      <w:r w:rsidRPr="004E556E">
        <w:rPr>
          <w:rFonts w:ascii="Arial" w:eastAsia="Times New Roman" w:hAnsi="Arial" w:cs="Arial"/>
          <w:kern w:val="0"/>
          <w:sz w:val="23"/>
          <w:szCs w:val="23"/>
          <w:lang w:eastAsia="es-CO"/>
          <w14:ligatures w14:val="none"/>
        </w:rPr>
        <w:t>  </w:t>
      </w:r>
      <w:r w:rsidRPr="004E556E">
        <w:rPr>
          <w:rFonts w:ascii="Century Gothic" w:eastAsia="Times New Roman" w:hAnsi="Century Gothic" w:cs="Segoe UI"/>
          <w:kern w:val="0"/>
          <w:sz w:val="23"/>
          <w:szCs w:val="23"/>
          <w:lang w:eastAsia="es-CO"/>
          <w14:ligatures w14:val="none"/>
        </w:rPr>
        <w:t> </w:t>
      </w:r>
    </w:p>
    <w:p w14:paraId="47182A2F" w14:textId="46776AB6" w:rsidR="00BF76BF" w:rsidRPr="004E556E" w:rsidRDefault="00BF76BF" w:rsidP="004E556E">
      <w:pPr>
        <w:spacing w:after="0" w:line="276" w:lineRule="auto"/>
        <w:ind w:right="45"/>
        <w:jc w:val="both"/>
        <w:textAlignment w:val="baseline"/>
        <w:rPr>
          <w:rFonts w:ascii="Century Gothic" w:eastAsia="Times New Roman" w:hAnsi="Century Gothic" w:cs="Segoe UI"/>
          <w:kern w:val="0"/>
          <w:sz w:val="23"/>
          <w:szCs w:val="23"/>
          <w:lang w:eastAsia="es-CO"/>
          <w14:ligatures w14:val="none"/>
        </w:rPr>
      </w:pPr>
      <w:r w:rsidRPr="004E556E">
        <w:rPr>
          <w:rFonts w:ascii="Arial" w:eastAsia="Times New Roman" w:hAnsi="Arial" w:cs="Arial"/>
          <w:kern w:val="0"/>
          <w:sz w:val="23"/>
          <w:szCs w:val="23"/>
          <w:lang w:eastAsia="es-CO"/>
          <w14:ligatures w14:val="none"/>
        </w:rPr>
        <w:t> </w:t>
      </w:r>
      <w:r w:rsidRPr="004E556E">
        <w:rPr>
          <w:rFonts w:ascii="Century Gothic" w:eastAsia="Times New Roman" w:hAnsi="Century Gothic" w:cs="Segoe UI"/>
          <w:kern w:val="0"/>
          <w:sz w:val="23"/>
          <w:szCs w:val="23"/>
          <w:lang w:eastAsia="es-CO"/>
          <w14:ligatures w14:val="none"/>
        </w:rPr>
        <w:t> </w:t>
      </w:r>
    </w:p>
    <w:p w14:paraId="051722B9" w14:textId="77B301B3" w:rsidR="00BF76BF" w:rsidRPr="004E556E" w:rsidRDefault="00BF76BF" w:rsidP="004E556E">
      <w:pPr>
        <w:pStyle w:val="NormalWeb"/>
        <w:spacing w:before="0" w:beforeAutospacing="0" w:after="0" w:afterAutospacing="0" w:line="276" w:lineRule="auto"/>
        <w:jc w:val="both"/>
        <w:rPr>
          <w:rFonts w:ascii="Century Gothic" w:hAnsi="Century Gothic" w:cs="Arial"/>
          <w:sz w:val="23"/>
          <w:szCs w:val="23"/>
        </w:rPr>
      </w:pPr>
      <w:r w:rsidRPr="004E556E">
        <w:rPr>
          <w:rFonts w:ascii="Century Gothic" w:hAnsi="Century Gothic" w:cs="Segoe UI"/>
          <w:b/>
          <w:bCs/>
          <w:sz w:val="23"/>
          <w:szCs w:val="23"/>
        </w:rPr>
        <w:t>PRIMERO</w:t>
      </w:r>
      <w:r w:rsidRPr="004E556E">
        <w:rPr>
          <w:rStyle w:val="normaltextrun"/>
          <w:rFonts w:ascii="Century Gothic" w:eastAsiaTheme="majorEastAsia" w:hAnsi="Century Gothic" w:cs="Segoe UI"/>
          <w:b/>
          <w:bCs/>
          <w:sz w:val="23"/>
          <w:szCs w:val="23"/>
        </w:rPr>
        <w:t>:</w:t>
      </w:r>
      <w:r w:rsidRPr="004E556E">
        <w:rPr>
          <w:rStyle w:val="tabchar"/>
          <w:rFonts w:ascii="Century Gothic" w:eastAsiaTheme="majorEastAsia" w:hAnsi="Century Gothic" w:cs="Calibri"/>
          <w:sz w:val="23"/>
          <w:szCs w:val="23"/>
        </w:rPr>
        <w:tab/>
      </w:r>
      <w:r w:rsidRPr="004E556E">
        <w:rPr>
          <w:rFonts w:ascii="Century Gothic" w:hAnsi="Century Gothic"/>
          <w:b/>
          <w:bCs/>
          <w:color w:val="000000" w:themeColor="text1"/>
          <w:sz w:val="23"/>
          <w:szCs w:val="23"/>
        </w:rPr>
        <w:t xml:space="preserve">REPONER </w:t>
      </w:r>
      <w:r w:rsidR="00F71EA8" w:rsidRPr="004E556E">
        <w:rPr>
          <w:rFonts w:ascii="Century Gothic" w:hAnsi="Century Gothic"/>
          <w:b/>
          <w:bCs/>
          <w:color w:val="000000" w:themeColor="text1"/>
          <w:sz w:val="23"/>
          <w:szCs w:val="23"/>
        </w:rPr>
        <w:t xml:space="preserve">parcialmente </w:t>
      </w:r>
      <w:r w:rsidRPr="004E556E">
        <w:rPr>
          <w:rFonts w:ascii="Century Gothic" w:hAnsi="Century Gothic"/>
          <w:color w:val="000000" w:themeColor="text1"/>
          <w:sz w:val="23"/>
          <w:szCs w:val="23"/>
        </w:rPr>
        <w:t xml:space="preserve">la decisión adoptada en auto de fecha </w:t>
      </w:r>
      <w:r w:rsidR="00F71EA8" w:rsidRPr="004E556E">
        <w:rPr>
          <w:rFonts w:ascii="Century Gothic" w:hAnsi="Century Gothic"/>
          <w:color w:val="000000" w:themeColor="text1"/>
          <w:sz w:val="23"/>
          <w:szCs w:val="23"/>
        </w:rPr>
        <w:t>10</w:t>
      </w:r>
      <w:r w:rsidRPr="004E556E">
        <w:rPr>
          <w:rFonts w:ascii="Century Gothic" w:hAnsi="Century Gothic"/>
          <w:color w:val="000000" w:themeColor="text1"/>
          <w:sz w:val="23"/>
          <w:szCs w:val="23"/>
        </w:rPr>
        <w:t xml:space="preserve"> de </w:t>
      </w:r>
      <w:r w:rsidR="00F71EA8" w:rsidRPr="004E556E">
        <w:rPr>
          <w:rFonts w:ascii="Century Gothic" w:hAnsi="Century Gothic"/>
          <w:color w:val="000000" w:themeColor="text1"/>
          <w:sz w:val="23"/>
          <w:szCs w:val="23"/>
        </w:rPr>
        <w:t>octubre</w:t>
      </w:r>
      <w:r w:rsidRPr="004E556E">
        <w:rPr>
          <w:rFonts w:ascii="Century Gothic" w:hAnsi="Century Gothic"/>
          <w:color w:val="000000" w:themeColor="text1"/>
          <w:sz w:val="23"/>
          <w:szCs w:val="23"/>
        </w:rPr>
        <w:t xml:space="preserve"> de 202</w:t>
      </w:r>
      <w:r w:rsidR="00F71EA8" w:rsidRPr="004E556E">
        <w:rPr>
          <w:rFonts w:ascii="Century Gothic" w:hAnsi="Century Gothic"/>
          <w:color w:val="000000" w:themeColor="text1"/>
          <w:sz w:val="23"/>
          <w:szCs w:val="23"/>
        </w:rPr>
        <w:t>2</w:t>
      </w:r>
      <w:r w:rsidRPr="004E556E">
        <w:rPr>
          <w:rFonts w:ascii="Century Gothic" w:hAnsi="Century Gothic" w:cs="Arial"/>
          <w:sz w:val="23"/>
          <w:szCs w:val="23"/>
        </w:rPr>
        <w:t>, conforme a lo indicado en precedencia.</w:t>
      </w:r>
    </w:p>
    <w:p w14:paraId="639BB7EC" w14:textId="77777777" w:rsidR="00BF76BF" w:rsidRPr="004E556E" w:rsidRDefault="00BF76BF" w:rsidP="004E556E">
      <w:pPr>
        <w:pStyle w:val="NormalWeb"/>
        <w:spacing w:before="0" w:beforeAutospacing="0" w:after="0" w:afterAutospacing="0" w:line="276" w:lineRule="auto"/>
        <w:jc w:val="both"/>
        <w:rPr>
          <w:rFonts w:ascii="Century Gothic" w:hAnsi="Century Gothic"/>
          <w:b/>
          <w:bCs/>
          <w:color w:val="000000" w:themeColor="text1"/>
          <w:sz w:val="23"/>
          <w:szCs w:val="23"/>
        </w:rPr>
      </w:pPr>
    </w:p>
    <w:p w14:paraId="1CE48D3C" w14:textId="77777777" w:rsidR="00096353" w:rsidRPr="004E556E" w:rsidRDefault="00BF76BF" w:rsidP="004E556E">
      <w:pPr>
        <w:pStyle w:val="NormalWeb"/>
        <w:spacing w:before="0" w:beforeAutospacing="0" w:after="0" w:afterAutospacing="0" w:line="276" w:lineRule="auto"/>
        <w:jc w:val="both"/>
        <w:rPr>
          <w:rFonts w:ascii="Century Gothic" w:hAnsi="Century Gothic"/>
          <w:color w:val="000000" w:themeColor="text1"/>
          <w:sz w:val="23"/>
          <w:szCs w:val="23"/>
        </w:rPr>
      </w:pPr>
      <w:r w:rsidRPr="004E556E">
        <w:rPr>
          <w:rFonts w:ascii="Century Gothic" w:hAnsi="Century Gothic" w:cs="Segoe UI"/>
          <w:b/>
          <w:bCs/>
          <w:sz w:val="23"/>
          <w:szCs w:val="23"/>
          <w:lang w:eastAsia="es-CO"/>
        </w:rPr>
        <w:t>SEGUNDO:</w:t>
      </w:r>
      <w:r w:rsidR="00FA2382" w:rsidRPr="004E556E">
        <w:rPr>
          <w:rFonts w:ascii="Century Gothic" w:hAnsi="Century Gothic" w:cs="Segoe UI"/>
          <w:b/>
          <w:bCs/>
          <w:sz w:val="23"/>
          <w:szCs w:val="23"/>
          <w:lang w:eastAsia="es-CO"/>
        </w:rPr>
        <w:tab/>
      </w:r>
      <w:r w:rsidRPr="004E556E">
        <w:rPr>
          <w:rFonts w:ascii="Century Gothic" w:hAnsi="Century Gothic"/>
          <w:b/>
          <w:bCs/>
          <w:color w:val="000000" w:themeColor="text1"/>
          <w:sz w:val="23"/>
          <w:szCs w:val="23"/>
        </w:rPr>
        <w:t>INCORPORAR</w:t>
      </w:r>
      <w:r w:rsidR="00F71EA8" w:rsidRPr="004E556E">
        <w:rPr>
          <w:rFonts w:ascii="Century Gothic" w:hAnsi="Century Gothic"/>
          <w:color w:val="000000" w:themeColor="text1"/>
          <w:sz w:val="23"/>
          <w:szCs w:val="23"/>
        </w:rPr>
        <w:t xml:space="preserve"> las pruebas documentales, puestas en conocimiento en auto del 10 de octubre de 2022.</w:t>
      </w:r>
    </w:p>
    <w:p w14:paraId="4848F6EC" w14:textId="77777777" w:rsidR="00096353" w:rsidRPr="004E556E" w:rsidRDefault="00096353" w:rsidP="004E556E">
      <w:pPr>
        <w:pStyle w:val="NormalWeb"/>
        <w:spacing w:before="0" w:beforeAutospacing="0" w:after="0" w:afterAutospacing="0" w:line="276" w:lineRule="auto"/>
        <w:jc w:val="both"/>
        <w:rPr>
          <w:rFonts w:ascii="Century Gothic" w:hAnsi="Century Gothic"/>
          <w:color w:val="000000" w:themeColor="text1"/>
          <w:sz w:val="23"/>
          <w:szCs w:val="23"/>
        </w:rPr>
      </w:pPr>
    </w:p>
    <w:p w14:paraId="5C072E45" w14:textId="77777777" w:rsidR="00096353" w:rsidRPr="004E556E" w:rsidRDefault="00BF76BF" w:rsidP="004E556E">
      <w:pPr>
        <w:pStyle w:val="NormalWeb"/>
        <w:spacing w:before="0" w:beforeAutospacing="0" w:after="0" w:afterAutospacing="0" w:line="276" w:lineRule="auto"/>
        <w:jc w:val="both"/>
        <w:rPr>
          <w:rFonts w:ascii="Century Gothic" w:hAnsi="Century Gothic"/>
          <w:sz w:val="23"/>
          <w:szCs w:val="23"/>
        </w:rPr>
      </w:pPr>
      <w:r w:rsidRPr="004E556E">
        <w:rPr>
          <w:rFonts w:ascii="Century Gothic" w:hAnsi="Century Gothic"/>
          <w:b/>
          <w:bCs/>
          <w:sz w:val="23"/>
          <w:szCs w:val="23"/>
        </w:rPr>
        <w:t>TERCERO:</w:t>
      </w:r>
      <w:r w:rsidR="00A471CB" w:rsidRPr="004E556E">
        <w:rPr>
          <w:rFonts w:ascii="Century Gothic" w:hAnsi="Century Gothic"/>
          <w:sz w:val="23"/>
          <w:szCs w:val="23"/>
        </w:rPr>
        <w:tab/>
      </w:r>
      <w:r w:rsidR="00F71EA8" w:rsidRPr="004E556E">
        <w:rPr>
          <w:rFonts w:ascii="Century Gothic" w:hAnsi="Century Gothic"/>
          <w:b/>
          <w:bCs/>
          <w:sz w:val="23"/>
          <w:szCs w:val="23"/>
        </w:rPr>
        <w:t xml:space="preserve">CORRER TRASLADO </w:t>
      </w:r>
      <w:r w:rsidR="00F71EA8" w:rsidRPr="004E556E">
        <w:rPr>
          <w:rFonts w:ascii="Century Gothic" w:hAnsi="Century Gothic"/>
          <w:sz w:val="23"/>
          <w:szCs w:val="23"/>
        </w:rPr>
        <w:t xml:space="preserve">de </w:t>
      </w:r>
      <w:r w:rsidR="00F71EA8" w:rsidRPr="004E556E">
        <w:rPr>
          <w:rFonts w:ascii="Century Gothic" w:hAnsi="Century Gothic"/>
          <w:bCs/>
          <w:sz w:val="23"/>
          <w:szCs w:val="23"/>
        </w:rPr>
        <w:t xml:space="preserve">las pruebas documentales referidas en la parte motiva de este auto, esto copia del expediente disciplinario y copia de la respuesta dada por el </w:t>
      </w:r>
      <w:r w:rsidR="00F71EA8" w:rsidRPr="004E556E">
        <w:rPr>
          <w:rFonts w:ascii="Century Gothic" w:hAnsi="Century Gothic"/>
          <w:sz w:val="23"/>
          <w:szCs w:val="23"/>
        </w:rPr>
        <w:t xml:space="preserve">Juzgado 63 de Instrucción Penal Militar. </w:t>
      </w:r>
    </w:p>
    <w:p w14:paraId="469F8992" w14:textId="77777777" w:rsidR="00096353" w:rsidRPr="004E556E" w:rsidRDefault="00096353" w:rsidP="004E556E">
      <w:pPr>
        <w:pStyle w:val="NormalWeb"/>
        <w:spacing w:before="0" w:beforeAutospacing="0" w:after="0" w:afterAutospacing="0" w:line="276" w:lineRule="auto"/>
        <w:jc w:val="both"/>
        <w:rPr>
          <w:rFonts w:ascii="Century Gothic" w:hAnsi="Century Gothic"/>
          <w:sz w:val="23"/>
          <w:szCs w:val="23"/>
        </w:rPr>
      </w:pPr>
    </w:p>
    <w:p w14:paraId="79D1253E" w14:textId="77777777" w:rsidR="00096353" w:rsidRPr="004E556E" w:rsidRDefault="00BF76BF" w:rsidP="004E556E">
      <w:pPr>
        <w:pStyle w:val="NormalWeb"/>
        <w:spacing w:before="0" w:beforeAutospacing="0" w:after="0" w:afterAutospacing="0" w:line="276" w:lineRule="auto"/>
        <w:jc w:val="both"/>
        <w:rPr>
          <w:rStyle w:val="eop"/>
          <w:rFonts w:ascii="Century Gothic" w:hAnsi="Century Gothic"/>
          <w:color w:val="000000"/>
          <w:sz w:val="23"/>
          <w:szCs w:val="23"/>
          <w:shd w:val="clear" w:color="auto" w:fill="FFFFFF"/>
        </w:rPr>
      </w:pPr>
      <w:r w:rsidRPr="004E556E">
        <w:rPr>
          <w:rFonts w:ascii="Century Gothic" w:hAnsi="Century Gothic"/>
          <w:b/>
          <w:bCs/>
          <w:sz w:val="23"/>
          <w:szCs w:val="23"/>
        </w:rPr>
        <w:t>CUARTO:</w:t>
      </w:r>
      <w:r w:rsidR="00A471CB" w:rsidRPr="004E556E">
        <w:rPr>
          <w:rFonts w:ascii="Century Gothic" w:hAnsi="Century Gothic"/>
          <w:sz w:val="23"/>
          <w:szCs w:val="23"/>
        </w:rPr>
        <w:tab/>
      </w:r>
      <w:r w:rsidR="00F71EA8" w:rsidRPr="004E556E">
        <w:rPr>
          <w:rStyle w:val="eop"/>
          <w:rFonts w:ascii="Century Gothic" w:hAnsi="Century Gothic"/>
          <w:color w:val="000000"/>
          <w:sz w:val="23"/>
          <w:szCs w:val="23"/>
          <w:shd w:val="clear" w:color="auto" w:fill="FFFFFF"/>
        </w:rPr>
        <w:t>De no existir solicitud adicional</w:t>
      </w:r>
      <w:r w:rsidR="00F71EA8" w:rsidRPr="004E556E">
        <w:rPr>
          <w:rStyle w:val="eop"/>
          <w:rFonts w:ascii="Century Gothic" w:hAnsi="Century Gothic"/>
          <w:b/>
          <w:bCs/>
          <w:color w:val="000000"/>
          <w:sz w:val="23"/>
          <w:szCs w:val="23"/>
          <w:shd w:val="clear" w:color="auto" w:fill="FFFFFF"/>
        </w:rPr>
        <w:t xml:space="preserve"> </w:t>
      </w:r>
      <w:r w:rsidR="00A471CB" w:rsidRPr="004E556E">
        <w:rPr>
          <w:rStyle w:val="eop"/>
          <w:rFonts w:ascii="Century Gothic" w:hAnsi="Century Gothic"/>
          <w:b/>
          <w:bCs/>
          <w:color w:val="000000"/>
          <w:sz w:val="23"/>
          <w:szCs w:val="23"/>
          <w:shd w:val="clear" w:color="auto" w:fill="FFFFFF"/>
        </w:rPr>
        <w:t>INGRESAR</w:t>
      </w:r>
      <w:r w:rsidR="00F71EA8" w:rsidRPr="004E556E">
        <w:rPr>
          <w:rStyle w:val="eop"/>
          <w:rFonts w:ascii="Century Gothic" w:hAnsi="Century Gothic"/>
          <w:color w:val="000000"/>
          <w:sz w:val="23"/>
          <w:szCs w:val="23"/>
          <w:shd w:val="clear" w:color="auto" w:fill="FFFFFF"/>
        </w:rPr>
        <w:t xml:space="preserve"> el expediente a fin de incorporar las pruebas previamente relacionadas y de ser el caso cerrar etapa probatoria.</w:t>
      </w:r>
    </w:p>
    <w:p w14:paraId="6926875A" w14:textId="77777777" w:rsidR="00096353" w:rsidRPr="004E556E" w:rsidRDefault="00096353" w:rsidP="004E556E">
      <w:pPr>
        <w:pStyle w:val="NormalWeb"/>
        <w:spacing w:before="0" w:beforeAutospacing="0" w:after="0" w:afterAutospacing="0" w:line="276" w:lineRule="auto"/>
        <w:jc w:val="both"/>
        <w:rPr>
          <w:rStyle w:val="eop"/>
          <w:rFonts w:ascii="Century Gothic" w:hAnsi="Century Gothic"/>
          <w:color w:val="000000"/>
          <w:sz w:val="23"/>
          <w:szCs w:val="23"/>
          <w:shd w:val="clear" w:color="auto" w:fill="FFFFFF"/>
        </w:rPr>
      </w:pPr>
    </w:p>
    <w:p w14:paraId="596B701A" w14:textId="77777777" w:rsidR="00096353" w:rsidRPr="004E556E" w:rsidRDefault="00F71EA8" w:rsidP="004E556E">
      <w:pPr>
        <w:pStyle w:val="NormalWeb"/>
        <w:spacing w:before="0" w:beforeAutospacing="0" w:after="0" w:afterAutospacing="0" w:line="276" w:lineRule="auto"/>
        <w:jc w:val="both"/>
        <w:rPr>
          <w:rFonts w:ascii="Century Gothic" w:hAnsi="Century Gothic"/>
          <w:sz w:val="23"/>
          <w:szCs w:val="23"/>
        </w:rPr>
      </w:pPr>
      <w:r w:rsidRPr="004E556E">
        <w:rPr>
          <w:rFonts w:ascii="Century Gothic" w:hAnsi="Century Gothic"/>
          <w:b/>
          <w:bCs/>
          <w:color w:val="000000" w:themeColor="text1"/>
          <w:sz w:val="23"/>
          <w:szCs w:val="23"/>
        </w:rPr>
        <w:t>QUINTO:</w:t>
      </w:r>
      <w:r w:rsidR="00A471CB" w:rsidRPr="004E556E">
        <w:rPr>
          <w:rFonts w:ascii="Century Gothic" w:hAnsi="Century Gothic"/>
          <w:b/>
          <w:bCs/>
          <w:color w:val="000000" w:themeColor="text1"/>
          <w:sz w:val="23"/>
          <w:szCs w:val="23"/>
        </w:rPr>
        <w:tab/>
      </w:r>
      <w:r w:rsidR="00A471CB" w:rsidRPr="004E556E">
        <w:rPr>
          <w:rFonts w:ascii="Century Gothic" w:hAnsi="Century Gothic"/>
          <w:b/>
          <w:bCs/>
          <w:sz w:val="23"/>
          <w:szCs w:val="23"/>
        </w:rPr>
        <w:t>ACEPTAR</w:t>
      </w:r>
      <w:r w:rsidR="003065DD" w:rsidRPr="004E556E">
        <w:rPr>
          <w:rFonts w:ascii="Century Gothic" w:hAnsi="Century Gothic"/>
          <w:sz w:val="23"/>
          <w:szCs w:val="23"/>
        </w:rPr>
        <w:t xml:space="preserve"> la renuncia al poder</w:t>
      </w:r>
      <w:r w:rsidR="005A5DEC" w:rsidRPr="004E556E">
        <w:rPr>
          <w:rFonts w:ascii="Century Gothic" w:hAnsi="Century Gothic"/>
          <w:sz w:val="23"/>
          <w:szCs w:val="23"/>
        </w:rPr>
        <w:t xml:space="preserve"> de representación de la demandada</w:t>
      </w:r>
      <w:r w:rsidR="003065DD" w:rsidRPr="004E556E">
        <w:rPr>
          <w:rFonts w:ascii="Century Gothic" w:hAnsi="Century Gothic"/>
          <w:sz w:val="23"/>
          <w:szCs w:val="23"/>
        </w:rPr>
        <w:t>, presentada por el abogado Omar Yamith Carvajal Bonilla, por cumplirse los requisitos del art. 7</w:t>
      </w:r>
      <w:r w:rsidR="00277343" w:rsidRPr="004E556E">
        <w:rPr>
          <w:rFonts w:ascii="Century Gothic" w:hAnsi="Century Gothic"/>
          <w:sz w:val="23"/>
          <w:szCs w:val="23"/>
        </w:rPr>
        <w:t>6</w:t>
      </w:r>
      <w:r w:rsidR="003065DD" w:rsidRPr="004E556E">
        <w:rPr>
          <w:rFonts w:ascii="Century Gothic" w:hAnsi="Century Gothic"/>
          <w:sz w:val="23"/>
          <w:szCs w:val="23"/>
        </w:rPr>
        <w:t xml:space="preserve"> del C.G.P</w:t>
      </w:r>
    </w:p>
    <w:p w14:paraId="04CB6719" w14:textId="77777777" w:rsidR="00096353" w:rsidRPr="004E556E" w:rsidRDefault="00096353" w:rsidP="004E556E">
      <w:pPr>
        <w:pStyle w:val="NormalWeb"/>
        <w:spacing w:before="0" w:beforeAutospacing="0" w:after="0" w:afterAutospacing="0" w:line="276" w:lineRule="auto"/>
        <w:jc w:val="both"/>
        <w:rPr>
          <w:rFonts w:ascii="Century Gothic" w:hAnsi="Century Gothic"/>
          <w:sz w:val="23"/>
          <w:szCs w:val="23"/>
        </w:rPr>
      </w:pPr>
    </w:p>
    <w:p w14:paraId="64C0F7D1" w14:textId="73ACBE73" w:rsidR="00096353" w:rsidRPr="004E556E" w:rsidRDefault="00F71EA8" w:rsidP="004E556E">
      <w:pPr>
        <w:pStyle w:val="NormalWeb"/>
        <w:spacing w:before="0" w:beforeAutospacing="0" w:after="0" w:afterAutospacing="0" w:line="276" w:lineRule="auto"/>
        <w:jc w:val="both"/>
        <w:rPr>
          <w:rFonts w:ascii="Century Gothic" w:hAnsi="Century Gothic"/>
          <w:sz w:val="23"/>
          <w:szCs w:val="23"/>
        </w:rPr>
      </w:pPr>
      <w:r w:rsidRPr="004E556E">
        <w:rPr>
          <w:rFonts w:ascii="Century Gothic" w:hAnsi="Century Gothic"/>
          <w:b/>
          <w:bCs/>
          <w:sz w:val="23"/>
          <w:szCs w:val="23"/>
        </w:rPr>
        <w:t>SEXTO</w:t>
      </w:r>
      <w:r w:rsidR="00BF76BF" w:rsidRPr="004E556E">
        <w:rPr>
          <w:rFonts w:ascii="Century Gothic" w:hAnsi="Century Gothic"/>
          <w:b/>
          <w:bCs/>
          <w:sz w:val="23"/>
          <w:szCs w:val="23"/>
        </w:rPr>
        <w:t>:</w:t>
      </w:r>
      <w:r w:rsidR="00096353" w:rsidRPr="004E556E">
        <w:rPr>
          <w:rFonts w:ascii="Century Gothic" w:hAnsi="Century Gothic"/>
          <w:sz w:val="23"/>
          <w:szCs w:val="23"/>
        </w:rPr>
        <w:tab/>
      </w:r>
      <w:r w:rsidR="007201EC" w:rsidRPr="004E556E">
        <w:rPr>
          <w:rFonts w:ascii="Century Gothic" w:hAnsi="Century Gothic"/>
          <w:b/>
          <w:bCs/>
          <w:sz w:val="23"/>
          <w:szCs w:val="23"/>
        </w:rPr>
        <w:t>RECONOCER</w:t>
      </w:r>
      <w:r w:rsidR="007201EC" w:rsidRPr="004E556E">
        <w:rPr>
          <w:rFonts w:ascii="Century Gothic" w:hAnsi="Century Gothic"/>
          <w:sz w:val="23"/>
          <w:szCs w:val="23"/>
        </w:rPr>
        <w:t xml:space="preserve"> </w:t>
      </w:r>
      <w:r w:rsidR="00BF76BF" w:rsidRPr="004E556E">
        <w:rPr>
          <w:rFonts w:ascii="Century Gothic" w:hAnsi="Century Gothic"/>
          <w:sz w:val="23"/>
          <w:szCs w:val="23"/>
        </w:rPr>
        <w:t>personería al abogado Cristian Alonso Montoya Lopera</w:t>
      </w:r>
      <w:r w:rsidR="007201EC" w:rsidRPr="004E556E">
        <w:rPr>
          <w:rFonts w:ascii="Century Gothic" w:hAnsi="Century Gothic"/>
          <w:sz w:val="23"/>
          <w:szCs w:val="23"/>
        </w:rPr>
        <w:t xml:space="preserve">, </w:t>
      </w:r>
      <w:r w:rsidR="00BF76BF" w:rsidRPr="004E556E">
        <w:rPr>
          <w:rFonts w:ascii="Century Gothic" w:hAnsi="Century Gothic"/>
          <w:sz w:val="23"/>
          <w:szCs w:val="23"/>
        </w:rPr>
        <w:t xml:space="preserve">como apoderado sustituto de la parte demandante, en los términos de la sustitución de poder allegada al expediente. </w:t>
      </w:r>
    </w:p>
    <w:p w14:paraId="63665F85" w14:textId="77777777" w:rsidR="00096353" w:rsidRPr="004E556E" w:rsidRDefault="00096353" w:rsidP="004E556E">
      <w:pPr>
        <w:pStyle w:val="NormalWeb"/>
        <w:spacing w:before="0" w:beforeAutospacing="0" w:after="0" w:afterAutospacing="0" w:line="276" w:lineRule="auto"/>
        <w:jc w:val="both"/>
        <w:rPr>
          <w:rFonts w:ascii="Century Gothic" w:hAnsi="Century Gothic"/>
          <w:sz w:val="23"/>
          <w:szCs w:val="23"/>
        </w:rPr>
      </w:pPr>
    </w:p>
    <w:p w14:paraId="7C638AF2" w14:textId="59EFE664" w:rsidR="00F71EA8" w:rsidRPr="004E556E" w:rsidRDefault="00F71EA8" w:rsidP="004E556E">
      <w:pPr>
        <w:pStyle w:val="NormalWeb"/>
        <w:spacing w:before="0" w:beforeAutospacing="0" w:after="0" w:afterAutospacing="0" w:line="276" w:lineRule="auto"/>
        <w:jc w:val="both"/>
        <w:rPr>
          <w:rFonts w:ascii="Century Gothic" w:hAnsi="Century Gothic"/>
          <w:color w:val="000000" w:themeColor="text1"/>
          <w:sz w:val="23"/>
          <w:szCs w:val="23"/>
        </w:rPr>
      </w:pPr>
      <w:r w:rsidRPr="004E556E">
        <w:rPr>
          <w:rFonts w:ascii="Century Gothic" w:hAnsi="Century Gothic"/>
          <w:b/>
          <w:bCs/>
          <w:sz w:val="23"/>
          <w:szCs w:val="23"/>
        </w:rPr>
        <w:t>SEPTIMO</w:t>
      </w:r>
      <w:r w:rsidRPr="004E556E">
        <w:rPr>
          <w:rFonts w:ascii="Century Gothic" w:hAnsi="Century Gothic"/>
          <w:sz w:val="23"/>
          <w:szCs w:val="23"/>
        </w:rPr>
        <w:t xml:space="preserve">:   </w:t>
      </w:r>
      <w:r w:rsidRPr="004E556E">
        <w:rPr>
          <w:rFonts w:ascii="Century Gothic" w:eastAsia="Century Gothic" w:hAnsi="Century Gothic" w:cs="Century Gothic"/>
          <w:b/>
          <w:bCs/>
          <w:color w:val="000000" w:themeColor="text1"/>
          <w:sz w:val="23"/>
          <w:szCs w:val="23"/>
        </w:rPr>
        <w:t xml:space="preserve">NOTIFICAR </w:t>
      </w:r>
      <w:r w:rsidRPr="004E556E">
        <w:rPr>
          <w:rFonts w:ascii="Century Gothic" w:eastAsia="Century Gothic" w:hAnsi="Century Gothic" w:cs="Century Gothic"/>
          <w:color w:val="000000" w:themeColor="text1"/>
          <w:sz w:val="23"/>
          <w:szCs w:val="23"/>
        </w:rPr>
        <w:t xml:space="preserve">por secretaría la presente decisión a las partes y al Ministerio Público conformidad con lo dispuesto en el artículo 201 de la Ley 1437 de 2011. </w:t>
      </w:r>
      <w:r w:rsidRPr="004E556E">
        <w:rPr>
          <w:rFonts w:ascii="Century Gothic" w:eastAsia="Century Gothic" w:hAnsi="Century Gothic" w:cs="Century Gothic"/>
          <w:sz w:val="23"/>
          <w:szCs w:val="23"/>
        </w:rPr>
        <w:t xml:space="preserve"> </w:t>
      </w:r>
    </w:p>
    <w:p w14:paraId="11D65E07" w14:textId="77777777" w:rsidR="00F71EA8" w:rsidRPr="004E556E" w:rsidRDefault="00F71EA8" w:rsidP="004E556E">
      <w:pPr>
        <w:spacing w:after="0" w:line="276" w:lineRule="auto"/>
        <w:jc w:val="both"/>
        <w:rPr>
          <w:rFonts w:ascii="Century Gothic" w:eastAsia="Century Gothic" w:hAnsi="Century Gothic" w:cs="Century Gothic"/>
          <w:sz w:val="23"/>
          <w:szCs w:val="23"/>
          <w:lang w:val="es-ES" w:eastAsia="es-CO"/>
        </w:rPr>
      </w:pPr>
    </w:p>
    <w:p w14:paraId="67E1EC9C" w14:textId="77777777" w:rsidR="00F71EA8" w:rsidRPr="004E556E" w:rsidRDefault="00F71EA8" w:rsidP="004E556E">
      <w:pPr>
        <w:spacing w:after="0" w:line="276" w:lineRule="auto"/>
        <w:jc w:val="both"/>
        <w:rPr>
          <w:rFonts w:ascii="Century Gothic" w:eastAsia="Century Gothic" w:hAnsi="Century Gothic" w:cs="Century Gothic"/>
          <w:b/>
          <w:bCs/>
          <w:sz w:val="23"/>
          <w:szCs w:val="23"/>
          <w:lang w:val="es-ES"/>
        </w:rPr>
      </w:pPr>
      <w:r w:rsidRPr="004E556E">
        <w:rPr>
          <w:rFonts w:ascii="Century Gothic" w:eastAsia="Century Gothic" w:hAnsi="Century Gothic" w:cs="Century Gothic"/>
          <w:b/>
          <w:bCs/>
          <w:sz w:val="23"/>
          <w:szCs w:val="23"/>
          <w:lang w:val="es-ES"/>
        </w:rPr>
        <w:t>NOTIFÍQUESE Y CÚMPLASE</w:t>
      </w:r>
    </w:p>
    <w:p w14:paraId="4DA5338A" w14:textId="77777777" w:rsidR="00F71EA8" w:rsidRDefault="00F71EA8" w:rsidP="004E556E">
      <w:pPr>
        <w:tabs>
          <w:tab w:val="left" w:pos="3720"/>
        </w:tabs>
        <w:spacing w:after="0" w:line="276" w:lineRule="auto"/>
        <w:rPr>
          <w:rFonts w:ascii="Century Gothic" w:eastAsia="Century Gothic" w:hAnsi="Century Gothic" w:cs="Century Gothic"/>
          <w:b/>
          <w:bCs/>
          <w:sz w:val="23"/>
          <w:szCs w:val="23"/>
          <w:lang w:val="es-ES"/>
        </w:rPr>
      </w:pPr>
    </w:p>
    <w:p w14:paraId="02D0E1D8" w14:textId="77777777" w:rsidR="004E556E" w:rsidRPr="004E556E" w:rsidRDefault="004E556E" w:rsidP="004E556E">
      <w:pPr>
        <w:tabs>
          <w:tab w:val="left" w:pos="3720"/>
        </w:tabs>
        <w:spacing w:after="0" w:line="276" w:lineRule="auto"/>
        <w:rPr>
          <w:rFonts w:ascii="Century Gothic" w:eastAsia="Century Gothic" w:hAnsi="Century Gothic" w:cs="Century Gothic"/>
          <w:b/>
          <w:bCs/>
          <w:sz w:val="23"/>
          <w:szCs w:val="23"/>
          <w:lang w:val="es-ES"/>
        </w:rPr>
      </w:pPr>
    </w:p>
    <w:p w14:paraId="55B72440" w14:textId="77777777" w:rsidR="00F71EA8" w:rsidRPr="004E556E" w:rsidRDefault="00F71EA8" w:rsidP="004E556E">
      <w:pPr>
        <w:tabs>
          <w:tab w:val="left" w:pos="3720"/>
        </w:tabs>
        <w:spacing w:after="0" w:line="276" w:lineRule="auto"/>
        <w:ind w:firstLine="708"/>
        <w:jc w:val="center"/>
        <w:rPr>
          <w:rFonts w:ascii="Century Gothic" w:eastAsia="Century Gothic" w:hAnsi="Century Gothic" w:cs="Century Gothic"/>
          <w:b/>
          <w:bCs/>
          <w:sz w:val="23"/>
          <w:szCs w:val="23"/>
          <w:lang w:val="es-ES"/>
        </w:rPr>
      </w:pPr>
      <w:r w:rsidRPr="004E556E">
        <w:rPr>
          <w:rFonts w:ascii="Century Gothic" w:eastAsia="Century Gothic" w:hAnsi="Century Gothic" w:cs="Century Gothic"/>
          <w:b/>
          <w:bCs/>
          <w:sz w:val="23"/>
          <w:szCs w:val="23"/>
          <w:lang w:val="es-ES"/>
        </w:rPr>
        <w:t>John Alexander Ceballos Gaviria</w:t>
      </w:r>
    </w:p>
    <w:p w14:paraId="6DF69366" w14:textId="77777777" w:rsidR="00F71EA8" w:rsidRPr="004E556E" w:rsidRDefault="00F71EA8" w:rsidP="004E556E">
      <w:pPr>
        <w:spacing w:after="0" w:line="276" w:lineRule="auto"/>
        <w:jc w:val="center"/>
        <w:rPr>
          <w:rFonts w:ascii="Century Gothic" w:eastAsia="Century Gothic" w:hAnsi="Century Gothic" w:cs="Century Gothic"/>
          <w:b/>
          <w:bCs/>
          <w:sz w:val="23"/>
          <w:szCs w:val="23"/>
          <w:lang w:val="es-ES"/>
        </w:rPr>
      </w:pPr>
      <w:r w:rsidRPr="004E556E">
        <w:rPr>
          <w:rFonts w:ascii="Century Gothic" w:eastAsia="Century Gothic" w:hAnsi="Century Gothic" w:cs="Century Gothic"/>
          <w:b/>
          <w:bCs/>
          <w:sz w:val="23"/>
          <w:szCs w:val="23"/>
          <w:lang w:val="es-ES"/>
        </w:rPr>
        <w:t>JUEZ</w:t>
      </w:r>
    </w:p>
    <w:p w14:paraId="27819C54" w14:textId="77777777" w:rsidR="00F71EA8" w:rsidRPr="009C4A1B" w:rsidRDefault="00F71EA8" w:rsidP="00F71EA8">
      <w:pPr>
        <w:spacing w:line="240" w:lineRule="auto"/>
        <w:rPr>
          <w:rFonts w:ascii="Century Gothic" w:eastAsia="Century Gothic" w:hAnsi="Century Gothic" w:cs="Century Gothic"/>
          <w:sz w:val="16"/>
          <w:szCs w:val="16"/>
          <w:lang w:val="es-ES"/>
        </w:rPr>
      </w:pPr>
      <w:r w:rsidRPr="009C4A1B">
        <w:rPr>
          <w:rFonts w:ascii="Century Gothic" w:eastAsia="Century Gothic" w:hAnsi="Century Gothic" w:cs="Century Gothic"/>
          <w:sz w:val="16"/>
          <w:szCs w:val="16"/>
          <w:lang w:val="es-ES"/>
        </w:rPr>
        <w:t>As</w:t>
      </w:r>
    </w:p>
    <w:p w14:paraId="5FA29CBB" w14:textId="77777777" w:rsidR="00F71EA8" w:rsidRPr="00BF76BF" w:rsidRDefault="00F71EA8" w:rsidP="00BD2A02">
      <w:pPr>
        <w:jc w:val="both"/>
        <w:rPr>
          <w:rFonts w:ascii="Century Gothic" w:hAnsi="Century Gothic"/>
          <w:lang w:val="es-ES"/>
        </w:rPr>
      </w:pPr>
    </w:p>
    <w:sectPr w:rsidR="00F71EA8" w:rsidRPr="00BF76BF" w:rsidSect="005975F3">
      <w:pgSz w:w="12240" w:h="18720" w:code="14"/>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FF7C12"/>
    <w:multiLevelType w:val="multilevel"/>
    <w:tmpl w:val="FD72CA48"/>
    <w:lvl w:ilvl="0">
      <w:start w:val="1"/>
      <w:numFmt w:val="upperRoman"/>
      <w:lvlText w:val="%1."/>
      <w:lvlJc w:val="left"/>
      <w:pPr>
        <w:ind w:left="1080" w:hanging="720"/>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061177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C15"/>
    <w:rsid w:val="000642E0"/>
    <w:rsid w:val="00096353"/>
    <w:rsid w:val="00277343"/>
    <w:rsid w:val="003065DD"/>
    <w:rsid w:val="00346E3B"/>
    <w:rsid w:val="003864D4"/>
    <w:rsid w:val="003D23AF"/>
    <w:rsid w:val="004D5674"/>
    <w:rsid w:val="004E556E"/>
    <w:rsid w:val="00527456"/>
    <w:rsid w:val="005975F3"/>
    <w:rsid w:val="005A5DEC"/>
    <w:rsid w:val="005C06FB"/>
    <w:rsid w:val="006F7516"/>
    <w:rsid w:val="00714C15"/>
    <w:rsid w:val="007201EC"/>
    <w:rsid w:val="00756413"/>
    <w:rsid w:val="007E10C0"/>
    <w:rsid w:val="008D1B23"/>
    <w:rsid w:val="009342E4"/>
    <w:rsid w:val="009D36B5"/>
    <w:rsid w:val="00A003E8"/>
    <w:rsid w:val="00A471CB"/>
    <w:rsid w:val="00AF1F06"/>
    <w:rsid w:val="00B70F36"/>
    <w:rsid w:val="00BD2A02"/>
    <w:rsid w:val="00BF76BF"/>
    <w:rsid w:val="00DB6EA3"/>
    <w:rsid w:val="00E85FD0"/>
    <w:rsid w:val="00F71EA8"/>
    <w:rsid w:val="00FA23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B19E1"/>
  <w15:chartTrackingRefBased/>
  <w15:docId w15:val="{DBB383A7-8B33-4BAA-9CB3-365F6B3E0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456"/>
  </w:style>
  <w:style w:type="paragraph" w:styleId="Ttulo1">
    <w:name w:val="heading 1"/>
    <w:basedOn w:val="Normal"/>
    <w:next w:val="Normal"/>
    <w:link w:val="Ttulo1Car"/>
    <w:uiPriority w:val="9"/>
    <w:qFormat/>
    <w:rsid w:val="00714C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14C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14C1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14C1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14C1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14C1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14C1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14C1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14C1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4C1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14C1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14C1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14C1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14C1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14C1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14C1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14C1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14C15"/>
    <w:rPr>
      <w:rFonts w:eastAsiaTheme="majorEastAsia" w:cstheme="majorBidi"/>
      <w:color w:val="272727" w:themeColor="text1" w:themeTint="D8"/>
    </w:rPr>
  </w:style>
  <w:style w:type="paragraph" w:styleId="Ttulo">
    <w:name w:val="Title"/>
    <w:basedOn w:val="Normal"/>
    <w:next w:val="Normal"/>
    <w:link w:val="TtuloCar"/>
    <w:uiPriority w:val="10"/>
    <w:qFormat/>
    <w:rsid w:val="00714C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14C1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14C1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14C1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14C15"/>
    <w:pPr>
      <w:spacing w:before="160"/>
      <w:jc w:val="center"/>
    </w:pPr>
    <w:rPr>
      <w:i/>
      <w:iCs/>
      <w:color w:val="404040" w:themeColor="text1" w:themeTint="BF"/>
    </w:rPr>
  </w:style>
  <w:style w:type="character" w:customStyle="1" w:styleId="CitaCar">
    <w:name w:val="Cita Car"/>
    <w:basedOn w:val="Fuentedeprrafopredeter"/>
    <w:link w:val="Cita"/>
    <w:uiPriority w:val="29"/>
    <w:rsid w:val="00714C15"/>
    <w:rPr>
      <w:i/>
      <w:iCs/>
      <w:color w:val="404040" w:themeColor="text1" w:themeTint="BF"/>
    </w:rPr>
  </w:style>
  <w:style w:type="paragraph" w:styleId="Prrafodelista">
    <w:name w:val="List Paragraph"/>
    <w:basedOn w:val="Normal"/>
    <w:uiPriority w:val="34"/>
    <w:qFormat/>
    <w:rsid w:val="00714C15"/>
    <w:pPr>
      <w:ind w:left="720"/>
      <w:contextualSpacing/>
    </w:pPr>
  </w:style>
  <w:style w:type="character" w:styleId="nfasisintenso">
    <w:name w:val="Intense Emphasis"/>
    <w:basedOn w:val="Fuentedeprrafopredeter"/>
    <w:uiPriority w:val="21"/>
    <w:qFormat/>
    <w:rsid w:val="00714C15"/>
    <w:rPr>
      <w:i/>
      <w:iCs/>
      <w:color w:val="0F4761" w:themeColor="accent1" w:themeShade="BF"/>
    </w:rPr>
  </w:style>
  <w:style w:type="paragraph" w:styleId="Citadestacada">
    <w:name w:val="Intense Quote"/>
    <w:basedOn w:val="Normal"/>
    <w:next w:val="Normal"/>
    <w:link w:val="CitadestacadaCar"/>
    <w:uiPriority w:val="30"/>
    <w:qFormat/>
    <w:rsid w:val="00714C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14C15"/>
    <w:rPr>
      <w:i/>
      <w:iCs/>
      <w:color w:val="0F4761" w:themeColor="accent1" w:themeShade="BF"/>
    </w:rPr>
  </w:style>
  <w:style w:type="character" w:styleId="Referenciaintensa">
    <w:name w:val="Intense Reference"/>
    <w:basedOn w:val="Fuentedeprrafopredeter"/>
    <w:uiPriority w:val="32"/>
    <w:qFormat/>
    <w:rsid w:val="00714C15"/>
    <w:rPr>
      <w:b/>
      <w:bCs/>
      <w:smallCaps/>
      <w:color w:val="0F4761" w:themeColor="accent1" w:themeShade="BF"/>
      <w:spacing w:val="5"/>
    </w:rPr>
  </w:style>
  <w:style w:type="paragraph" w:styleId="Textoindependiente2">
    <w:name w:val="Body Text 2"/>
    <w:basedOn w:val="Normal"/>
    <w:link w:val="Textoindependiente2Car"/>
    <w:uiPriority w:val="99"/>
    <w:unhideWhenUsed/>
    <w:rsid w:val="00527456"/>
    <w:pPr>
      <w:spacing w:after="120" w:line="480" w:lineRule="auto"/>
    </w:pPr>
    <w:rPr>
      <w:rFonts w:ascii="Times New Roman" w:eastAsia="Times New Roman" w:hAnsi="Times New Roman" w:cs="Times New Roman"/>
      <w:kern w:val="0"/>
      <w:sz w:val="20"/>
      <w:szCs w:val="20"/>
      <w:lang w:val="es-ES" w:eastAsia="es-ES"/>
      <w14:ligatures w14:val="none"/>
    </w:rPr>
  </w:style>
  <w:style w:type="character" w:customStyle="1" w:styleId="Textoindependiente2Car">
    <w:name w:val="Texto independiente 2 Car"/>
    <w:basedOn w:val="Fuentedeprrafopredeter"/>
    <w:link w:val="Textoindependiente2"/>
    <w:uiPriority w:val="99"/>
    <w:rsid w:val="00527456"/>
    <w:rPr>
      <w:rFonts w:ascii="Times New Roman" w:eastAsia="Times New Roman" w:hAnsi="Times New Roman" w:cs="Times New Roman"/>
      <w:kern w:val="0"/>
      <w:sz w:val="20"/>
      <w:szCs w:val="20"/>
      <w:lang w:val="es-ES" w:eastAsia="es-ES"/>
      <w14:ligatures w14:val="none"/>
    </w:rPr>
  </w:style>
  <w:style w:type="character" w:customStyle="1" w:styleId="normaltextrun">
    <w:name w:val="normaltextrun"/>
    <w:basedOn w:val="Fuentedeprrafopredeter"/>
    <w:rsid w:val="00BF76BF"/>
  </w:style>
  <w:style w:type="paragraph" w:customStyle="1" w:styleId="paragraph">
    <w:name w:val="paragraph"/>
    <w:basedOn w:val="Normal"/>
    <w:rsid w:val="00BF76BF"/>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eop">
    <w:name w:val="eop"/>
    <w:rsid w:val="00BF76BF"/>
  </w:style>
  <w:style w:type="character" w:customStyle="1" w:styleId="tabchar">
    <w:name w:val="tabchar"/>
    <w:basedOn w:val="Fuentedeprrafopredeter"/>
    <w:rsid w:val="00BF76BF"/>
  </w:style>
  <w:style w:type="paragraph" w:styleId="NormalWeb">
    <w:name w:val="Normal (Web)"/>
    <w:basedOn w:val="Normal"/>
    <w:uiPriority w:val="99"/>
    <w:unhideWhenUsed/>
    <w:rsid w:val="00BF76B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BAC497-6CF0-4F16-828C-4117D33BC3F0}">
  <ds:schemaRefs>
    <ds:schemaRef ds:uri="http://schemas.microsoft.com/sharepoint/v3/contenttype/forms"/>
  </ds:schemaRefs>
</ds:datastoreItem>
</file>

<file path=customXml/itemProps2.xml><?xml version="1.0" encoding="utf-8"?>
<ds:datastoreItem xmlns:ds="http://schemas.openxmlformats.org/officeDocument/2006/customXml" ds:itemID="{7DCA1CC4-4739-4C0A-8912-E1585AE874FA}">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3.xml><?xml version="1.0" encoding="utf-8"?>
<ds:datastoreItem xmlns:ds="http://schemas.openxmlformats.org/officeDocument/2006/customXml" ds:itemID="{D82EC418-0D3C-4114-9899-BB1F118EE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864</Words>
  <Characters>4756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jacegav@hotmail.com</cp:lastModifiedBy>
  <cp:revision>21</cp:revision>
  <dcterms:created xsi:type="dcterms:W3CDTF">2024-05-20T14:58:00Z</dcterms:created>
  <dcterms:modified xsi:type="dcterms:W3CDTF">2024-05-21T18:28:00Z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