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AF18C" w14:textId="77777777" w:rsidR="005055EE" w:rsidRPr="009C4A1B" w:rsidRDefault="005055EE" w:rsidP="005055EE">
      <w:pPr>
        <w:spacing w:after="0" w:line="240" w:lineRule="auto"/>
        <w:jc w:val="both"/>
        <w:rPr>
          <w:rFonts w:ascii="Arial" w:hAnsi="Arial" w:cs="Arial"/>
          <w:lang w:val="es-ES"/>
        </w:rPr>
      </w:pPr>
    </w:p>
    <w:p w14:paraId="5810A076" w14:textId="57F1743E" w:rsidR="005055EE" w:rsidRPr="009F0F3F" w:rsidRDefault="005055EE" w:rsidP="009F0F3F">
      <w:pPr>
        <w:tabs>
          <w:tab w:val="center" w:pos="3985"/>
        </w:tabs>
        <w:suppressAutoHyphens/>
        <w:spacing w:line="240" w:lineRule="auto"/>
        <w:jc w:val="center"/>
        <w:rPr>
          <w:rFonts w:ascii="Century Gothic" w:hAnsi="Century Gothic" w:cs="Arial"/>
          <w:b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C4A1B">
        <w:rPr>
          <w:rFonts w:ascii="Century Gothic" w:hAnsi="Century Gothic" w:cs="Arial"/>
          <w:b/>
          <w:noProof/>
          <w:lang w:val="es-ES" w:eastAsia="es-C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59264" behindDoc="0" locked="0" layoutInCell="1" allowOverlap="1" wp14:anchorId="6CE8C983" wp14:editId="3987A392">
            <wp:simplePos x="0" y="0"/>
            <wp:positionH relativeFrom="margin">
              <wp:posOffset>-95250</wp:posOffset>
            </wp:positionH>
            <wp:positionV relativeFrom="paragraph">
              <wp:posOffset>1270</wp:posOffset>
            </wp:positionV>
            <wp:extent cx="2438400" cy="638175"/>
            <wp:effectExtent l="0" t="0" r="0" b="9525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4A1B">
        <w:rPr>
          <w:rFonts w:ascii="Century Gothic" w:hAnsi="Century Gothic" w:cs="Arial"/>
          <w:b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JUZGADO SESENTA Y CUATRO (64) ADMINISTRATIVO DE ORALIDAD DEL CIRCUITO JUDICIAL DE BOGOTÁ - SECCIÓN TERCERA</w:t>
      </w:r>
    </w:p>
    <w:p w14:paraId="10E8B752" w14:textId="77777777" w:rsidR="005055EE" w:rsidRPr="009C4A1B" w:rsidRDefault="005055EE" w:rsidP="00534D8F">
      <w:pPr>
        <w:suppressAutoHyphens/>
        <w:spacing w:after="0" w:line="276" w:lineRule="auto"/>
        <w:rPr>
          <w:rFonts w:ascii="Century Gothic" w:hAnsi="Century Gothic"/>
          <w:spacing w:val="-3"/>
          <w:lang w:val="es-ES"/>
        </w:rPr>
      </w:pPr>
      <w:r w:rsidRPr="009C4A1B">
        <w:rPr>
          <w:rFonts w:ascii="Century Gothic" w:hAnsi="Century Gothic"/>
          <w:lang w:val="es-ES"/>
        </w:rPr>
        <w:t xml:space="preserve">  </w:t>
      </w:r>
    </w:p>
    <w:p w14:paraId="4ACD8035" w14:textId="77777777" w:rsidR="005055EE" w:rsidRDefault="005055EE" w:rsidP="00534D8F">
      <w:pPr>
        <w:suppressAutoHyphens/>
        <w:spacing w:after="0" w:line="276" w:lineRule="auto"/>
        <w:rPr>
          <w:rFonts w:ascii="Century Gothic" w:eastAsia="Century Gothic" w:hAnsi="Century Gothic" w:cs="Century Gothic"/>
          <w:spacing w:val="-3"/>
          <w:lang w:val="es-ES"/>
        </w:rPr>
      </w:pPr>
      <w:r w:rsidRPr="009C4A1B">
        <w:rPr>
          <w:rFonts w:ascii="Century Gothic" w:eastAsia="Century Gothic" w:hAnsi="Century Gothic" w:cs="Century Gothic"/>
          <w:spacing w:val="-3"/>
          <w:lang w:val="es-ES"/>
        </w:rPr>
        <w:t xml:space="preserve">Bogotá D.C, </w:t>
      </w:r>
      <w:r>
        <w:rPr>
          <w:rFonts w:ascii="Century Gothic" w:eastAsia="Century Gothic" w:hAnsi="Century Gothic" w:cs="Century Gothic"/>
          <w:spacing w:val="-3"/>
          <w:lang w:val="es-ES"/>
        </w:rPr>
        <w:t>veintidós</w:t>
      </w:r>
      <w:r w:rsidRPr="009C4A1B">
        <w:rPr>
          <w:rFonts w:ascii="Century Gothic" w:eastAsia="Century Gothic" w:hAnsi="Century Gothic" w:cs="Century Gothic"/>
          <w:spacing w:val="-3"/>
          <w:lang w:val="es-ES"/>
        </w:rPr>
        <w:t xml:space="preserve"> (</w:t>
      </w:r>
      <w:r>
        <w:rPr>
          <w:rFonts w:ascii="Century Gothic" w:eastAsia="Century Gothic" w:hAnsi="Century Gothic" w:cs="Century Gothic"/>
          <w:spacing w:val="-3"/>
          <w:lang w:val="es-ES"/>
        </w:rPr>
        <w:t>22</w:t>
      </w:r>
      <w:r w:rsidRPr="009C4A1B">
        <w:rPr>
          <w:rFonts w:ascii="Century Gothic" w:eastAsia="Century Gothic" w:hAnsi="Century Gothic" w:cs="Century Gothic"/>
          <w:spacing w:val="-3"/>
          <w:lang w:val="es-ES"/>
        </w:rPr>
        <w:t>) de Mayo de dos mil veinticuatro (2024)</w:t>
      </w:r>
    </w:p>
    <w:p w14:paraId="7BD33996" w14:textId="77777777" w:rsidR="009F0F3F" w:rsidRPr="009C4A1B" w:rsidRDefault="009F0F3F" w:rsidP="00534D8F">
      <w:pPr>
        <w:suppressAutoHyphens/>
        <w:spacing w:after="0" w:line="276" w:lineRule="auto"/>
        <w:rPr>
          <w:rFonts w:ascii="Century Gothic" w:eastAsia="Century Gothic" w:hAnsi="Century Gothic" w:cs="Century Gothic"/>
          <w:spacing w:val="-3"/>
          <w:lang w:val="es-ES"/>
        </w:rPr>
      </w:pP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3"/>
        <w:gridCol w:w="6658"/>
      </w:tblGrid>
      <w:tr w:rsidR="005055EE" w:rsidRPr="009C4A1B" w14:paraId="7FCAEA6B" w14:textId="77777777" w:rsidTr="002E465C">
        <w:trPr>
          <w:trHeight w:val="374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4CAB" w14:textId="77777777" w:rsidR="005055EE" w:rsidRPr="009C4A1B" w:rsidRDefault="005055EE" w:rsidP="00534D8F">
            <w:pPr>
              <w:suppressAutoHyphens/>
              <w:spacing w:after="0" w:line="276" w:lineRule="auto"/>
              <w:jc w:val="both"/>
              <w:rPr>
                <w:rFonts w:ascii="Century Gothic" w:eastAsia="Century Gothic" w:hAnsi="Century Gothic" w:cs="Century Gothic"/>
                <w:b/>
                <w:bCs/>
                <w:spacing w:val="-3"/>
                <w:lang w:val="es-ES"/>
              </w:rPr>
            </w:pPr>
            <w:r w:rsidRPr="009C4A1B">
              <w:rPr>
                <w:rFonts w:ascii="Century Gothic" w:eastAsia="Century Gothic" w:hAnsi="Century Gothic" w:cs="Century Gothic"/>
                <w:b/>
                <w:bCs/>
                <w:spacing w:val="-3"/>
                <w:lang w:val="es-ES"/>
              </w:rPr>
              <w:t xml:space="preserve">Juez 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06AC" w14:textId="77777777" w:rsidR="005055EE" w:rsidRPr="009C4A1B" w:rsidRDefault="005055EE" w:rsidP="00534D8F">
            <w:pPr>
              <w:suppressAutoHyphens/>
              <w:spacing w:after="0" w:line="276" w:lineRule="auto"/>
              <w:jc w:val="both"/>
              <w:rPr>
                <w:rFonts w:ascii="Century Gothic" w:eastAsia="Century Gothic" w:hAnsi="Century Gothic" w:cs="Century Gothic"/>
                <w:spacing w:val="-3"/>
                <w:lang w:val="es-ES"/>
              </w:rPr>
            </w:pPr>
            <w:r w:rsidRPr="009C4A1B">
              <w:rPr>
                <w:rFonts w:ascii="Century Gothic" w:eastAsia="Century Gothic" w:hAnsi="Century Gothic" w:cs="Century Gothic"/>
                <w:spacing w:val="-3"/>
                <w:lang w:val="es-ES"/>
              </w:rPr>
              <w:t>John Alexander Ceballos Gaviria</w:t>
            </w:r>
          </w:p>
        </w:tc>
      </w:tr>
      <w:tr w:rsidR="005055EE" w:rsidRPr="009C4A1B" w14:paraId="6A164AE9" w14:textId="77777777" w:rsidTr="002E465C">
        <w:trPr>
          <w:trHeight w:val="224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077B" w14:textId="77777777" w:rsidR="005055EE" w:rsidRPr="009C4A1B" w:rsidRDefault="005055EE" w:rsidP="00534D8F">
            <w:pPr>
              <w:suppressAutoHyphens/>
              <w:spacing w:after="0" w:line="276" w:lineRule="auto"/>
              <w:jc w:val="both"/>
              <w:rPr>
                <w:rFonts w:ascii="Century Gothic" w:eastAsia="Century Gothic" w:hAnsi="Century Gothic" w:cs="Century Gothic"/>
                <w:b/>
                <w:bCs/>
                <w:spacing w:val="-3"/>
                <w:lang w:val="es-ES"/>
              </w:rPr>
            </w:pPr>
            <w:r w:rsidRPr="009C4A1B">
              <w:rPr>
                <w:rFonts w:ascii="Century Gothic" w:eastAsia="Century Gothic" w:hAnsi="Century Gothic" w:cs="Century Gothic"/>
                <w:b/>
                <w:bCs/>
                <w:spacing w:val="-3"/>
                <w:lang w:val="es-ES"/>
              </w:rPr>
              <w:t>Medio de Control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AFDA" w14:textId="77777777" w:rsidR="005055EE" w:rsidRPr="009C4A1B" w:rsidRDefault="005055EE" w:rsidP="00534D8F">
            <w:pPr>
              <w:suppressAutoHyphens/>
              <w:spacing w:after="0" w:line="276" w:lineRule="auto"/>
              <w:jc w:val="both"/>
              <w:rPr>
                <w:rFonts w:ascii="Century Gothic" w:eastAsia="Century Gothic" w:hAnsi="Century Gothic" w:cs="Century Gothic"/>
                <w:spacing w:val="-3"/>
                <w:lang w:val="es-ES"/>
              </w:rPr>
            </w:pPr>
            <w:r w:rsidRPr="009C4A1B">
              <w:rPr>
                <w:rFonts w:ascii="Century Gothic" w:eastAsia="Century Gothic" w:hAnsi="Century Gothic" w:cs="Century Gothic"/>
                <w:spacing w:val="-3"/>
                <w:lang w:val="es-ES"/>
              </w:rPr>
              <w:t>Reparación Directa</w:t>
            </w:r>
          </w:p>
        </w:tc>
      </w:tr>
      <w:tr w:rsidR="005055EE" w:rsidRPr="009C4A1B" w14:paraId="02C34964" w14:textId="77777777" w:rsidTr="002E465C">
        <w:trPr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AB47" w14:textId="77777777" w:rsidR="005055EE" w:rsidRPr="009C4A1B" w:rsidRDefault="005055EE" w:rsidP="00534D8F">
            <w:pPr>
              <w:suppressAutoHyphens/>
              <w:spacing w:after="0" w:line="276" w:lineRule="auto"/>
              <w:jc w:val="both"/>
              <w:rPr>
                <w:rFonts w:ascii="Century Gothic" w:eastAsia="Century Gothic" w:hAnsi="Century Gothic" w:cs="Century Gothic"/>
                <w:b/>
                <w:bCs/>
                <w:spacing w:val="-3"/>
                <w:lang w:val="es-ES"/>
              </w:rPr>
            </w:pPr>
            <w:r w:rsidRPr="009C4A1B">
              <w:rPr>
                <w:rFonts w:ascii="Century Gothic" w:eastAsia="Century Gothic" w:hAnsi="Century Gothic" w:cs="Century Gothic"/>
                <w:b/>
                <w:bCs/>
                <w:spacing w:val="-3"/>
                <w:lang w:val="es-ES"/>
              </w:rPr>
              <w:t>Ref. Expediente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AC72" w14:textId="5ACD70C1" w:rsidR="005055EE" w:rsidRPr="009C4A1B" w:rsidRDefault="005055EE" w:rsidP="00534D8F">
            <w:pPr>
              <w:suppressAutoHyphens/>
              <w:spacing w:after="0" w:line="276" w:lineRule="auto"/>
              <w:jc w:val="both"/>
              <w:rPr>
                <w:rFonts w:ascii="Century Gothic" w:eastAsia="Century Gothic" w:hAnsi="Century Gothic" w:cs="Century Gothic"/>
                <w:b/>
                <w:bCs/>
                <w:spacing w:val="-3"/>
                <w:lang w:val="es-ES"/>
              </w:rPr>
            </w:pPr>
            <w:r w:rsidRPr="009C4A1B">
              <w:rPr>
                <w:rFonts w:ascii="Century Gothic" w:eastAsia="Century Gothic" w:hAnsi="Century Gothic" w:cs="Century Gothic"/>
                <w:b/>
                <w:bCs/>
                <w:spacing w:val="-3"/>
                <w:lang w:val="es-ES"/>
              </w:rPr>
              <w:t>110013343064-20</w:t>
            </w:r>
            <w:r>
              <w:rPr>
                <w:rFonts w:ascii="Century Gothic" w:eastAsia="Century Gothic" w:hAnsi="Century Gothic" w:cs="Century Gothic"/>
                <w:b/>
                <w:bCs/>
                <w:spacing w:val="-3"/>
                <w:lang w:val="es-ES"/>
              </w:rPr>
              <w:t>20</w:t>
            </w:r>
            <w:r w:rsidRPr="009C4A1B">
              <w:rPr>
                <w:rFonts w:ascii="Century Gothic" w:eastAsia="Century Gothic" w:hAnsi="Century Gothic" w:cs="Century Gothic"/>
                <w:b/>
                <w:bCs/>
                <w:spacing w:val="-3"/>
                <w:lang w:val="es-ES"/>
              </w:rPr>
              <w:t>-00</w:t>
            </w:r>
            <w:r>
              <w:rPr>
                <w:rFonts w:ascii="Century Gothic" w:eastAsia="Century Gothic" w:hAnsi="Century Gothic" w:cs="Century Gothic"/>
                <w:b/>
                <w:bCs/>
                <w:spacing w:val="-3"/>
                <w:lang w:val="es-ES"/>
              </w:rPr>
              <w:t>047</w:t>
            </w:r>
            <w:r w:rsidRPr="009C4A1B">
              <w:rPr>
                <w:rFonts w:ascii="Century Gothic" w:eastAsia="Century Gothic" w:hAnsi="Century Gothic" w:cs="Century Gothic"/>
                <w:b/>
                <w:bCs/>
                <w:spacing w:val="-3"/>
                <w:lang w:val="es-ES"/>
              </w:rPr>
              <w:t>-00</w:t>
            </w:r>
          </w:p>
        </w:tc>
      </w:tr>
      <w:tr w:rsidR="005055EE" w:rsidRPr="00DC1FCE" w14:paraId="2F9E9739" w14:textId="77777777" w:rsidTr="002E465C">
        <w:trPr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28BE" w14:textId="77777777" w:rsidR="005055EE" w:rsidRPr="009C4A1B" w:rsidRDefault="005055EE" w:rsidP="00534D8F">
            <w:pPr>
              <w:suppressAutoHyphens/>
              <w:spacing w:after="0" w:line="276" w:lineRule="auto"/>
              <w:jc w:val="both"/>
              <w:rPr>
                <w:rFonts w:ascii="Century Gothic" w:eastAsia="Century Gothic" w:hAnsi="Century Gothic" w:cs="Century Gothic"/>
                <w:b/>
                <w:bCs/>
                <w:spacing w:val="-3"/>
                <w:lang w:val="es-ES"/>
              </w:rPr>
            </w:pPr>
            <w:r w:rsidRPr="009C4A1B">
              <w:rPr>
                <w:rFonts w:ascii="Century Gothic" w:eastAsia="Century Gothic" w:hAnsi="Century Gothic" w:cs="Century Gothic"/>
                <w:b/>
                <w:bCs/>
                <w:spacing w:val="-3"/>
                <w:lang w:val="es-ES"/>
              </w:rPr>
              <w:t>Demandante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C955" w14:textId="4D6C7724" w:rsidR="005055EE" w:rsidRPr="009C4A1B" w:rsidRDefault="005055EE" w:rsidP="00534D8F">
            <w:pPr>
              <w:suppressAutoHyphens/>
              <w:spacing w:after="0" w:line="276" w:lineRule="auto"/>
              <w:jc w:val="both"/>
              <w:rPr>
                <w:rFonts w:ascii="Century Gothic" w:eastAsia="Century Gothic" w:hAnsi="Century Gothic" w:cs="Century Gothic"/>
                <w:spacing w:val="-3"/>
                <w:lang w:val="es-ES"/>
              </w:rPr>
            </w:pPr>
            <w:r>
              <w:rPr>
                <w:rFonts w:ascii="Century Gothic" w:eastAsia="Century Gothic" w:hAnsi="Century Gothic" w:cs="Century Gothic"/>
                <w:spacing w:val="-3"/>
                <w:lang w:val="es-ES"/>
              </w:rPr>
              <w:t xml:space="preserve">Walter Andrés </w:t>
            </w:r>
            <w:proofErr w:type="spellStart"/>
            <w:r>
              <w:rPr>
                <w:rFonts w:ascii="Century Gothic" w:eastAsia="Century Gothic" w:hAnsi="Century Gothic" w:cs="Century Gothic"/>
                <w:spacing w:val="-3"/>
                <w:lang w:val="es-ES"/>
              </w:rPr>
              <w:t>A</w:t>
            </w:r>
            <w:r w:rsidR="00D9044B">
              <w:rPr>
                <w:rFonts w:ascii="Century Gothic" w:eastAsia="Century Gothic" w:hAnsi="Century Gothic" w:cs="Century Gothic"/>
                <w:spacing w:val="-3"/>
                <w:lang w:val="es-ES"/>
              </w:rPr>
              <w:t>nt</w:t>
            </w:r>
            <w:proofErr w:type="spellEnd"/>
            <w:r>
              <w:rPr>
                <w:rFonts w:ascii="Century Gothic" w:eastAsia="Century Gothic" w:hAnsi="Century Gothic" w:cs="Century Gothic"/>
                <w:spacing w:val="-3"/>
                <w:lang w:val="es-ES"/>
              </w:rPr>
              <w:t xml:space="preserve"> Silva y Otros. </w:t>
            </w:r>
          </w:p>
        </w:tc>
      </w:tr>
      <w:tr w:rsidR="005055EE" w:rsidRPr="00DC1FCE" w14:paraId="60B33A1A" w14:textId="77777777" w:rsidTr="002E465C">
        <w:trPr>
          <w:trHeight w:val="215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3B46" w14:textId="77777777" w:rsidR="005055EE" w:rsidRPr="009C4A1B" w:rsidRDefault="005055EE" w:rsidP="00534D8F">
            <w:pPr>
              <w:suppressAutoHyphens/>
              <w:spacing w:after="0" w:line="276" w:lineRule="auto"/>
              <w:jc w:val="both"/>
              <w:rPr>
                <w:rFonts w:ascii="Century Gothic" w:eastAsia="Century Gothic" w:hAnsi="Century Gothic" w:cs="Century Gothic"/>
                <w:b/>
                <w:bCs/>
                <w:spacing w:val="-3"/>
                <w:lang w:val="es-ES"/>
              </w:rPr>
            </w:pPr>
            <w:r w:rsidRPr="009C4A1B">
              <w:rPr>
                <w:rFonts w:ascii="Century Gothic" w:eastAsia="Century Gothic" w:hAnsi="Century Gothic" w:cs="Century Gothic"/>
                <w:b/>
                <w:bCs/>
                <w:spacing w:val="-3"/>
                <w:lang w:val="es-ES"/>
              </w:rPr>
              <w:t>Demandado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D6E7" w14:textId="057DD4FB" w:rsidR="005055EE" w:rsidRPr="009C4A1B" w:rsidRDefault="005055EE" w:rsidP="00534D8F">
            <w:pPr>
              <w:suppressAutoHyphens/>
              <w:spacing w:after="0" w:line="276" w:lineRule="auto"/>
              <w:jc w:val="both"/>
              <w:rPr>
                <w:rFonts w:ascii="Century Gothic" w:eastAsia="Century Gothic" w:hAnsi="Century Gothic" w:cs="Century Gothic"/>
                <w:spacing w:val="-3"/>
                <w:lang w:val="es-ES"/>
              </w:rPr>
            </w:pPr>
            <w:r>
              <w:rPr>
                <w:rFonts w:ascii="Century Gothic" w:eastAsia="Century Gothic" w:hAnsi="Century Gothic" w:cs="Century Gothic"/>
                <w:spacing w:val="-3"/>
                <w:lang w:val="es-ES"/>
              </w:rPr>
              <w:t xml:space="preserve">Nación – Ministerio de Defensa – Ejército Nacional. </w:t>
            </w:r>
          </w:p>
        </w:tc>
      </w:tr>
    </w:tbl>
    <w:p w14:paraId="56C8DDA5" w14:textId="77777777" w:rsidR="005055EE" w:rsidRPr="009C4A1B" w:rsidRDefault="005055EE" w:rsidP="00534D8F">
      <w:pPr>
        <w:spacing w:after="0" w:line="276" w:lineRule="auto"/>
        <w:rPr>
          <w:rFonts w:ascii="Century Gothic" w:eastAsia="Century Gothic" w:hAnsi="Century Gothic" w:cs="Century Gothic"/>
          <w:lang w:val="es-ES"/>
        </w:rPr>
      </w:pPr>
    </w:p>
    <w:p w14:paraId="72EBF9DA" w14:textId="77777777" w:rsidR="005055EE" w:rsidRPr="009C4A1B" w:rsidRDefault="005055EE" w:rsidP="00534D8F">
      <w:pPr>
        <w:pStyle w:val="Sangradetextonormal"/>
        <w:tabs>
          <w:tab w:val="left" w:pos="142"/>
          <w:tab w:val="left" w:pos="6615"/>
        </w:tabs>
        <w:spacing w:after="0" w:line="276" w:lineRule="auto"/>
        <w:ind w:right="-84"/>
        <w:jc w:val="center"/>
        <w:rPr>
          <w:rFonts w:ascii="Century Gothic" w:hAnsi="Century Gothic" w:cs="Arial"/>
          <w:b/>
          <w:bCs/>
          <w:color w:val="000000" w:themeColor="text1"/>
          <w:sz w:val="23"/>
          <w:szCs w:val="23"/>
          <w:u w:val="single"/>
        </w:rPr>
      </w:pPr>
      <w:r>
        <w:rPr>
          <w:rFonts w:ascii="Century Gothic" w:hAnsi="Century Gothic" w:cs="Arial"/>
          <w:b/>
          <w:bCs/>
          <w:color w:val="000000" w:themeColor="text1"/>
          <w:sz w:val="23"/>
          <w:szCs w:val="23"/>
          <w:u w:val="single"/>
        </w:rPr>
        <w:t xml:space="preserve">CIERRA INCIDENTE - </w:t>
      </w:r>
      <w:r w:rsidRPr="009C4A1B">
        <w:rPr>
          <w:rFonts w:ascii="Century Gothic" w:hAnsi="Century Gothic" w:cs="Arial"/>
          <w:b/>
          <w:bCs/>
          <w:color w:val="000000" w:themeColor="text1"/>
          <w:sz w:val="23"/>
          <w:szCs w:val="23"/>
          <w:u w:val="single"/>
        </w:rPr>
        <w:t>PONE EN CONOCIMIENTO PRUEBAS DOCUMENTALES</w:t>
      </w:r>
    </w:p>
    <w:p w14:paraId="61DD0426" w14:textId="77777777" w:rsidR="005055EE" w:rsidRPr="009C4A1B" w:rsidRDefault="005055EE" w:rsidP="00534D8F">
      <w:pPr>
        <w:spacing w:after="0" w:line="276" w:lineRule="auto"/>
        <w:jc w:val="both"/>
        <w:rPr>
          <w:rFonts w:ascii="Century Gothic" w:hAnsi="Century Gothic"/>
          <w:sz w:val="23"/>
          <w:szCs w:val="23"/>
          <w:lang w:val="es-ES"/>
        </w:rPr>
      </w:pPr>
    </w:p>
    <w:p w14:paraId="76F50BA1" w14:textId="2C293CBE" w:rsidR="005055EE" w:rsidRDefault="005055EE" w:rsidP="00534D8F">
      <w:pPr>
        <w:spacing w:after="0" w:line="276" w:lineRule="auto"/>
        <w:jc w:val="both"/>
        <w:rPr>
          <w:rFonts w:ascii="Century Gothic" w:hAnsi="Century Gothic"/>
          <w:sz w:val="23"/>
          <w:szCs w:val="23"/>
          <w:lang w:val="es-ES"/>
        </w:rPr>
      </w:pPr>
      <w:r w:rsidRPr="009C4A1B">
        <w:rPr>
          <w:rFonts w:ascii="Century Gothic" w:hAnsi="Century Gothic"/>
          <w:sz w:val="23"/>
          <w:szCs w:val="23"/>
          <w:lang w:val="es-ES"/>
        </w:rPr>
        <w:t xml:space="preserve">En </w:t>
      </w:r>
      <w:r>
        <w:rPr>
          <w:rFonts w:ascii="Century Gothic" w:hAnsi="Century Gothic"/>
          <w:sz w:val="23"/>
          <w:szCs w:val="23"/>
          <w:lang w:val="es-ES"/>
        </w:rPr>
        <w:t xml:space="preserve">auto de fecha del 18 de noviembre de 2022, se dispuso a iniciar trámite sancionatorio contra el comandante del Ejército Nacional, por incumplimiento en remitir los antecedentes administrativos requeridos. </w:t>
      </w:r>
    </w:p>
    <w:p w14:paraId="4FFE7734" w14:textId="77777777" w:rsidR="00534D8F" w:rsidRDefault="00534D8F" w:rsidP="00534D8F">
      <w:pPr>
        <w:spacing w:after="0" w:line="276" w:lineRule="auto"/>
        <w:jc w:val="both"/>
        <w:rPr>
          <w:rFonts w:ascii="Century Gothic" w:hAnsi="Century Gothic"/>
          <w:sz w:val="23"/>
          <w:szCs w:val="23"/>
          <w:lang w:val="es-ES"/>
        </w:rPr>
      </w:pPr>
    </w:p>
    <w:p w14:paraId="31CC19EC" w14:textId="77777777" w:rsidR="005055EE" w:rsidRDefault="005055EE" w:rsidP="00534D8F">
      <w:pPr>
        <w:pStyle w:val="paragraph"/>
        <w:spacing w:before="0" w:beforeAutospacing="0" w:after="0" w:afterAutospacing="0" w:line="276" w:lineRule="auto"/>
        <w:jc w:val="both"/>
        <w:rPr>
          <w:rFonts w:ascii="Century Gothic" w:hAnsi="Century Gothic"/>
          <w:sz w:val="23"/>
          <w:szCs w:val="23"/>
          <w:lang w:val="es-ES" w:eastAsia="es-ES"/>
        </w:rPr>
      </w:pPr>
      <w:r>
        <w:rPr>
          <w:rFonts w:ascii="Century Gothic" w:hAnsi="Century Gothic"/>
          <w:sz w:val="23"/>
          <w:szCs w:val="23"/>
          <w:lang w:val="es-ES" w:eastAsia="es-ES"/>
        </w:rPr>
        <w:t xml:space="preserve">Revisado el expediente se advierte que obran las siguientes respuestas: </w:t>
      </w:r>
    </w:p>
    <w:p w14:paraId="7E0B4514" w14:textId="77777777" w:rsidR="005055EE" w:rsidRDefault="005055EE" w:rsidP="00534D8F">
      <w:pPr>
        <w:pStyle w:val="paragraph"/>
        <w:spacing w:before="0" w:beforeAutospacing="0" w:after="0" w:afterAutospacing="0" w:line="276" w:lineRule="auto"/>
        <w:jc w:val="both"/>
        <w:rPr>
          <w:rFonts w:ascii="Century Gothic" w:hAnsi="Century Gothic"/>
          <w:sz w:val="23"/>
          <w:szCs w:val="23"/>
          <w:lang w:val="es-ES" w:eastAsia="es-ES"/>
        </w:rPr>
      </w:pPr>
    </w:p>
    <w:p w14:paraId="5797FDEF" w14:textId="6753F8AE" w:rsidR="005055EE" w:rsidRDefault="005055EE" w:rsidP="00534D8F">
      <w:pPr>
        <w:pStyle w:val="paragraph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 Gothic" w:hAnsi="Century Gothic"/>
          <w:sz w:val="23"/>
          <w:szCs w:val="23"/>
          <w:lang w:val="es-ES" w:eastAsia="es-ES"/>
        </w:rPr>
      </w:pPr>
      <w:r>
        <w:rPr>
          <w:rFonts w:ascii="Century Gothic" w:hAnsi="Century Gothic"/>
          <w:sz w:val="23"/>
          <w:szCs w:val="23"/>
          <w:lang w:val="es-ES" w:eastAsia="es-ES"/>
        </w:rPr>
        <w:t>Acta de descuartelamiento No.4276 del 31 de julio de 2018.</w:t>
      </w:r>
    </w:p>
    <w:p w14:paraId="679747AF" w14:textId="6FA70097" w:rsidR="005055EE" w:rsidRDefault="005055EE" w:rsidP="00534D8F">
      <w:pPr>
        <w:pStyle w:val="paragraph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 Gothic" w:hAnsi="Century Gothic"/>
          <w:sz w:val="23"/>
          <w:szCs w:val="23"/>
          <w:lang w:val="es-ES" w:eastAsia="es-ES"/>
        </w:rPr>
      </w:pPr>
      <w:r>
        <w:rPr>
          <w:rFonts w:ascii="Century Gothic" w:hAnsi="Century Gothic"/>
          <w:sz w:val="23"/>
          <w:szCs w:val="23"/>
          <w:lang w:val="es-ES" w:eastAsia="es-ES"/>
        </w:rPr>
        <w:t>Acta de Tribunal Médico Laboral de revisión militar y de policía del 13 de abril de 2021.</w:t>
      </w:r>
    </w:p>
    <w:p w14:paraId="3595732A" w14:textId="10A31176" w:rsidR="005055EE" w:rsidRDefault="005055EE" w:rsidP="00534D8F">
      <w:pPr>
        <w:pStyle w:val="paragraph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 Gothic" w:hAnsi="Century Gothic"/>
          <w:sz w:val="23"/>
          <w:szCs w:val="23"/>
          <w:lang w:val="es-ES" w:eastAsia="es-ES"/>
        </w:rPr>
      </w:pPr>
      <w:r>
        <w:rPr>
          <w:rFonts w:ascii="Century Gothic" w:hAnsi="Century Gothic"/>
          <w:sz w:val="23"/>
          <w:szCs w:val="23"/>
          <w:lang w:val="es-ES" w:eastAsia="es-ES"/>
        </w:rPr>
        <w:t>Acta de junta médica laboral No. 116391 del 24 de febrero de 2020.</w:t>
      </w:r>
    </w:p>
    <w:p w14:paraId="1905E300" w14:textId="46AE0DF0" w:rsidR="005055EE" w:rsidRDefault="005055EE" w:rsidP="00534D8F">
      <w:pPr>
        <w:pStyle w:val="paragraph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 Gothic" w:hAnsi="Century Gothic"/>
          <w:sz w:val="23"/>
          <w:szCs w:val="23"/>
          <w:lang w:val="es-ES" w:eastAsia="es-ES"/>
        </w:rPr>
      </w:pPr>
      <w:r>
        <w:rPr>
          <w:rFonts w:ascii="Century Gothic" w:hAnsi="Century Gothic"/>
          <w:sz w:val="23"/>
          <w:szCs w:val="23"/>
          <w:lang w:val="es-ES" w:eastAsia="es-ES"/>
        </w:rPr>
        <w:t xml:space="preserve">Hoja de vida. </w:t>
      </w:r>
    </w:p>
    <w:p w14:paraId="04CB46EB" w14:textId="77777777" w:rsidR="005055EE" w:rsidRDefault="005055EE" w:rsidP="00534D8F">
      <w:pPr>
        <w:pStyle w:val="paragraph"/>
        <w:spacing w:before="0" w:beforeAutospacing="0" w:after="0" w:afterAutospacing="0" w:line="276" w:lineRule="auto"/>
        <w:ind w:left="783"/>
        <w:jc w:val="both"/>
        <w:rPr>
          <w:rFonts w:ascii="Century Gothic" w:hAnsi="Century Gothic"/>
          <w:sz w:val="23"/>
          <w:szCs w:val="23"/>
          <w:lang w:val="es-ES" w:eastAsia="es-ES"/>
        </w:rPr>
      </w:pPr>
    </w:p>
    <w:p w14:paraId="779E4ADA" w14:textId="3401F2BF" w:rsidR="005055EE" w:rsidRPr="009C4A1B" w:rsidRDefault="005055EE" w:rsidP="00534D8F">
      <w:pPr>
        <w:pStyle w:val="paragraph"/>
        <w:spacing w:before="0" w:beforeAutospacing="0" w:after="0" w:afterAutospacing="0" w:line="276" w:lineRule="auto"/>
        <w:jc w:val="both"/>
        <w:rPr>
          <w:rStyle w:val="eop"/>
          <w:rFonts w:ascii="Century Gothic" w:eastAsiaTheme="majorEastAsia" w:hAnsi="Century Gothic"/>
          <w:color w:val="000000"/>
          <w:sz w:val="23"/>
          <w:szCs w:val="23"/>
          <w:shd w:val="clear" w:color="auto" w:fill="FFFFFF"/>
          <w:lang w:val="es-ES"/>
        </w:rPr>
      </w:pPr>
      <w:r>
        <w:rPr>
          <w:rFonts w:ascii="Century Gothic" w:hAnsi="Century Gothic"/>
          <w:sz w:val="23"/>
          <w:szCs w:val="23"/>
          <w:lang w:eastAsia="es-ES"/>
        </w:rPr>
        <w:t xml:space="preserve">No obstante, </w:t>
      </w:r>
      <w:r w:rsidRPr="009C4A1B">
        <w:rPr>
          <w:rFonts w:ascii="Century Gothic" w:hAnsi="Century Gothic"/>
          <w:sz w:val="23"/>
          <w:szCs w:val="23"/>
          <w:lang w:val="es-ES" w:eastAsia="es-ES"/>
        </w:rPr>
        <w:t xml:space="preserve">se dará traslado </w:t>
      </w:r>
      <w:r w:rsidRPr="009C4A1B">
        <w:rPr>
          <w:rStyle w:val="normaltextrun"/>
          <w:rFonts w:ascii="Century Gothic" w:eastAsiaTheme="majorEastAsia" w:hAnsi="Century Gothic"/>
          <w:color w:val="000000"/>
          <w:sz w:val="23"/>
          <w:szCs w:val="23"/>
          <w:shd w:val="clear" w:color="auto" w:fill="FFFFFF"/>
          <w:lang w:val="es-ES"/>
        </w:rPr>
        <w:t xml:space="preserve">por el termino de tres (3) días siguientes a la notificación del </w:t>
      </w:r>
      <w:r w:rsidR="00534D8F">
        <w:rPr>
          <w:rStyle w:val="normaltextrun"/>
          <w:rFonts w:ascii="Century Gothic" w:eastAsiaTheme="majorEastAsia" w:hAnsi="Century Gothic"/>
          <w:color w:val="000000"/>
          <w:sz w:val="23"/>
          <w:szCs w:val="23"/>
          <w:shd w:val="clear" w:color="auto" w:fill="FFFFFF"/>
          <w:lang w:val="es-ES"/>
        </w:rPr>
        <w:t xml:space="preserve">presente </w:t>
      </w:r>
      <w:r w:rsidRPr="009C4A1B">
        <w:rPr>
          <w:rStyle w:val="normaltextrun"/>
          <w:rFonts w:ascii="Century Gothic" w:eastAsiaTheme="majorEastAsia" w:hAnsi="Century Gothic"/>
          <w:color w:val="000000"/>
          <w:sz w:val="23"/>
          <w:szCs w:val="23"/>
          <w:shd w:val="clear" w:color="auto" w:fill="FFFFFF"/>
          <w:lang w:val="es-ES"/>
        </w:rPr>
        <w:t>auto, para los efectos previstos en los artículos 173 (oportunidades probatorias), 269 (tacha de falsedad) y 272 (desconocimiento de documento) del CGP y demás normas concordantes, en virtud del principio de contradicción.</w:t>
      </w:r>
      <w:r w:rsidRPr="009C4A1B">
        <w:rPr>
          <w:rStyle w:val="normaltextrun"/>
          <w:rFonts w:ascii="Century Gothic" w:eastAsiaTheme="majorEastAsia" w:hAnsi="Century Gothic"/>
          <w:b/>
          <w:bCs/>
          <w:color w:val="000000"/>
          <w:sz w:val="23"/>
          <w:szCs w:val="23"/>
          <w:shd w:val="clear" w:color="auto" w:fill="FFFFFF"/>
          <w:lang w:val="es-ES"/>
        </w:rPr>
        <w:t> </w:t>
      </w:r>
      <w:r w:rsidRPr="009C4A1B">
        <w:rPr>
          <w:rStyle w:val="eop"/>
          <w:rFonts w:ascii="Century Gothic" w:eastAsiaTheme="majorEastAsia" w:hAnsi="Century Gothic"/>
          <w:color w:val="000000"/>
          <w:sz w:val="23"/>
          <w:szCs w:val="23"/>
          <w:shd w:val="clear" w:color="auto" w:fill="FFFFFF"/>
          <w:lang w:val="es-ES"/>
        </w:rPr>
        <w:t> </w:t>
      </w:r>
    </w:p>
    <w:p w14:paraId="0EAA91E6" w14:textId="77777777" w:rsidR="005055EE" w:rsidRPr="009C4A1B" w:rsidRDefault="005055EE" w:rsidP="00534D8F">
      <w:pPr>
        <w:pStyle w:val="paragraph"/>
        <w:spacing w:before="0" w:beforeAutospacing="0" w:after="0" w:afterAutospacing="0" w:line="276" w:lineRule="auto"/>
        <w:jc w:val="both"/>
        <w:rPr>
          <w:rFonts w:ascii="Century Gothic" w:hAnsi="Century Gothic"/>
          <w:color w:val="000000"/>
          <w:sz w:val="23"/>
          <w:szCs w:val="23"/>
          <w:shd w:val="clear" w:color="auto" w:fill="FFFFFF"/>
          <w:lang w:val="es-ES"/>
        </w:rPr>
      </w:pPr>
    </w:p>
    <w:p w14:paraId="40ABCC0B" w14:textId="77777777" w:rsidR="005055EE" w:rsidRPr="009C4A1B" w:rsidRDefault="005055EE" w:rsidP="00534D8F">
      <w:pPr>
        <w:pStyle w:val="paragraph"/>
        <w:spacing w:before="0" w:beforeAutospacing="0" w:after="0" w:afterAutospacing="0" w:line="276" w:lineRule="auto"/>
        <w:jc w:val="both"/>
        <w:rPr>
          <w:rStyle w:val="eop"/>
          <w:rFonts w:ascii="Century Gothic" w:eastAsiaTheme="majorEastAsia" w:hAnsi="Century Gothic"/>
          <w:color w:val="000000"/>
          <w:sz w:val="23"/>
          <w:szCs w:val="23"/>
          <w:shd w:val="clear" w:color="auto" w:fill="FFFFFF"/>
          <w:lang w:val="es-ES"/>
        </w:rPr>
      </w:pPr>
      <w:r w:rsidRPr="009C4A1B">
        <w:rPr>
          <w:rFonts w:ascii="Century Gothic" w:hAnsi="Century Gothic"/>
          <w:sz w:val="23"/>
          <w:szCs w:val="23"/>
          <w:lang w:val="es-ES"/>
        </w:rPr>
        <w:t>V</w:t>
      </w:r>
      <w:r w:rsidRPr="009C4A1B">
        <w:rPr>
          <w:rStyle w:val="eop"/>
          <w:rFonts w:ascii="Century Gothic" w:eastAsiaTheme="majorEastAsia" w:hAnsi="Century Gothic"/>
          <w:color w:val="000000"/>
          <w:sz w:val="23"/>
          <w:szCs w:val="23"/>
          <w:shd w:val="clear" w:color="auto" w:fill="FFFFFF"/>
          <w:lang w:val="es-ES"/>
        </w:rPr>
        <w:t xml:space="preserve">encido el término anterior, deberá ingresarse el expediente a fin de incorporar la prueba en mención y de ser el caso cerrar etapa probatoria. </w:t>
      </w:r>
    </w:p>
    <w:p w14:paraId="19BF9146" w14:textId="77777777" w:rsidR="005055EE" w:rsidRPr="009C4A1B" w:rsidRDefault="005055EE" w:rsidP="00534D8F">
      <w:pPr>
        <w:pStyle w:val="Textoindependiente2"/>
        <w:spacing w:after="0" w:line="276" w:lineRule="auto"/>
        <w:jc w:val="both"/>
        <w:rPr>
          <w:rFonts w:ascii="Century Gothic" w:eastAsia="Century Gothic" w:hAnsi="Century Gothic" w:cs="Century Gothic"/>
          <w:sz w:val="22"/>
          <w:szCs w:val="22"/>
        </w:rPr>
      </w:pPr>
    </w:p>
    <w:p w14:paraId="6534E4A6" w14:textId="77777777" w:rsidR="005055EE" w:rsidRPr="009C4A1B" w:rsidRDefault="005055EE" w:rsidP="00534D8F">
      <w:pPr>
        <w:pStyle w:val="Textoindependiente2"/>
        <w:spacing w:after="0" w:line="276" w:lineRule="auto"/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009C4A1B">
        <w:rPr>
          <w:rFonts w:ascii="Century Gothic" w:eastAsia="Century Gothic" w:hAnsi="Century Gothic" w:cs="Century Gothic"/>
          <w:sz w:val="22"/>
          <w:szCs w:val="22"/>
        </w:rPr>
        <w:t xml:space="preserve">En consecuencia, el </w:t>
      </w:r>
      <w:r w:rsidRPr="009C4A1B">
        <w:rPr>
          <w:rFonts w:ascii="Century Gothic" w:eastAsia="Century Gothic" w:hAnsi="Century Gothic" w:cs="Century Gothic"/>
          <w:b/>
          <w:bCs/>
          <w:sz w:val="22"/>
          <w:szCs w:val="22"/>
        </w:rPr>
        <w:t>JUZGADO SESENTA Y CUATRO (64) ADMINISTRATIVO DE ORALIDAD DEL CIRCUITO JUDICIAL DE BOGOTÁ D.C.</w:t>
      </w:r>
      <w:r w:rsidRPr="009C4A1B">
        <w:rPr>
          <w:rFonts w:ascii="Century Gothic" w:eastAsia="Century Gothic" w:hAnsi="Century Gothic" w:cs="Century Gothic"/>
          <w:sz w:val="22"/>
          <w:szCs w:val="22"/>
        </w:rPr>
        <w:t>,</w:t>
      </w:r>
    </w:p>
    <w:p w14:paraId="39349351" w14:textId="77777777" w:rsidR="005055EE" w:rsidRDefault="005055EE" w:rsidP="00534D8F">
      <w:pPr>
        <w:pStyle w:val="Textoindependiente2"/>
        <w:spacing w:after="0" w:line="276" w:lineRule="auto"/>
        <w:jc w:val="both"/>
        <w:rPr>
          <w:rFonts w:ascii="Century Gothic" w:eastAsia="Century Gothic" w:hAnsi="Century Gothic" w:cs="Century Gothic"/>
          <w:sz w:val="22"/>
          <w:szCs w:val="22"/>
        </w:rPr>
      </w:pPr>
    </w:p>
    <w:p w14:paraId="6782DE6E" w14:textId="77777777" w:rsidR="009F0F3F" w:rsidRPr="009C4A1B" w:rsidRDefault="009F0F3F" w:rsidP="00534D8F">
      <w:pPr>
        <w:pStyle w:val="Textoindependiente2"/>
        <w:spacing w:after="0" w:line="276" w:lineRule="auto"/>
        <w:jc w:val="both"/>
        <w:rPr>
          <w:rFonts w:ascii="Century Gothic" w:eastAsia="Century Gothic" w:hAnsi="Century Gothic" w:cs="Century Gothic"/>
          <w:sz w:val="22"/>
          <w:szCs w:val="22"/>
        </w:rPr>
      </w:pPr>
    </w:p>
    <w:p w14:paraId="31044A31" w14:textId="77777777" w:rsidR="005055EE" w:rsidRPr="009C4A1B" w:rsidRDefault="005055EE" w:rsidP="00534D8F">
      <w:pPr>
        <w:pStyle w:val="paragraph"/>
        <w:spacing w:before="0" w:beforeAutospacing="0" w:after="0" w:afterAutospacing="0" w:line="276" w:lineRule="auto"/>
        <w:ind w:right="45"/>
        <w:jc w:val="center"/>
        <w:textAlignment w:val="baseline"/>
        <w:rPr>
          <w:rStyle w:val="eop"/>
          <w:rFonts w:ascii="Century Gothic" w:eastAsia="Century Gothic" w:hAnsi="Century Gothic" w:cs="Century Gothic"/>
          <w:sz w:val="22"/>
          <w:szCs w:val="22"/>
          <w:lang w:val="es-ES"/>
        </w:rPr>
      </w:pPr>
      <w:r w:rsidRPr="009C4A1B">
        <w:rPr>
          <w:rStyle w:val="normaltextrun"/>
          <w:rFonts w:ascii="Century Gothic" w:eastAsia="Century Gothic" w:hAnsi="Century Gothic" w:cs="Century Gothic"/>
          <w:b/>
          <w:bCs/>
          <w:sz w:val="22"/>
          <w:szCs w:val="22"/>
          <w:lang w:val="es-ES"/>
        </w:rPr>
        <w:t>RESUELVE:</w:t>
      </w:r>
      <w:r w:rsidRPr="009C4A1B">
        <w:rPr>
          <w:rStyle w:val="eop"/>
          <w:rFonts w:ascii="Century Gothic" w:eastAsia="Century Gothic" w:hAnsi="Century Gothic" w:cs="Century Gothic"/>
          <w:sz w:val="22"/>
          <w:szCs w:val="22"/>
          <w:lang w:val="es-ES"/>
        </w:rPr>
        <w:t> </w:t>
      </w:r>
    </w:p>
    <w:p w14:paraId="0C9F0362" w14:textId="77777777" w:rsidR="005055EE" w:rsidRPr="009C4A1B" w:rsidRDefault="005055EE" w:rsidP="00534D8F">
      <w:pPr>
        <w:pStyle w:val="paragraph"/>
        <w:spacing w:before="0" w:beforeAutospacing="0" w:after="0" w:afterAutospacing="0" w:line="276" w:lineRule="auto"/>
        <w:ind w:right="45"/>
        <w:jc w:val="both"/>
        <w:textAlignment w:val="baseline"/>
        <w:rPr>
          <w:rFonts w:ascii="Century Gothic" w:eastAsia="Century Gothic" w:hAnsi="Century Gothic" w:cs="Century Gothic"/>
          <w:sz w:val="22"/>
          <w:szCs w:val="22"/>
          <w:lang w:val="es-ES"/>
        </w:rPr>
      </w:pPr>
    </w:p>
    <w:p w14:paraId="4B518850" w14:textId="77777777" w:rsidR="005055EE" w:rsidRPr="009C4A1B" w:rsidRDefault="005055EE" w:rsidP="00534D8F">
      <w:pPr>
        <w:spacing w:after="0" w:line="276" w:lineRule="auto"/>
        <w:ind w:right="45"/>
        <w:jc w:val="both"/>
        <w:textAlignment w:val="baseline"/>
        <w:rPr>
          <w:rFonts w:ascii="Century Gothic" w:hAnsi="Century Gothic"/>
          <w:b/>
          <w:bCs/>
          <w:color w:val="000000" w:themeColor="text1"/>
          <w:sz w:val="23"/>
          <w:szCs w:val="23"/>
          <w:lang w:val="es-ES"/>
        </w:rPr>
      </w:pPr>
      <w:r w:rsidRPr="009C4A1B">
        <w:rPr>
          <w:rFonts w:ascii="Century Gothic" w:hAnsi="Century Gothic"/>
          <w:b/>
          <w:bCs/>
          <w:sz w:val="23"/>
          <w:szCs w:val="23"/>
          <w:lang w:val="es-ES"/>
        </w:rPr>
        <w:t>PRIMERO.</w:t>
      </w:r>
      <w:r w:rsidRPr="009C4A1B">
        <w:rPr>
          <w:rFonts w:ascii="Century Gothic" w:hAnsi="Century Gothic"/>
          <w:sz w:val="23"/>
          <w:szCs w:val="23"/>
          <w:lang w:val="es-ES"/>
        </w:rPr>
        <w:tab/>
      </w:r>
      <w:r w:rsidRPr="009C4A1B">
        <w:rPr>
          <w:rFonts w:ascii="Century Gothic" w:hAnsi="Century Gothic"/>
          <w:b/>
          <w:bCs/>
          <w:sz w:val="23"/>
          <w:szCs w:val="23"/>
          <w:lang w:val="es-ES"/>
        </w:rPr>
        <w:t xml:space="preserve">CORRER TRASLADO </w:t>
      </w:r>
      <w:r w:rsidRPr="009C4A1B">
        <w:rPr>
          <w:rFonts w:ascii="Century Gothic" w:hAnsi="Century Gothic"/>
          <w:sz w:val="23"/>
          <w:szCs w:val="23"/>
          <w:lang w:val="es-ES"/>
        </w:rPr>
        <w:t xml:space="preserve">de </w:t>
      </w:r>
      <w:r w:rsidRPr="009C4A1B">
        <w:rPr>
          <w:rFonts w:ascii="Century Gothic" w:hAnsi="Century Gothic"/>
          <w:bCs/>
          <w:sz w:val="23"/>
          <w:szCs w:val="23"/>
          <w:lang w:val="es-ES"/>
        </w:rPr>
        <w:t xml:space="preserve">las pruebas documentales referidas en la parte motiva de este auto.  </w:t>
      </w:r>
    </w:p>
    <w:p w14:paraId="7A97F8B8" w14:textId="77777777" w:rsidR="00534D8F" w:rsidRDefault="00534D8F" w:rsidP="00534D8F">
      <w:pPr>
        <w:spacing w:after="0" w:line="276" w:lineRule="auto"/>
        <w:ind w:right="45"/>
        <w:jc w:val="both"/>
        <w:textAlignment w:val="baseline"/>
        <w:rPr>
          <w:rFonts w:ascii="Century Gothic" w:hAnsi="Century Gothic"/>
          <w:b/>
          <w:sz w:val="23"/>
          <w:szCs w:val="23"/>
          <w:lang w:val="es-ES"/>
        </w:rPr>
      </w:pPr>
    </w:p>
    <w:p w14:paraId="11E74A5E" w14:textId="2C26DBB3" w:rsidR="005055EE" w:rsidRPr="009C4A1B" w:rsidRDefault="005055EE" w:rsidP="00534D8F">
      <w:pPr>
        <w:spacing w:after="0" w:line="276" w:lineRule="auto"/>
        <w:ind w:right="45"/>
        <w:jc w:val="both"/>
        <w:textAlignment w:val="baseline"/>
        <w:rPr>
          <w:rFonts w:ascii="Century Gothic" w:hAnsi="Century Gothic"/>
          <w:b/>
          <w:bCs/>
          <w:color w:val="000000" w:themeColor="text1"/>
          <w:sz w:val="23"/>
          <w:szCs w:val="23"/>
          <w:lang w:val="es-ES"/>
        </w:rPr>
      </w:pPr>
      <w:r w:rsidRPr="009C4A1B">
        <w:rPr>
          <w:rFonts w:ascii="Century Gothic" w:hAnsi="Century Gothic"/>
          <w:b/>
          <w:sz w:val="23"/>
          <w:szCs w:val="23"/>
          <w:lang w:val="es-ES"/>
        </w:rPr>
        <w:t>SEGUNDO</w:t>
      </w:r>
      <w:r w:rsidRPr="009C4A1B">
        <w:rPr>
          <w:rFonts w:ascii="Century Gothic" w:hAnsi="Century Gothic"/>
          <w:sz w:val="23"/>
          <w:szCs w:val="23"/>
          <w:lang w:val="es-ES"/>
        </w:rPr>
        <w:t xml:space="preserve">.  </w:t>
      </w:r>
      <w:r w:rsidRPr="009C4A1B">
        <w:rPr>
          <w:rFonts w:ascii="Century Gothic" w:hAnsi="Century Gothic"/>
          <w:b/>
          <w:bCs/>
          <w:color w:val="000000" w:themeColor="text1"/>
          <w:sz w:val="23"/>
          <w:szCs w:val="23"/>
          <w:lang w:val="es-ES"/>
        </w:rPr>
        <w:tab/>
      </w:r>
      <w:r w:rsidRPr="009C4A1B">
        <w:rPr>
          <w:rFonts w:ascii="Century Gothic" w:hAnsi="Century Gothic" w:cs="Segoe UI"/>
          <w:sz w:val="23"/>
          <w:szCs w:val="23"/>
          <w:lang w:val="es-ES" w:eastAsia="es-CO"/>
        </w:rPr>
        <w:t xml:space="preserve"> </w:t>
      </w:r>
      <w:r w:rsidRPr="009C4A1B">
        <w:rPr>
          <w:rStyle w:val="eop"/>
          <w:rFonts w:ascii="Century Gothic" w:hAnsi="Century Gothic"/>
          <w:color w:val="000000"/>
          <w:sz w:val="23"/>
          <w:szCs w:val="23"/>
          <w:shd w:val="clear" w:color="auto" w:fill="FFFFFF"/>
          <w:lang w:val="es-ES"/>
        </w:rPr>
        <w:t xml:space="preserve">De no existir solicitud adicional </w:t>
      </w:r>
      <w:r w:rsidR="00534D8F">
        <w:rPr>
          <w:rStyle w:val="eop"/>
          <w:rFonts w:ascii="Century Gothic" w:hAnsi="Century Gothic"/>
          <w:color w:val="000000"/>
          <w:sz w:val="23"/>
          <w:szCs w:val="23"/>
          <w:shd w:val="clear" w:color="auto" w:fill="FFFFFF"/>
          <w:lang w:val="es-ES"/>
        </w:rPr>
        <w:t>INGRESAR</w:t>
      </w:r>
      <w:r w:rsidRPr="009C4A1B">
        <w:rPr>
          <w:rStyle w:val="eop"/>
          <w:rFonts w:ascii="Century Gothic" w:hAnsi="Century Gothic"/>
          <w:color w:val="000000"/>
          <w:sz w:val="23"/>
          <w:szCs w:val="23"/>
          <w:shd w:val="clear" w:color="auto" w:fill="FFFFFF"/>
          <w:lang w:val="es-ES"/>
        </w:rPr>
        <w:t xml:space="preserve"> el expediente a fin de incorporar las pruebas previamente relacionadas y de ser el caso cerrar etapa probatoria.</w:t>
      </w:r>
    </w:p>
    <w:p w14:paraId="7D140DF7" w14:textId="77777777" w:rsidR="00534D8F" w:rsidRDefault="00534D8F" w:rsidP="00534D8F">
      <w:pPr>
        <w:spacing w:after="0" w:line="276" w:lineRule="auto"/>
        <w:jc w:val="both"/>
        <w:rPr>
          <w:rFonts w:ascii="Century Gothic" w:eastAsia="Century Gothic" w:hAnsi="Century Gothic" w:cs="Century Gothic"/>
          <w:b/>
          <w:bCs/>
          <w:lang w:val="es-ES" w:eastAsia="es-CO"/>
        </w:rPr>
      </w:pPr>
    </w:p>
    <w:p w14:paraId="108BAC6A" w14:textId="40F7CA2E" w:rsidR="009D0883" w:rsidRDefault="005055EE" w:rsidP="00534D8F">
      <w:pPr>
        <w:spacing w:after="0" w:line="276" w:lineRule="auto"/>
        <w:jc w:val="both"/>
        <w:rPr>
          <w:rFonts w:ascii="Century Gothic" w:eastAsia="Century Gothic" w:hAnsi="Century Gothic" w:cs="Century Gothic"/>
          <w:lang w:val="es-ES" w:eastAsia="es-CO"/>
        </w:rPr>
      </w:pPr>
      <w:r w:rsidRPr="009C4A1B">
        <w:rPr>
          <w:rFonts w:ascii="Century Gothic" w:eastAsia="Century Gothic" w:hAnsi="Century Gothic" w:cs="Century Gothic"/>
          <w:b/>
          <w:bCs/>
          <w:lang w:val="es-ES" w:eastAsia="es-CO"/>
        </w:rPr>
        <w:t>TERCERO</w:t>
      </w:r>
      <w:r>
        <w:rPr>
          <w:rFonts w:ascii="Century Gothic" w:eastAsia="Century Gothic" w:hAnsi="Century Gothic" w:cs="Century Gothic"/>
          <w:lang w:val="es-ES" w:eastAsia="es-CO"/>
        </w:rPr>
        <w:t xml:space="preserve">.    </w:t>
      </w:r>
      <w:r w:rsidR="009D0883">
        <w:rPr>
          <w:rFonts w:ascii="Century Gothic" w:eastAsia="Century Gothic" w:hAnsi="Century Gothic" w:cs="Century Gothic"/>
          <w:lang w:val="es-ES" w:eastAsia="es-CO"/>
        </w:rPr>
        <w:t xml:space="preserve">Cerrar incidente contra el comandante del Ejército Nacional. </w:t>
      </w:r>
    </w:p>
    <w:p w14:paraId="260797CD" w14:textId="77777777" w:rsidR="009D0883" w:rsidRDefault="009D0883" w:rsidP="00534D8F">
      <w:pPr>
        <w:spacing w:after="0" w:line="276" w:lineRule="auto"/>
        <w:jc w:val="both"/>
        <w:rPr>
          <w:rFonts w:ascii="Century Gothic" w:eastAsia="Century Gothic" w:hAnsi="Century Gothic" w:cs="Century Gothic"/>
          <w:lang w:val="es-ES" w:eastAsia="es-CO"/>
        </w:rPr>
      </w:pPr>
    </w:p>
    <w:p w14:paraId="711CC1CD" w14:textId="38C89214" w:rsidR="005055EE" w:rsidRPr="009C4A1B" w:rsidRDefault="009D0883" w:rsidP="00534D8F">
      <w:pPr>
        <w:spacing w:after="0" w:line="276" w:lineRule="auto"/>
        <w:jc w:val="both"/>
        <w:rPr>
          <w:rFonts w:ascii="Century Gothic" w:eastAsia="Century Gothic" w:hAnsi="Century Gothic" w:cs="Century Gothic"/>
          <w:lang w:val="es-ES" w:eastAsia="es-CO"/>
        </w:rPr>
      </w:pPr>
      <w:r w:rsidRPr="009D0883">
        <w:rPr>
          <w:rFonts w:ascii="Century Gothic" w:eastAsia="Century Gothic" w:hAnsi="Century Gothic" w:cs="Century Gothic"/>
          <w:b/>
          <w:bCs/>
          <w:lang w:val="es-ES" w:eastAsia="es-CO"/>
        </w:rPr>
        <w:t>CUARTO</w:t>
      </w:r>
      <w:r>
        <w:rPr>
          <w:rFonts w:ascii="Century Gothic" w:eastAsia="Century Gothic" w:hAnsi="Century Gothic" w:cs="Century Gothic"/>
          <w:lang w:val="es-ES" w:eastAsia="es-CO"/>
        </w:rPr>
        <w:t xml:space="preserve">.  </w:t>
      </w:r>
      <w:r w:rsidR="005055EE" w:rsidRPr="009C4A1B">
        <w:rPr>
          <w:rFonts w:ascii="Century Gothic" w:eastAsia="Century Gothic" w:hAnsi="Century Gothic" w:cs="Century Gothic"/>
          <w:b/>
          <w:bCs/>
          <w:color w:val="000000" w:themeColor="text1"/>
          <w:sz w:val="23"/>
          <w:szCs w:val="23"/>
          <w:lang w:val="es-ES"/>
        </w:rPr>
        <w:t xml:space="preserve">NOTIFICAR </w:t>
      </w:r>
      <w:r w:rsidR="005055EE" w:rsidRPr="009C4A1B">
        <w:rPr>
          <w:rFonts w:ascii="Century Gothic" w:eastAsia="Century Gothic" w:hAnsi="Century Gothic" w:cs="Century Gothic"/>
          <w:color w:val="000000" w:themeColor="text1"/>
          <w:sz w:val="23"/>
          <w:szCs w:val="23"/>
          <w:lang w:val="es-ES"/>
        </w:rPr>
        <w:t xml:space="preserve">por secretaría la presente decisión a las partes y al Ministerio Público conformidad con lo dispuesto en el artículo 201 de la Ley 1437 de 2011. </w:t>
      </w:r>
      <w:r w:rsidR="005055EE" w:rsidRPr="009C4A1B">
        <w:rPr>
          <w:rFonts w:ascii="Century Gothic" w:eastAsia="Century Gothic" w:hAnsi="Century Gothic" w:cs="Century Gothic"/>
          <w:lang w:val="es-ES"/>
        </w:rPr>
        <w:t xml:space="preserve"> </w:t>
      </w:r>
    </w:p>
    <w:p w14:paraId="7743C483" w14:textId="77777777" w:rsidR="005055EE" w:rsidRPr="009C4A1B" w:rsidRDefault="005055EE" w:rsidP="00534D8F">
      <w:pPr>
        <w:spacing w:after="0" w:line="276" w:lineRule="auto"/>
        <w:jc w:val="both"/>
        <w:rPr>
          <w:rFonts w:ascii="Century Gothic" w:eastAsia="Century Gothic" w:hAnsi="Century Gothic" w:cs="Century Gothic"/>
          <w:lang w:val="es-ES" w:eastAsia="es-CO"/>
        </w:rPr>
      </w:pPr>
    </w:p>
    <w:p w14:paraId="7DD6DD48" w14:textId="77777777" w:rsidR="005055EE" w:rsidRPr="009C4A1B" w:rsidRDefault="005055EE" w:rsidP="00534D8F">
      <w:pPr>
        <w:spacing w:after="0" w:line="276" w:lineRule="auto"/>
        <w:jc w:val="both"/>
        <w:rPr>
          <w:rFonts w:ascii="Century Gothic" w:eastAsia="Century Gothic" w:hAnsi="Century Gothic" w:cs="Century Gothic"/>
          <w:b/>
          <w:bCs/>
          <w:lang w:val="es-ES"/>
        </w:rPr>
      </w:pPr>
      <w:r w:rsidRPr="009C4A1B">
        <w:rPr>
          <w:rFonts w:ascii="Century Gothic" w:eastAsia="Century Gothic" w:hAnsi="Century Gothic" w:cs="Century Gothic"/>
          <w:b/>
          <w:bCs/>
          <w:lang w:val="es-ES"/>
        </w:rPr>
        <w:t>NOTIFÍQUESE Y CÚMPLASE</w:t>
      </w:r>
    </w:p>
    <w:p w14:paraId="36F41190" w14:textId="77777777" w:rsidR="005055EE" w:rsidRPr="009C4A1B" w:rsidRDefault="005055EE" w:rsidP="00534D8F">
      <w:pPr>
        <w:tabs>
          <w:tab w:val="left" w:pos="3720"/>
        </w:tabs>
        <w:spacing w:after="0" w:line="276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14:paraId="4C528546" w14:textId="77777777" w:rsidR="005055EE" w:rsidRPr="009C4A1B" w:rsidRDefault="005055EE" w:rsidP="00534D8F">
      <w:pPr>
        <w:tabs>
          <w:tab w:val="left" w:pos="3720"/>
        </w:tabs>
        <w:spacing w:after="0" w:line="276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14:paraId="14CF9E9B" w14:textId="77777777" w:rsidR="005055EE" w:rsidRPr="009C4A1B" w:rsidRDefault="005055EE" w:rsidP="00534D8F">
      <w:pPr>
        <w:tabs>
          <w:tab w:val="left" w:pos="3720"/>
        </w:tabs>
        <w:spacing w:after="0" w:line="276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14:paraId="7C04616B" w14:textId="77777777" w:rsidR="005055EE" w:rsidRPr="009C4A1B" w:rsidRDefault="005055EE" w:rsidP="00534D8F">
      <w:pPr>
        <w:tabs>
          <w:tab w:val="left" w:pos="3720"/>
        </w:tabs>
        <w:spacing w:after="0" w:line="276" w:lineRule="auto"/>
        <w:ind w:firstLine="708"/>
        <w:jc w:val="center"/>
        <w:rPr>
          <w:rFonts w:ascii="Century Gothic" w:eastAsia="Century Gothic" w:hAnsi="Century Gothic" w:cs="Century Gothic"/>
          <w:b/>
          <w:bCs/>
          <w:lang w:val="es-ES"/>
        </w:rPr>
      </w:pPr>
      <w:r w:rsidRPr="009C4A1B">
        <w:rPr>
          <w:rFonts w:ascii="Century Gothic" w:eastAsia="Century Gothic" w:hAnsi="Century Gothic" w:cs="Century Gothic"/>
          <w:b/>
          <w:bCs/>
          <w:lang w:val="es-ES"/>
        </w:rPr>
        <w:t>John Alexander Ceballos Gaviria</w:t>
      </w:r>
    </w:p>
    <w:p w14:paraId="4F1A4027" w14:textId="77777777" w:rsidR="005055EE" w:rsidRPr="009C4A1B" w:rsidRDefault="005055EE" w:rsidP="00534D8F">
      <w:pPr>
        <w:spacing w:after="0" w:line="276" w:lineRule="auto"/>
        <w:jc w:val="center"/>
        <w:rPr>
          <w:rFonts w:ascii="Century Gothic" w:eastAsia="Century Gothic" w:hAnsi="Century Gothic" w:cs="Century Gothic"/>
          <w:b/>
          <w:bCs/>
          <w:lang w:val="es-ES"/>
        </w:rPr>
      </w:pPr>
      <w:r w:rsidRPr="009C4A1B">
        <w:rPr>
          <w:rFonts w:ascii="Century Gothic" w:eastAsia="Century Gothic" w:hAnsi="Century Gothic" w:cs="Century Gothic"/>
          <w:b/>
          <w:bCs/>
          <w:lang w:val="es-ES"/>
        </w:rPr>
        <w:t>JUEZ</w:t>
      </w:r>
    </w:p>
    <w:p w14:paraId="3D1C02CB" w14:textId="77777777" w:rsidR="005055EE" w:rsidRPr="009C4A1B" w:rsidRDefault="005055EE" w:rsidP="005055EE">
      <w:pPr>
        <w:spacing w:line="240" w:lineRule="auto"/>
        <w:rPr>
          <w:rFonts w:ascii="Century Gothic" w:eastAsia="Century Gothic" w:hAnsi="Century Gothic" w:cs="Century Gothic"/>
          <w:sz w:val="16"/>
          <w:szCs w:val="16"/>
          <w:lang w:val="es-ES"/>
        </w:rPr>
      </w:pPr>
      <w:r w:rsidRPr="009C4A1B">
        <w:rPr>
          <w:rFonts w:ascii="Century Gothic" w:eastAsia="Century Gothic" w:hAnsi="Century Gothic" w:cs="Century Gothic"/>
          <w:sz w:val="16"/>
          <w:szCs w:val="16"/>
          <w:lang w:val="es-ES"/>
        </w:rPr>
        <w:t>As</w:t>
      </w:r>
    </w:p>
    <w:p w14:paraId="76A3EB6D" w14:textId="77777777" w:rsidR="005055EE" w:rsidRPr="009C4A1B" w:rsidRDefault="005055EE" w:rsidP="005055EE">
      <w:pPr>
        <w:spacing w:line="240" w:lineRule="auto"/>
        <w:rPr>
          <w:lang w:val="es-ES"/>
        </w:rPr>
      </w:pPr>
    </w:p>
    <w:p w14:paraId="098BB1F5" w14:textId="77777777" w:rsidR="005055EE" w:rsidRPr="009C4A1B" w:rsidRDefault="005055EE" w:rsidP="005055EE">
      <w:pPr>
        <w:spacing w:line="240" w:lineRule="auto"/>
        <w:rPr>
          <w:lang w:val="es-ES"/>
        </w:rPr>
      </w:pPr>
    </w:p>
    <w:p w14:paraId="4F36B322" w14:textId="77777777" w:rsidR="005055EE" w:rsidRPr="009C4A1B" w:rsidRDefault="005055EE" w:rsidP="005055EE">
      <w:pPr>
        <w:rPr>
          <w:lang w:val="es-ES"/>
        </w:rPr>
      </w:pPr>
    </w:p>
    <w:p w14:paraId="008302DC" w14:textId="77777777" w:rsidR="005055EE" w:rsidRPr="009C4A1B" w:rsidRDefault="005055EE" w:rsidP="005055EE">
      <w:pPr>
        <w:rPr>
          <w:lang w:val="es-ES"/>
        </w:rPr>
      </w:pPr>
    </w:p>
    <w:p w14:paraId="3D116DCA" w14:textId="77777777" w:rsidR="005055EE" w:rsidRPr="009C4A1B" w:rsidRDefault="005055EE" w:rsidP="005055EE">
      <w:pPr>
        <w:rPr>
          <w:lang w:val="es-ES"/>
        </w:rPr>
      </w:pPr>
    </w:p>
    <w:p w14:paraId="60ADBD3E" w14:textId="77777777" w:rsidR="005055EE" w:rsidRDefault="005055EE" w:rsidP="005055EE"/>
    <w:p w14:paraId="0441D72F" w14:textId="77777777" w:rsidR="005055EE" w:rsidRDefault="005055EE" w:rsidP="005055EE"/>
    <w:p w14:paraId="0B97A67E" w14:textId="77777777" w:rsidR="003D23AF" w:rsidRDefault="003D23AF"/>
    <w:sectPr w:rsidR="003D23AF" w:rsidSect="005055E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1C1D31"/>
    <w:multiLevelType w:val="hybridMultilevel"/>
    <w:tmpl w:val="17963D64"/>
    <w:lvl w:ilvl="0" w:tplc="240A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 w16cid:durableId="464085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F58"/>
    <w:rsid w:val="003864D4"/>
    <w:rsid w:val="003D23AF"/>
    <w:rsid w:val="005055EE"/>
    <w:rsid w:val="00534D8F"/>
    <w:rsid w:val="005975F3"/>
    <w:rsid w:val="00756413"/>
    <w:rsid w:val="009D0883"/>
    <w:rsid w:val="009D36B5"/>
    <w:rsid w:val="009F0F3F"/>
    <w:rsid w:val="00AF1F06"/>
    <w:rsid w:val="00D9044B"/>
    <w:rsid w:val="00DA0F58"/>
    <w:rsid w:val="00DC1FCE"/>
    <w:rsid w:val="00E8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DC923"/>
  <w15:chartTrackingRefBased/>
  <w15:docId w15:val="{0861582D-A753-4C16-8121-2642A79E5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5EE"/>
    <w:pPr>
      <w:spacing w:line="256" w:lineRule="auto"/>
    </w:pPr>
    <w:rPr>
      <w:kern w:val="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A0F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A0F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A0F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A0F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A0F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A0F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A0F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A0F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A0F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A0F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A0F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A0F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A0F5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A0F5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A0F5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A0F5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A0F5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A0F5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A0F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A0F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A0F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A0F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A0F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A0F5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A0F5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A0F5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A0F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A0F5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A0F58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nhideWhenUsed/>
    <w:rsid w:val="005055EE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5055EE"/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5055EE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5055EE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customStyle="1" w:styleId="paragraph">
    <w:name w:val="paragraph"/>
    <w:basedOn w:val="Normal"/>
    <w:rsid w:val="0050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5055EE"/>
  </w:style>
  <w:style w:type="character" w:customStyle="1" w:styleId="eop">
    <w:name w:val="eop"/>
    <w:basedOn w:val="Fuentedeprrafopredeter"/>
    <w:rsid w:val="005055EE"/>
  </w:style>
  <w:style w:type="paragraph" w:styleId="Sangradetextonormal">
    <w:name w:val="Body Text Indent"/>
    <w:basedOn w:val="Normal"/>
    <w:link w:val="SangradetextonormalCar"/>
    <w:uiPriority w:val="99"/>
    <w:unhideWhenUsed/>
    <w:rsid w:val="005055E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5055EE"/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45BCDDCA79D14696F288B99A3D6C85" ma:contentTypeVersion="16" ma:contentTypeDescription="Crear nuevo documento." ma:contentTypeScope="" ma:versionID="210358678b329a52ecc2228f41c64c8e">
  <xsd:schema xmlns:xsd="http://www.w3.org/2001/XMLSchema" xmlns:xs="http://www.w3.org/2001/XMLSchema" xmlns:p="http://schemas.microsoft.com/office/2006/metadata/properties" xmlns:ns2="38e0611e-28bd-434a-a9a5-164c0380694f" xmlns:ns3="69feec56-ea30-42ea-ad61-80319dd35cd5" targetNamespace="http://schemas.microsoft.com/office/2006/metadata/properties" ma:root="true" ma:fieldsID="16aa543055d78369b512c1a3d8f84735" ns2:_="" ns3:_="">
    <xsd:import namespace="38e0611e-28bd-434a-a9a5-164c0380694f"/>
    <xsd:import namespace="69feec56-ea30-42ea-ad61-80319dd35c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Usuar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e0611e-28bd-434a-a9a5-164c038069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e31b1466-370e-4680-8e95-6fcae1d3fa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Usuario" ma:index="22" nillable="true" ma:displayName="Usuario" ma:format="Dropdown" ma:list="UserInfo" ma:SharePointGroup="0" ma:internalName="Usuari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feec56-ea30-42ea-ad61-80319dd35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d613848e-59f2-4017-ab09-737e65c76cb2}" ma:internalName="TaxCatchAll" ma:showField="CatchAllData" ma:web="69feec56-ea30-42ea-ad61-80319dd35c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e0611e-28bd-434a-a9a5-164c0380694f">
      <Terms xmlns="http://schemas.microsoft.com/office/infopath/2007/PartnerControls"/>
    </lcf76f155ced4ddcb4097134ff3c332f>
    <Usuario xmlns="38e0611e-28bd-434a-a9a5-164c0380694f">
      <UserInfo>
        <DisplayName/>
        <AccountId xsi:nil="true"/>
        <AccountType/>
      </UserInfo>
    </Usuario>
    <TaxCatchAll xmlns="69feec56-ea30-42ea-ad61-80319dd35cd5" xsi:nil="true"/>
  </documentManagement>
</p:properties>
</file>

<file path=customXml/itemProps1.xml><?xml version="1.0" encoding="utf-8"?>
<ds:datastoreItem xmlns:ds="http://schemas.openxmlformats.org/officeDocument/2006/customXml" ds:itemID="{B9EF26D3-5AB6-4BB1-8406-B541E2BE94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ECDE83-948A-4FF9-87A8-FE7BBFF695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e0611e-28bd-434a-a9a5-164c0380694f"/>
    <ds:schemaRef ds:uri="69feec56-ea30-42ea-ad61-80319dd35c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27CE78-D6A9-4BE7-B0EF-6E1F59DD9A75}">
  <ds:schemaRefs>
    <ds:schemaRef ds:uri="http://schemas.microsoft.com/office/2006/metadata/properties"/>
    <ds:schemaRef ds:uri="http://schemas.microsoft.com/office/infopath/2007/PartnerControls"/>
    <ds:schemaRef ds:uri="38e0611e-28bd-434a-a9a5-164c0380694f"/>
    <ds:schemaRef ds:uri="69feec56-ea30-42ea-ad61-80319dd35c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335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Juzgado 64 Administrativo Sección Tercera - Bogotá - Bogotá D.C.</dc:creator>
  <cp:keywords/>
  <dc:description/>
  <cp:lastModifiedBy>John Ceballos</cp:lastModifiedBy>
  <cp:revision>7</cp:revision>
  <dcterms:created xsi:type="dcterms:W3CDTF">2024-05-20T18:41:00Z</dcterms:created>
  <dcterms:modified xsi:type="dcterms:W3CDTF">2024-05-21T19:28:00Z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0x0101003245BCDDCA79D14696F288B99A3D6C85</vt:lpwstr>
  </property>
  <property fmtid="{D5CDD505-2E9C-101B-9397-08002B2CF9AE}" pid="3" name="MediaServiceImageTags">
    <vt:lpwstr/>
  </property>
</Properties>
</file>