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47E57" w14:textId="77777777" w:rsidR="00C54A45" w:rsidRDefault="00C54A45" w:rsidP="00C54A45">
      <w:pPr>
        <w:tabs>
          <w:tab w:val="center" w:pos="3985"/>
        </w:tabs>
        <w:suppressAutoHyphens/>
        <w:spacing w:after="0" w:line="276" w:lineRule="auto"/>
        <w:jc w:val="center"/>
        <w:rPr>
          <w:rFonts w:ascii="Century Gothic" w:eastAsia="Times New Roman" w:hAnsi="Century Gothic" w:cs="Arial"/>
          <w:b/>
          <w:lang w:val="es-ES"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rPr>
        <w:drawing>
          <wp:anchor distT="0" distB="0" distL="114300" distR="114300" simplePos="0" relativeHeight="251659264" behindDoc="0" locked="0" layoutInCell="1" allowOverlap="1" wp14:anchorId="0CFD0DE7" wp14:editId="630B0406">
            <wp:simplePos x="0" y="0"/>
            <wp:positionH relativeFrom="margin">
              <wp:posOffset>-95250</wp:posOffset>
            </wp:positionH>
            <wp:positionV relativeFrom="paragraph">
              <wp:posOffset>1270</wp:posOffset>
            </wp:positionV>
            <wp:extent cx="2438400" cy="638175"/>
            <wp:effectExtent l="0" t="0" r="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8400" cy="638175"/>
                    </a:xfrm>
                    <a:prstGeom prst="rect">
                      <a:avLst/>
                    </a:prstGeom>
                    <a:noFill/>
                  </pic:spPr>
                </pic:pic>
              </a:graphicData>
            </a:graphic>
            <wp14:sizeRelH relativeFrom="page">
              <wp14:pctWidth>0</wp14:pctWidth>
            </wp14:sizeRelH>
            <wp14:sizeRelV relativeFrom="page">
              <wp14:pctHeight>0</wp14:pctHeight>
            </wp14:sizeRelV>
          </wp:anchor>
        </w:drawing>
      </w:r>
      <w:r>
        <w:rPr>
          <w:rFonts w:ascii="Century Gothic" w:eastAsia="Times New Roman" w:hAnsi="Century Gothic" w:cs="Arial"/>
          <w:b/>
          <w:lang w:val="es-MX"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JUZGADO SESENTA Y CUATRO (64) ADMINISTRATIVO DE ORALIDAD DEL CIRCUITO JUDICIAL DE BOGOTÁ - SECCIÓN TERCERA</w:t>
      </w:r>
    </w:p>
    <w:p w14:paraId="579FC7DD" w14:textId="77777777" w:rsidR="00C54A45" w:rsidRDefault="00C54A45" w:rsidP="00C54A45">
      <w:pPr>
        <w:tabs>
          <w:tab w:val="center" w:pos="3985"/>
        </w:tabs>
        <w:suppressAutoHyphens/>
        <w:spacing w:after="0" w:line="276" w:lineRule="auto"/>
        <w:jc w:val="center"/>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pPr>
      <w:r>
        <w:rPr>
          <w:rFonts w:ascii="Century Gothic" w:eastAsia="Times New Roman" w:hAnsi="Century Gothic" w:cs="Arial"/>
          <w:lang w:val="es-ES_tradnl"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tab/>
      </w:r>
      <w:r>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tab/>
      </w:r>
      <w:r>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tab/>
      </w:r>
      <w:r>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tab/>
      </w:r>
    </w:p>
    <w:p w14:paraId="27C357A8" w14:textId="283CF052" w:rsidR="00C54A45" w:rsidRPr="005523E3" w:rsidRDefault="00C54A45" w:rsidP="002204F8">
      <w:pPr>
        <w:tabs>
          <w:tab w:val="center" w:pos="3985"/>
        </w:tabs>
        <w:suppressAutoHyphens/>
        <w:spacing w:after="0" w:line="276" w:lineRule="auto"/>
        <w:rPr>
          <w:rFonts w:ascii="Century Gothic" w:eastAsia="Times New Roman" w:hAnsi="Century Gothic" w:cs="Arial"/>
          <w:sz w:val="23"/>
          <w:szCs w:val="23"/>
          <w:lang w:val="es-ES" w:eastAsia="es-ES"/>
        </w:rPr>
      </w:pPr>
      <w:r w:rsidRPr="005523E3">
        <w:rPr>
          <w:rFonts w:ascii="Century Gothic" w:eastAsia="Times New Roman" w:hAnsi="Century Gothic" w:cs="Arial"/>
          <w:sz w:val="23"/>
          <w:szCs w:val="23"/>
          <w:lang w:val="es-ES" w:eastAsia="es-ES"/>
        </w:rPr>
        <w:t>Bogotá D.C., Veintinueve (29) de Mayo de dos mil veinticuatro (2024).</w:t>
      </w:r>
    </w:p>
    <w:p w14:paraId="0C0690DD" w14:textId="77777777" w:rsidR="00C54A45" w:rsidRPr="005523E3" w:rsidRDefault="00C54A45" w:rsidP="002204F8">
      <w:pPr>
        <w:tabs>
          <w:tab w:val="center" w:pos="3985"/>
        </w:tabs>
        <w:suppressAutoHyphens/>
        <w:spacing w:after="0" w:line="276" w:lineRule="auto"/>
        <w:rPr>
          <w:rFonts w:ascii="Century Gothic" w:eastAsia="Times New Roman" w:hAnsi="Century Gothic" w:cs="Arial"/>
          <w:b/>
          <w:spacing w:val="-4"/>
          <w:sz w:val="23"/>
          <w:szCs w:val="23"/>
          <w:lang w:val="es-ES_tradnl" w:eastAsia="es-ES"/>
          <w14:shadow w14:blurRad="50800" w14:dist="38100" w14:dir="2700000" w14:sx="100000" w14:sy="100000" w14:kx="0" w14:ky="0" w14:algn="tl">
            <w14:srgbClr w14:val="000000">
              <w14:alpha w14:val="60000"/>
            </w14:srgbClr>
          </w14:shadow>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663"/>
      </w:tblGrid>
      <w:tr w:rsidR="00C54A45" w:rsidRPr="005523E3" w14:paraId="32E67F14" w14:textId="77777777" w:rsidTr="00270BFE">
        <w:trPr>
          <w:trHeight w:val="79"/>
          <w:jc w:val="center"/>
        </w:trPr>
        <w:tc>
          <w:tcPr>
            <w:tcW w:w="2268" w:type="dxa"/>
            <w:tcBorders>
              <w:top w:val="single" w:sz="4" w:space="0" w:color="auto"/>
              <w:left w:val="single" w:sz="4" w:space="0" w:color="auto"/>
              <w:bottom w:val="single" w:sz="4" w:space="0" w:color="auto"/>
              <w:right w:val="single" w:sz="4" w:space="0" w:color="auto"/>
            </w:tcBorders>
            <w:hideMark/>
          </w:tcPr>
          <w:p w14:paraId="72F0370A" w14:textId="77777777" w:rsidR="00C54A45" w:rsidRPr="005523E3" w:rsidRDefault="00C54A45" w:rsidP="002204F8">
            <w:pPr>
              <w:spacing w:after="0" w:line="276" w:lineRule="auto"/>
              <w:rPr>
                <w:rFonts w:ascii="Century Gothic" w:eastAsia="Times New Roman" w:hAnsi="Century Gothic" w:cs="Times New Roman"/>
                <w:b/>
                <w:bCs/>
                <w:sz w:val="23"/>
                <w:szCs w:val="23"/>
                <w:lang w:val="es-ES" w:eastAsia="es-ES"/>
              </w:rPr>
            </w:pPr>
            <w:r w:rsidRPr="005523E3">
              <w:rPr>
                <w:rFonts w:ascii="Century Gothic" w:eastAsia="Times New Roman" w:hAnsi="Century Gothic" w:cs="Times New Roman"/>
                <w:b/>
                <w:bCs/>
                <w:sz w:val="23"/>
                <w:szCs w:val="23"/>
                <w:lang w:val="es-ES" w:eastAsia="es-ES"/>
              </w:rPr>
              <w:t>Juez:</w:t>
            </w:r>
          </w:p>
        </w:tc>
        <w:tc>
          <w:tcPr>
            <w:tcW w:w="6663" w:type="dxa"/>
            <w:tcBorders>
              <w:top w:val="single" w:sz="4" w:space="0" w:color="auto"/>
              <w:left w:val="single" w:sz="4" w:space="0" w:color="auto"/>
              <w:bottom w:val="single" w:sz="4" w:space="0" w:color="auto"/>
              <w:right w:val="single" w:sz="4" w:space="0" w:color="auto"/>
            </w:tcBorders>
            <w:hideMark/>
          </w:tcPr>
          <w:p w14:paraId="047C62CA" w14:textId="77777777" w:rsidR="00C54A45" w:rsidRPr="005523E3" w:rsidRDefault="00C54A45" w:rsidP="002204F8">
            <w:pPr>
              <w:spacing w:after="0" w:line="276" w:lineRule="auto"/>
              <w:rPr>
                <w:rFonts w:ascii="Century Gothic" w:eastAsia="Times New Roman" w:hAnsi="Century Gothic" w:cs="Times New Roman"/>
                <w:sz w:val="23"/>
                <w:szCs w:val="23"/>
                <w:lang w:val="es-ES" w:eastAsia="es-ES"/>
              </w:rPr>
            </w:pPr>
            <w:r w:rsidRPr="005523E3">
              <w:rPr>
                <w:rFonts w:ascii="Century Gothic" w:eastAsia="Times New Roman" w:hAnsi="Century Gothic" w:cs="Times New Roman"/>
                <w:sz w:val="23"/>
                <w:szCs w:val="23"/>
                <w:lang w:val="es-ES" w:eastAsia="es-ES"/>
              </w:rPr>
              <w:t>John Alexander Ceballos Gaviria</w:t>
            </w:r>
          </w:p>
        </w:tc>
      </w:tr>
      <w:tr w:rsidR="00C54A45" w:rsidRPr="005523E3" w14:paraId="6C0B445D" w14:textId="77777777" w:rsidTr="00270BFE">
        <w:trPr>
          <w:trHeight w:val="79"/>
          <w:jc w:val="center"/>
        </w:trPr>
        <w:tc>
          <w:tcPr>
            <w:tcW w:w="2268" w:type="dxa"/>
            <w:tcBorders>
              <w:top w:val="single" w:sz="4" w:space="0" w:color="auto"/>
              <w:left w:val="single" w:sz="4" w:space="0" w:color="auto"/>
              <w:bottom w:val="single" w:sz="4" w:space="0" w:color="auto"/>
              <w:right w:val="single" w:sz="4" w:space="0" w:color="auto"/>
            </w:tcBorders>
            <w:hideMark/>
          </w:tcPr>
          <w:p w14:paraId="4FA5F5BC" w14:textId="77777777" w:rsidR="00C54A45" w:rsidRPr="005523E3" w:rsidRDefault="00C54A45" w:rsidP="002204F8">
            <w:pPr>
              <w:spacing w:after="0" w:line="276" w:lineRule="auto"/>
              <w:rPr>
                <w:rFonts w:ascii="Century Gothic" w:eastAsia="Times New Roman" w:hAnsi="Century Gothic" w:cs="Times New Roman"/>
                <w:b/>
                <w:bCs/>
                <w:sz w:val="23"/>
                <w:szCs w:val="23"/>
                <w:lang w:val="es-ES" w:eastAsia="es-ES"/>
              </w:rPr>
            </w:pPr>
            <w:r w:rsidRPr="005523E3">
              <w:rPr>
                <w:rFonts w:ascii="Century Gothic" w:eastAsia="Times New Roman" w:hAnsi="Century Gothic" w:cs="Times New Roman"/>
                <w:b/>
                <w:bCs/>
                <w:sz w:val="23"/>
                <w:szCs w:val="23"/>
                <w:lang w:val="es-ES" w:eastAsia="es-ES"/>
              </w:rPr>
              <w:t>Medio de control:</w:t>
            </w:r>
          </w:p>
        </w:tc>
        <w:tc>
          <w:tcPr>
            <w:tcW w:w="6663" w:type="dxa"/>
            <w:tcBorders>
              <w:top w:val="single" w:sz="4" w:space="0" w:color="auto"/>
              <w:left w:val="single" w:sz="4" w:space="0" w:color="auto"/>
              <w:bottom w:val="single" w:sz="4" w:space="0" w:color="auto"/>
              <w:right w:val="single" w:sz="4" w:space="0" w:color="auto"/>
            </w:tcBorders>
            <w:hideMark/>
          </w:tcPr>
          <w:p w14:paraId="2CD1147A" w14:textId="77777777" w:rsidR="00C54A45" w:rsidRPr="005523E3" w:rsidRDefault="00C54A45" w:rsidP="002204F8">
            <w:pPr>
              <w:spacing w:after="0" w:line="276" w:lineRule="auto"/>
              <w:rPr>
                <w:rFonts w:ascii="Century Gothic" w:eastAsia="Times New Roman" w:hAnsi="Century Gothic" w:cs="Times New Roman"/>
                <w:sz w:val="23"/>
                <w:szCs w:val="23"/>
                <w:lang w:val="es-ES" w:eastAsia="es-ES"/>
              </w:rPr>
            </w:pPr>
            <w:r w:rsidRPr="005523E3">
              <w:rPr>
                <w:rFonts w:ascii="Century Gothic" w:eastAsia="Times New Roman" w:hAnsi="Century Gothic" w:cs="Times New Roman"/>
                <w:sz w:val="23"/>
                <w:szCs w:val="23"/>
                <w:lang w:val="es-ES" w:eastAsia="es-ES"/>
              </w:rPr>
              <w:t>Reparación Directa</w:t>
            </w:r>
          </w:p>
        </w:tc>
      </w:tr>
      <w:tr w:rsidR="00C54A45" w:rsidRPr="005523E3" w14:paraId="2A92D6D3" w14:textId="77777777" w:rsidTr="00270BFE">
        <w:trPr>
          <w:trHeight w:val="79"/>
          <w:jc w:val="center"/>
        </w:trPr>
        <w:tc>
          <w:tcPr>
            <w:tcW w:w="2268" w:type="dxa"/>
            <w:tcBorders>
              <w:top w:val="single" w:sz="4" w:space="0" w:color="auto"/>
              <w:left w:val="single" w:sz="4" w:space="0" w:color="auto"/>
              <w:bottom w:val="single" w:sz="4" w:space="0" w:color="auto"/>
              <w:right w:val="single" w:sz="4" w:space="0" w:color="auto"/>
            </w:tcBorders>
            <w:hideMark/>
          </w:tcPr>
          <w:p w14:paraId="074A9EE5" w14:textId="77777777" w:rsidR="00C54A45" w:rsidRPr="005523E3" w:rsidRDefault="00C54A45" w:rsidP="002204F8">
            <w:pPr>
              <w:spacing w:after="0" w:line="276" w:lineRule="auto"/>
              <w:rPr>
                <w:rFonts w:ascii="Century Gothic" w:eastAsia="Times New Roman" w:hAnsi="Century Gothic" w:cs="Times New Roman"/>
                <w:b/>
                <w:bCs/>
                <w:sz w:val="23"/>
                <w:szCs w:val="23"/>
                <w:lang w:val="es-ES" w:eastAsia="es-ES"/>
              </w:rPr>
            </w:pPr>
            <w:r w:rsidRPr="005523E3">
              <w:rPr>
                <w:rFonts w:ascii="Century Gothic" w:eastAsia="Times New Roman" w:hAnsi="Century Gothic" w:cs="Times New Roman"/>
                <w:b/>
                <w:bCs/>
                <w:sz w:val="23"/>
                <w:szCs w:val="23"/>
                <w:lang w:val="es-ES" w:eastAsia="es-ES"/>
              </w:rPr>
              <w:t>Radicación no.:</w:t>
            </w:r>
          </w:p>
        </w:tc>
        <w:tc>
          <w:tcPr>
            <w:tcW w:w="6663" w:type="dxa"/>
            <w:tcBorders>
              <w:top w:val="single" w:sz="4" w:space="0" w:color="auto"/>
              <w:left w:val="single" w:sz="4" w:space="0" w:color="auto"/>
              <w:bottom w:val="single" w:sz="4" w:space="0" w:color="auto"/>
              <w:right w:val="single" w:sz="4" w:space="0" w:color="auto"/>
            </w:tcBorders>
            <w:hideMark/>
          </w:tcPr>
          <w:p w14:paraId="54BE7B73" w14:textId="677D2E51" w:rsidR="00C54A45" w:rsidRPr="005523E3" w:rsidRDefault="00C54A45" w:rsidP="002204F8">
            <w:pPr>
              <w:spacing w:after="0" w:line="276" w:lineRule="auto"/>
              <w:rPr>
                <w:rFonts w:ascii="Century Gothic" w:eastAsia="Times New Roman" w:hAnsi="Century Gothic" w:cs="Times New Roman"/>
                <w:b/>
                <w:bCs/>
                <w:sz w:val="23"/>
                <w:szCs w:val="23"/>
                <w:lang w:val="es-ES" w:eastAsia="es-ES"/>
              </w:rPr>
            </w:pPr>
            <w:r w:rsidRPr="005523E3">
              <w:rPr>
                <w:rFonts w:ascii="Century Gothic" w:eastAsia="Times New Roman" w:hAnsi="Century Gothic" w:cs="Times New Roman"/>
                <w:b/>
                <w:bCs/>
                <w:sz w:val="23"/>
                <w:szCs w:val="23"/>
                <w:lang w:val="es-ES" w:eastAsia="es-ES"/>
              </w:rPr>
              <w:t>110013343064-2017-00105-00</w:t>
            </w:r>
          </w:p>
        </w:tc>
      </w:tr>
      <w:tr w:rsidR="00C54A45" w:rsidRPr="005523E3" w14:paraId="6C50A3F5" w14:textId="77777777" w:rsidTr="00270BFE">
        <w:trPr>
          <w:trHeight w:val="71"/>
          <w:jc w:val="center"/>
        </w:trPr>
        <w:tc>
          <w:tcPr>
            <w:tcW w:w="2268" w:type="dxa"/>
            <w:tcBorders>
              <w:top w:val="single" w:sz="4" w:space="0" w:color="auto"/>
              <w:left w:val="single" w:sz="4" w:space="0" w:color="auto"/>
              <w:bottom w:val="single" w:sz="4" w:space="0" w:color="auto"/>
              <w:right w:val="single" w:sz="4" w:space="0" w:color="auto"/>
            </w:tcBorders>
            <w:hideMark/>
          </w:tcPr>
          <w:p w14:paraId="5E4833A4" w14:textId="77777777" w:rsidR="00C54A45" w:rsidRPr="005523E3" w:rsidRDefault="00C54A45" w:rsidP="002204F8">
            <w:pPr>
              <w:spacing w:after="0" w:line="276" w:lineRule="auto"/>
              <w:rPr>
                <w:rFonts w:ascii="Century Gothic" w:eastAsia="Times New Roman" w:hAnsi="Century Gothic" w:cs="Times New Roman"/>
                <w:b/>
                <w:bCs/>
                <w:sz w:val="23"/>
                <w:szCs w:val="23"/>
                <w:lang w:val="es-ES" w:eastAsia="es-ES"/>
              </w:rPr>
            </w:pPr>
            <w:r w:rsidRPr="005523E3">
              <w:rPr>
                <w:rFonts w:ascii="Century Gothic" w:eastAsia="Times New Roman" w:hAnsi="Century Gothic" w:cs="Times New Roman"/>
                <w:b/>
                <w:bCs/>
                <w:sz w:val="23"/>
                <w:szCs w:val="23"/>
                <w:lang w:val="es-ES" w:eastAsia="es-ES"/>
              </w:rPr>
              <w:t>Demandante:</w:t>
            </w:r>
          </w:p>
        </w:tc>
        <w:tc>
          <w:tcPr>
            <w:tcW w:w="6663" w:type="dxa"/>
            <w:tcBorders>
              <w:top w:val="single" w:sz="4" w:space="0" w:color="auto"/>
              <w:left w:val="single" w:sz="4" w:space="0" w:color="auto"/>
              <w:bottom w:val="single" w:sz="4" w:space="0" w:color="auto"/>
              <w:right w:val="single" w:sz="4" w:space="0" w:color="auto"/>
            </w:tcBorders>
            <w:hideMark/>
          </w:tcPr>
          <w:p w14:paraId="12F2165D" w14:textId="5B0454D1" w:rsidR="00C54A45" w:rsidRPr="005523E3" w:rsidRDefault="00C54A45" w:rsidP="002204F8">
            <w:pPr>
              <w:tabs>
                <w:tab w:val="left" w:pos="4215"/>
              </w:tabs>
              <w:spacing w:after="0" w:line="276" w:lineRule="auto"/>
              <w:rPr>
                <w:rFonts w:ascii="Century Gothic" w:eastAsia="Times New Roman" w:hAnsi="Century Gothic" w:cs="Times New Roman"/>
                <w:color w:val="000000"/>
                <w:sz w:val="23"/>
                <w:szCs w:val="23"/>
                <w:lang w:val="es-ES" w:eastAsia="es-ES"/>
              </w:rPr>
            </w:pPr>
            <w:r w:rsidRPr="005523E3">
              <w:rPr>
                <w:rFonts w:ascii="Century Gothic" w:eastAsia="Times New Roman" w:hAnsi="Century Gothic" w:cs="Times New Roman"/>
                <w:color w:val="000000"/>
                <w:sz w:val="23"/>
                <w:szCs w:val="23"/>
                <w:lang w:val="es-ES" w:eastAsia="es-ES"/>
              </w:rPr>
              <w:t xml:space="preserve">Henry Manuel Martínez Pimienta y Otros. </w:t>
            </w:r>
          </w:p>
        </w:tc>
      </w:tr>
      <w:tr w:rsidR="00C54A45" w:rsidRPr="005523E3" w14:paraId="76B6C106" w14:textId="77777777" w:rsidTr="00270BFE">
        <w:trPr>
          <w:trHeight w:val="257"/>
          <w:jc w:val="center"/>
        </w:trPr>
        <w:tc>
          <w:tcPr>
            <w:tcW w:w="2268" w:type="dxa"/>
            <w:tcBorders>
              <w:top w:val="single" w:sz="4" w:space="0" w:color="auto"/>
              <w:left w:val="single" w:sz="4" w:space="0" w:color="auto"/>
              <w:bottom w:val="single" w:sz="4" w:space="0" w:color="auto"/>
              <w:right w:val="single" w:sz="4" w:space="0" w:color="auto"/>
            </w:tcBorders>
            <w:hideMark/>
          </w:tcPr>
          <w:p w14:paraId="6CAED45B" w14:textId="77777777" w:rsidR="00C54A45" w:rsidRPr="005523E3" w:rsidRDefault="00C54A45" w:rsidP="002204F8">
            <w:pPr>
              <w:spacing w:after="0" w:line="276" w:lineRule="auto"/>
              <w:rPr>
                <w:rFonts w:ascii="Century Gothic" w:eastAsia="Times New Roman" w:hAnsi="Century Gothic" w:cs="Times New Roman"/>
                <w:b/>
                <w:bCs/>
                <w:sz w:val="23"/>
                <w:szCs w:val="23"/>
                <w:lang w:val="es-ES" w:eastAsia="es-ES"/>
              </w:rPr>
            </w:pPr>
            <w:r w:rsidRPr="005523E3">
              <w:rPr>
                <w:rFonts w:ascii="Century Gothic" w:eastAsia="Times New Roman" w:hAnsi="Century Gothic" w:cs="Times New Roman"/>
                <w:b/>
                <w:bCs/>
                <w:sz w:val="23"/>
                <w:szCs w:val="23"/>
                <w:lang w:val="es-ES" w:eastAsia="es-ES"/>
              </w:rPr>
              <w:t>Demandado:</w:t>
            </w:r>
          </w:p>
        </w:tc>
        <w:tc>
          <w:tcPr>
            <w:tcW w:w="6663" w:type="dxa"/>
            <w:tcBorders>
              <w:top w:val="single" w:sz="4" w:space="0" w:color="auto"/>
              <w:left w:val="single" w:sz="4" w:space="0" w:color="auto"/>
              <w:bottom w:val="single" w:sz="4" w:space="0" w:color="auto"/>
              <w:right w:val="single" w:sz="4" w:space="0" w:color="auto"/>
            </w:tcBorders>
            <w:hideMark/>
          </w:tcPr>
          <w:p w14:paraId="0A1585B2" w14:textId="29BE0875" w:rsidR="00C54A45" w:rsidRPr="005523E3" w:rsidRDefault="00C54A45" w:rsidP="002204F8">
            <w:pPr>
              <w:tabs>
                <w:tab w:val="left" w:pos="4215"/>
              </w:tabs>
              <w:spacing w:after="0" w:line="276" w:lineRule="auto"/>
              <w:jc w:val="both"/>
              <w:rPr>
                <w:rFonts w:ascii="Century Gothic" w:eastAsia="Times New Roman" w:hAnsi="Century Gothic" w:cs="Times New Roman"/>
                <w:color w:val="000000"/>
                <w:sz w:val="23"/>
                <w:szCs w:val="23"/>
                <w:lang w:val="es-ES" w:eastAsia="es-ES"/>
              </w:rPr>
            </w:pPr>
            <w:r w:rsidRPr="005523E3">
              <w:rPr>
                <w:rFonts w:ascii="Century Gothic" w:eastAsia="Times New Roman" w:hAnsi="Century Gothic" w:cs="Times New Roman"/>
                <w:color w:val="000000"/>
                <w:sz w:val="23"/>
                <w:szCs w:val="23"/>
                <w:lang w:val="es-ES" w:eastAsia="es-ES"/>
              </w:rPr>
              <w:t>Instituto Nacional Penitenciario y Carcelario – INPEC</w:t>
            </w:r>
            <w:r w:rsidR="00F665EB" w:rsidRPr="005523E3">
              <w:rPr>
                <w:rFonts w:ascii="Century Gothic" w:eastAsia="Times New Roman" w:hAnsi="Century Gothic" w:cs="Times New Roman"/>
                <w:color w:val="000000"/>
                <w:sz w:val="23"/>
                <w:szCs w:val="23"/>
                <w:lang w:val="es-ES" w:eastAsia="es-ES"/>
              </w:rPr>
              <w:t xml:space="preserve"> y Otro. </w:t>
            </w:r>
          </w:p>
        </w:tc>
      </w:tr>
    </w:tbl>
    <w:p w14:paraId="5C17E855" w14:textId="77777777" w:rsidR="00C54A45" w:rsidRPr="005523E3" w:rsidRDefault="00C54A45" w:rsidP="002204F8">
      <w:pPr>
        <w:spacing w:after="0" w:line="276" w:lineRule="auto"/>
        <w:jc w:val="center"/>
        <w:textAlignment w:val="baseline"/>
        <w:rPr>
          <w:rFonts w:ascii="Century Gothic" w:eastAsia="Times New Roman" w:hAnsi="Century Gothic" w:cs="Segoe UI"/>
          <w:b/>
          <w:bCs/>
          <w:kern w:val="0"/>
          <w:sz w:val="23"/>
          <w:szCs w:val="23"/>
          <w:lang w:val="es-ES" w:eastAsia="es-CO"/>
          <w14:ligatures w14:val="none"/>
        </w:rPr>
      </w:pPr>
    </w:p>
    <w:p w14:paraId="1C38E71D" w14:textId="77777777" w:rsidR="00C54A45" w:rsidRPr="005523E3" w:rsidRDefault="00C54A45" w:rsidP="002204F8">
      <w:pPr>
        <w:spacing w:after="0" w:line="276" w:lineRule="auto"/>
        <w:jc w:val="center"/>
        <w:textAlignment w:val="baseline"/>
        <w:rPr>
          <w:rFonts w:ascii="Century Gothic" w:eastAsia="Times New Roman" w:hAnsi="Century Gothic" w:cs="Segoe UI"/>
          <w:b/>
          <w:bCs/>
          <w:kern w:val="0"/>
          <w:sz w:val="23"/>
          <w:szCs w:val="23"/>
          <w:lang w:val="es-ES" w:eastAsia="es-CO"/>
          <w14:ligatures w14:val="none"/>
        </w:rPr>
      </w:pPr>
    </w:p>
    <w:p w14:paraId="4E06FC08" w14:textId="07A517DB" w:rsidR="00C54A45" w:rsidRPr="005523E3" w:rsidRDefault="00166308" w:rsidP="002204F8">
      <w:pPr>
        <w:spacing w:after="0" w:line="276" w:lineRule="auto"/>
        <w:jc w:val="center"/>
        <w:textAlignment w:val="baseline"/>
        <w:rPr>
          <w:rFonts w:ascii="Century Gothic" w:eastAsia="Times New Roman" w:hAnsi="Century Gothic" w:cs="Segoe UI"/>
          <w:kern w:val="0"/>
          <w:sz w:val="23"/>
          <w:szCs w:val="23"/>
          <w:lang w:eastAsia="es-CO"/>
          <w14:ligatures w14:val="none"/>
        </w:rPr>
      </w:pPr>
      <w:r w:rsidRPr="005523E3">
        <w:rPr>
          <w:rFonts w:ascii="Century Gothic" w:eastAsia="Times New Roman" w:hAnsi="Century Gothic" w:cs="Segoe UI"/>
          <w:b/>
          <w:bCs/>
          <w:kern w:val="0"/>
          <w:sz w:val="23"/>
          <w:szCs w:val="23"/>
          <w:lang w:val="es-ES" w:eastAsia="es-CO"/>
          <w14:ligatures w14:val="none"/>
        </w:rPr>
        <w:t xml:space="preserve">INCORPORA PRUEBAS DOCUMENTALES - </w:t>
      </w:r>
      <w:r w:rsidR="00C54A45" w:rsidRPr="005523E3">
        <w:rPr>
          <w:rFonts w:ascii="Century Gothic" w:eastAsia="Times New Roman" w:hAnsi="Century Gothic" w:cs="Segoe UI"/>
          <w:b/>
          <w:bCs/>
          <w:kern w:val="0"/>
          <w:sz w:val="23"/>
          <w:szCs w:val="23"/>
          <w:lang w:val="es-ES" w:eastAsia="es-CO"/>
          <w14:ligatures w14:val="none"/>
        </w:rPr>
        <w:t xml:space="preserve">RESUELVE RECURSO </w:t>
      </w:r>
      <w:r w:rsidR="003F4371" w:rsidRPr="005523E3">
        <w:rPr>
          <w:rFonts w:ascii="Century Gothic" w:eastAsia="Times New Roman" w:hAnsi="Century Gothic" w:cs="Segoe UI"/>
          <w:b/>
          <w:bCs/>
          <w:kern w:val="0"/>
          <w:sz w:val="23"/>
          <w:szCs w:val="23"/>
          <w:lang w:val="es-ES" w:eastAsia="es-CO"/>
          <w14:ligatures w14:val="none"/>
        </w:rPr>
        <w:t xml:space="preserve">– CIERRA ETAPA PROBATORIA - </w:t>
      </w:r>
      <w:r w:rsidR="00A9581E" w:rsidRPr="005523E3">
        <w:rPr>
          <w:rFonts w:ascii="Century Gothic" w:eastAsia="Times New Roman" w:hAnsi="Century Gothic" w:cs="Segoe UI"/>
          <w:b/>
          <w:bCs/>
          <w:kern w:val="0"/>
          <w:sz w:val="23"/>
          <w:szCs w:val="23"/>
          <w:lang w:val="es-ES" w:eastAsia="es-CO"/>
          <w14:ligatures w14:val="none"/>
        </w:rPr>
        <w:t>ORDENA CORRER TRASLADO DE ALEGATOS DE CONCLUSION</w:t>
      </w:r>
    </w:p>
    <w:p w14:paraId="7CFF9718" w14:textId="77777777" w:rsidR="00C54A45" w:rsidRPr="005523E3" w:rsidRDefault="00C54A45" w:rsidP="002204F8">
      <w:pPr>
        <w:spacing w:after="0" w:line="276" w:lineRule="auto"/>
        <w:jc w:val="both"/>
        <w:textAlignment w:val="baseline"/>
        <w:rPr>
          <w:rFonts w:ascii="Century Gothic" w:eastAsia="Times New Roman" w:hAnsi="Century Gothic" w:cs="Segoe UI"/>
          <w:b/>
          <w:bCs/>
          <w:kern w:val="0"/>
          <w:sz w:val="23"/>
          <w:szCs w:val="23"/>
          <w:lang w:eastAsia="es-CO"/>
          <w14:ligatures w14:val="none"/>
        </w:rPr>
      </w:pPr>
      <w:r w:rsidRPr="005523E3">
        <w:rPr>
          <w:rFonts w:ascii="Arial" w:eastAsia="Times New Roman" w:hAnsi="Arial" w:cs="Arial"/>
          <w:kern w:val="0"/>
          <w:sz w:val="23"/>
          <w:szCs w:val="23"/>
          <w:lang w:eastAsia="es-CO"/>
          <w14:ligatures w14:val="none"/>
        </w:rPr>
        <w:t> </w:t>
      </w:r>
      <w:r w:rsidRPr="005523E3">
        <w:rPr>
          <w:rFonts w:ascii="Century Gothic" w:eastAsia="Times New Roman" w:hAnsi="Century Gothic" w:cs="Segoe UI"/>
          <w:kern w:val="0"/>
          <w:sz w:val="23"/>
          <w:szCs w:val="23"/>
          <w:lang w:eastAsia="es-CO"/>
          <w14:ligatures w14:val="none"/>
        </w:rPr>
        <w:t> </w:t>
      </w:r>
    </w:p>
    <w:p w14:paraId="74546BE7" w14:textId="77777777" w:rsidR="00C54A45" w:rsidRPr="005523E3" w:rsidRDefault="00C54A45" w:rsidP="002204F8">
      <w:pPr>
        <w:pStyle w:val="Prrafodelista"/>
        <w:numPr>
          <w:ilvl w:val="0"/>
          <w:numId w:val="1"/>
        </w:numPr>
        <w:spacing w:after="0" w:line="276" w:lineRule="auto"/>
        <w:jc w:val="both"/>
        <w:textAlignment w:val="baseline"/>
        <w:rPr>
          <w:rFonts w:ascii="Century Gothic" w:eastAsia="Times New Roman" w:hAnsi="Century Gothic" w:cs="Segoe UI"/>
          <w:b/>
          <w:bCs/>
          <w:kern w:val="0"/>
          <w:sz w:val="23"/>
          <w:szCs w:val="23"/>
          <w:lang w:eastAsia="es-CO"/>
          <w14:ligatures w14:val="none"/>
        </w:rPr>
      </w:pPr>
      <w:r w:rsidRPr="005523E3">
        <w:rPr>
          <w:rFonts w:ascii="Century Gothic" w:eastAsia="Times New Roman" w:hAnsi="Century Gothic" w:cs="Segoe UI"/>
          <w:b/>
          <w:bCs/>
          <w:kern w:val="0"/>
          <w:sz w:val="23"/>
          <w:szCs w:val="23"/>
          <w:lang w:eastAsia="es-CO"/>
          <w14:ligatures w14:val="none"/>
        </w:rPr>
        <w:t>Antecedentes</w:t>
      </w:r>
      <w:r w:rsidRPr="005523E3">
        <w:rPr>
          <w:rFonts w:ascii="Arial" w:eastAsia="Times New Roman" w:hAnsi="Arial" w:cs="Arial"/>
          <w:b/>
          <w:bCs/>
          <w:kern w:val="0"/>
          <w:sz w:val="23"/>
          <w:szCs w:val="23"/>
          <w:lang w:val="en-US" w:eastAsia="es-CO"/>
          <w14:ligatures w14:val="none"/>
        </w:rPr>
        <w:t> </w:t>
      </w:r>
      <w:r w:rsidRPr="005523E3">
        <w:rPr>
          <w:rFonts w:ascii="Century Gothic" w:eastAsia="Times New Roman" w:hAnsi="Century Gothic" w:cs="Segoe UI"/>
          <w:b/>
          <w:bCs/>
          <w:kern w:val="0"/>
          <w:sz w:val="23"/>
          <w:szCs w:val="23"/>
          <w:lang w:eastAsia="es-CO"/>
          <w14:ligatures w14:val="none"/>
        </w:rPr>
        <w:t> </w:t>
      </w:r>
    </w:p>
    <w:p w14:paraId="65BC643E" w14:textId="77777777" w:rsidR="00C54A45" w:rsidRPr="005523E3" w:rsidRDefault="00C54A45" w:rsidP="002204F8">
      <w:pPr>
        <w:spacing w:after="0" w:line="276" w:lineRule="auto"/>
        <w:jc w:val="both"/>
        <w:textAlignment w:val="baseline"/>
        <w:rPr>
          <w:rFonts w:ascii="Century Gothic" w:eastAsia="Times New Roman" w:hAnsi="Century Gothic" w:cs="Segoe UI"/>
          <w:kern w:val="0"/>
          <w:sz w:val="23"/>
          <w:szCs w:val="23"/>
          <w:lang w:eastAsia="es-CO"/>
          <w14:ligatures w14:val="none"/>
        </w:rPr>
      </w:pPr>
      <w:r w:rsidRPr="005523E3">
        <w:rPr>
          <w:rFonts w:ascii="Arial" w:eastAsia="Times New Roman" w:hAnsi="Arial" w:cs="Arial"/>
          <w:kern w:val="0"/>
          <w:sz w:val="23"/>
          <w:szCs w:val="23"/>
          <w:lang w:val="en-US" w:eastAsia="es-CO"/>
          <w14:ligatures w14:val="none"/>
        </w:rPr>
        <w:t> </w:t>
      </w:r>
      <w:r w:rsidRPr="005523E3">
        <w:rPr>
          <w:rFonts w:ascii="Century Gothic" w:eastAsia="Times New Roman" w:hAnsi="Century Gothic" w:cs="Segoe UI"/>
          <w:kern w:val="0"/>
          <w:sz w:val="23"/>
          <w:szCs w:val="23"/>
          <w:lang w:eastAsia="es-CO"/>
          <w14:ligatures w14:val="none"/>
        </w:rPr>
        <w:t> </w:t>
      </w:r>
    </w:p>
    <w:p w14:paraId="075E8AF3" w14:textId="7C40BA9A" w:rsidR="00C54A45" w:rsidRPr="005523E3" w:rsidRDefault="00C54A45" w:rsidP="002204F8">
      <w:pPr>
        <w:pStyle w:val="Textoindependiente2"/>
        <w:spacing w:after="0" w:line="276" w:lineRule="auto"/>
        <w:jc w:val="both"/>
        <w:rPr>
          <w:rFonts w:ascii="Century Gothic" w:eastAsia="Century Gothic" w:hAnsi="Century Gothic" w:cs="Century Gothic"/>
          <w:color w:val="000000"/>
          <w:sz w:val="23"/>
          <w:szCs w:val="23"/>
          <w:shd w:val="clear" w:color="auto" w:fill="FFFFFF"/>
        </w:rPr>
      </w:pPr>
      <w:r w:rsidRPr="005523E3">
        <w:rPr>
          <w:rFonts w:ascii="Century Gothic" w:eastAsia="Century Gothic" w:hAnsi="Century Gothic" w:cs="Century Gothic"/>
          <w:color w:val="000000"/>
          <w:sz w:val="23"/>
          <w:szCs w:val="23"/>
          <w:shd w:val="clear" w:color="auto" w:fill="FFFFFF"/>
        </w:rPr>
        <w:t xml:space="preserve">Por auto de fecha de </w:t>
      </w:r>
      <w:r w:rsidR="00166308" w:rsidRPr="005523E3">
        <w:rPr>
          <w:rFonts w:ascii="Century Gothic" w:eastAsia="Century Gothic" w:hAnsi="Century Gothic" w:cs="Century Gothic"/>
          <w:color w:val="000000"/>
          <w:sz w:val="23"/>
          <w:szCs w:val="23"/>
          <w:shd w:val="clear" w:color="auto" w:fill="FFFFFF"/>
        </w:rPr>
        <w:t xml:space="preserve">26 </w:t>
      </w:r>
      <w:r w:rsidRPr="005523E3">
        <w:rPr>
          <w:rFonts w:ascii="Century Gothic" w:eastAsia="Century Gothic" w:hAnsi="Century Gothic" w:cs="Century Gothic"/>
          <w:color w:val="000000"/>
          <w:sz w:val="23"/>
          <w:szCs w:val="23"/>
          <w:shd w:val="clear" w:color="auto" w:fill="FFFFFF"/>
        </w:rPr>
        <w:t xml:space="preserve">de </w:t>
      </w:r>
      <w:r w:rsidR="00166308" w:rsidRPr="005523E3">
        <w:rPr>
          <w:rFonts w:ascii="Century Gothic" w:eastAsia="Century Gothic" w:hAnsi="Century Gothic" w:cs="Century Gothic"/>
          <w:color w:val="000000"/>
          <w:sz w:val="23"/>
          <w:szCs w:val="23"/>
          <w:shd w:val="clear" w:color="auto" w:fill="FFFFFF"/>
        </w:rPr>
        <w:t>junio</w:t>
      </w:r>
      <w:r w:rsidRPr="005523E3">
        <w:rPr>
          <w:rFonts w:ascii="Century Gothic" w:eastAsia="Century Gothic" w:hAnsi="Century Gothic" w:cs="Century Gothic"/>
          <w:color w:val="000000"/>
          <w:sz w:val="23"/>
          <w:szCs w:val="23"/>
          <w:shd w:val="clear" w:color="auto" w:fill="FFFFFF"/>
        </w:rPr>
        <w:t xml:space="preserve"> de 202</w:t>
      </w:r>
      <w:r w:rsidR="00166308" w:rsidRPr="005523E3">
        <w:rPr>
          <w:rFonts w:ascii="Century Gothic" w:eastAsia="Century Gothic" w:hAnsi="Century Gothic" w:cs="Century Gothic"/>
          <w:color w:val="000000"/>
          <w:sz w:val="23"/>
          <w:szCs w:val="23"/>
          <w:shd w:val="clear" w:color="auto" w:fill="FFFFFF"/>
        </w:rPr>
        <w:t>3</w:t>
      </w:r>
      <w:r w:rsidRPr="005523E3">
        <w:rPr>
          <w:rFonts w:ascii="Century Gothic" w:eastAsia="Century Gothic" w:hAnsi="Century Gothic" w:cs="Century Gothic"/>
          <w:color w:val="000000"/>
          <w:sz w:val="23"/>
          <w:szCs w:val="23"/>
          <w:shd w:val="clear" w:color="auto" w:fill="FFFFFF"/>
        </w:rPr>
        <w:t xml:space="preserve">, se dispuso </w:t>
      </w:r>
      <w:r w:rsidR="00EB200C" w:rsidRPr="005523E3">
        <w:rPr>
          <w:rFonts w:ascii="Century Gothic" w:eastAsia="Century Gothic" w:hAnsi="Century Gothic" w:cs="Century Gothic"/>
          <w:color w:val="000000"/>
          <w:sz w:val="23"/>
          <w:szCs w:val="23"/>
          <w:shd w:val="clear" w:color="auto" w:fill="FFFFFF"/>
        </w:rPr>
        <w:t xml:space="preserve">a poner en conocimiento de las partes las pruebas documentales aportadas por el INPEC y se decretó desistimiento de prueba documental con destino a la Defensoría del Pueblo. </w:t>
      </w:r>
    </w:p>
    <w:p w14:paraId="51053962" w14:textId="77777777" w:rsidR="00C54A45" w:rsidRPr="005523E3" w:rsidRDefault="00C54A45" w:rsidP="002204F8">
      <w:pPr>
        <w:pStyle w:val="Textoindependiente2"/>
        <w:spacing w:after="0" w:line="276" w:lineRule="auto"/>
        <w:jc w:val="both"/>
        <w:rPr>
          <w:rFonts w:ascii="Century Gothic" w:eastAsia="Century Gothic" w:hAnsi="Century Gothic" w:cs="Century Gothic"/>
          <w:color w:val="000000"/>
          <w:sz w:val="23"/>
          <w:szCs w:val="23"/>
          <w:shd w:val="clear" w:color="auto" w:fill="FFFFFF"/>
        </w:rPr>
      </w:pPr>
    </w:p>
    <w:p w14:paraId="50774BC7" w14:textId="5F37C847" w:rsidR="00C54A45" w:rsidRPr="005523E3" w:rsidRDefault="00C54A45" w:rsidP="002204F8">
      <w:pPr>
        <w:pStyle w:val="Textoindependiente2"/>
        <w:spacing w:after="0" w:line="276" w:lineRule="auto"/>
        <w:jc w:val="both"/>
        <w:rPr>
          <w:rFonts w:ascii="Century Gothic" w:eastAsia="Century Gothic" w:hAnsi="Century Gothic" w:cs="Century Gothic"/>
          <w:color w:val="000000"/>
          <w:sz w:val="23"/>
          <w:szCs w:val="23"/>
          <w:shd w:val="clear" w:color="auto" w:fill="FFFFFF"/>
        </w:rPr>
      </w:pPr>
      <w:r w:rsidRPr="005523E3">
        <w:rPr>
          <w:rFonts w:ascii="Century Gothic" w:eastAsia="Century Gothic" w:hAnsi="Century Gothic" w:cs="Century Gothic"/>
          <w:color w:val="000000"/>
          <w:sz w:val="23"/>
          <w:szCs w:val="23"/>
          <w:shd w:val="clear" w:color="auto" w:fill="FFFFFF"/>
        </w:rPr>
        <w:t xml:space="preserve">La parte demandante, interpuso recurso de reposición contra el auto en mención, respecto de la decisión de </w:t>
      </w:r>
      <w:r w:rsidR="000720EB" w:rsidRPr="005523E3">
        <w:rPr>
          <w:rFonts w:ascii="Century Gothic" w:eastAsia="Century Gothic" w:hAnsi="Century Gothic" w:cs="Century Gothic"/>
          <w:color w:val="000000"/>
          <w:sz w:val="23"/>
          <w:szCs w:val="23"/>
          <w:shd w:val="clear" w:color="auto" w:fill="FFFFFF"/>
        </w:rPr>
        <w:t xml:space="preserve">decretar el desistimiento tácito de la prueba documental previamente referida. </w:t>
      </w:r>
    </w:p>
    <w:p w14:paraId="0BA2EFB5" w14:textId="77777777" w:rsidR="00C54A45" w:rsidRPr="005523E3" w:rsidRDefault="00C54A45" w:rsidP="002204F8">
      <w:pPr>
        <w:pStyle w:val="Textoindependiente2"/>
        <w:spacing w:after="0" w:line="276" w:lineRule="auto"/>
        <w:jc w:val="both"/>
        <w:rPr>
          <w:rFonts w:ascii="Century Gothic" w:eastAsia="Century Gothic" w:hAnsi="Century Gothic" w:cs="Century Gothic"/>
          <w:color w:val="000000"/>
          <w:sz w:val="23"/>
          <w:szCs w:val="23"/>
          <w:shd w:val="clear" w:color="auto" w:fill="FFFFFF"/>
        </w:rPr>
      </w:pPr>
    </w:p>
    <w:p w14:paraId="04D2A123" w14:textId="759FCE3A" w:rsidR="00C54A45" w:rsidRPr="005523E3" w:rsidRDefault="00C54A45" w:rsidP="002204F8">
      <w:pPr>
        <w:pStyle w:val="Textoindependiente2"/>
        <w:spacing w:after="0" w:line="276" w:lineRule="auto"/>
        <w:jc w:val="both"/>
        <w:rPr>
          <w:rFonts w:ascii="Century Gothic" w:eastAsia="Century Gothic" w:hAnsi="Century Gothic" w:cs="Century Gothic"/>
          <w:color w:val="000000"/>
          <w:sz w:val="23"/>
          <w:szCs w:val="23"/>
          <w:shd w:val="clear" w:color="auto" w:fill="FFFFFF"/>
        </w:rPr>
      </w:pPr>
      <w:r w:rsidRPr="005523E3">
        <w:rPr>
          <w:rFonts w:ascii="Century Gothic" w:eastAsia="Century Gothic" w:hAnsi="Century Gothic" w:cs="Century Gothic"/>
          <w:color w:val="000000"/>
          <w:sz w:val="23"/>
          <w:szCs w:val="23"/>
          <w:shd w:val="clear" w:color="auto" w:fill="FFFFFF"/>
        </w:rPr>
        <w:t>Del recurso se dio traslado por secretaria</w:t>
      </w:r>
      <w:r w:rsidR="00936A78" w:rsidRPr="005523E3">
        <w:rPr>
          <w:rFonts w:ascii="Century Gothic" w:eastAsia="Century Gothic" w:hAnsi="Century Gothic" w:cs="Century Gothic"/>
          <w:color w:val="000000"/>
          <w:sz w:val="23"/>
          <w:szCs w:val="23"/>
          <w:shd w:val="clear" w:color="auto" w:fill="FFFFFF"/>
        </w:rPr>
        <w:t xml:space="preserve"> y </w:t>
      </w:r>
      <w:r w:rsidRPr="005523E3">
        <w:rPr>
          <w:rFonts w:ascii="Century Gothic" w:eastAsia="Century Gothic" w:hAnsi="Century Gothic" w:cs="Century Gothic"/>
          <w:color w:val="000000"/>
          <w:sz w:val="23"/>
          <w:szCs w:val="23"/>
          <w:shd w:val="clear" w:color="auto" w:fill="FFFFFF"/>
        </w:rPr>
        <w:t xml:space="preserve">la parte demandada </w:t>
      </w:r>
      <w:r w:rsidR="000720EB" w:rsidRPr="005523E3">
        <w:rPr>
          <w:rFonts w:ascii="Century Gothic" w:eastAsia="Century Gothic" w:hAnsi="Century Gothic" w:cs="Century Gothic"/>
          <w:color w:val="000000"/>
          <w:sz w:val="23"/>
          <w:szCs w:val="23"/>
          <w:shd w:val="clear" w:color="auto" w:fill="FFFFFF"/>
        </w:rPr>
        <w:t xml:space="preserve">Inpec emitió pronunciamiento. </w:t>
      </w:r>
    </w:p>
    <w:p w14:paraId="06437FA3" w14:textId="678F4655" w:rsidR="00C54A45" w:rsidRPr="005523E3" w:rsidRDefault="00C54A45" w:rsidP="002204F8">
      <w:pPr>
        <w:spacing w:after="0" w:line="276" w:lineRule="auto"/>
        <w:jc w:val="both"/>
        <w:textAlignment w:val="baseline"/>
        <w:rPr>
          <w:rFonts w:ascii="Century Gothic" w:eastAsia="Times New Roman" w:hAnsi="Century Gothic" w:cs="Segoe UI"/>
          <w:kern w:val="0"/>
          <w:sz w:val="23"/>
          <w:szCs w:val="23"/>
          <w:lang w:eastAsia="es-CO"/>
          <w14:ligatures w14:val="none"/>
        </w:rPr>
      </w:pPr>
    </w:p>
    <w:p w14:paraId="7B568CC5" w14:textId="3791985F" w:rsidR="00C54A45" w:rsidRPr="00E31932" w:rsidRDefault="00C54A45" w:rsidP="002204F8">
      <w:pPr>
        <w:pStyle w:val="Prrafodelista"/>
        <w:numPr>
          <w:ilvl w:val="0"/>
          <w:numId w:val="1"/>
        </w:numPr>
        <w:spacing w:after="0" w:line="276" w:lineRule="auto"/>
        <w:jc w:val="both"/>
        <w:textAlignment w:val="baseline"/>
        <w:rPr>
          <w:rFonts w:ascii="Century Gothic" w:eastAsia="Times New Roman" w:hAnsi="Century Gothic" w:cs="Segoe UI"/>
          <w:b/>
          <w:bCs/>
          <w:kern w:val="0"/>
          <w:sz w:val="23"/>
          <w:szCs w:val="23"/>
          <w:lang w:eastAsia="es-CO"/>
          <w14:ligatures w14:val="none"/>
        </w:rPr>
      </w:pPr>
      <w:r w:rsidRPr="005523E3">
        <w:rPr>
          <w:rFonts w:ascii="Century Gothic" w:eastAsia="Times New Roman" w:hAnsi="Century Gothic" w:cs="Segoe UI"/>
          <w:b/>
          <w:bCs/>
          <w:kern w:val="0"/>
          <w:sz w:val="23"/>
          <w:szCs w:val="23"/>
          <w:lang w:eastAsia="es-CO"/>
          <w14:ligatures w14:val="none"/>
        </w:rPr>
        <w:t>Consideraciones</w:t>
      </w:r>
    </w:p>
    <w:p w14:paraId="426367FD" w14:textId="77777777" w:rsidR="00C54A45" w:rsidRPr="005523E3" w:rsidRDefault="00C54A45" w:rsidP="002204F8">
      <w:pPr>
        <w:spacing w:after="0" w:line="276" w:lineRule="auto"/>
        <w:jc w:val="both"/>
        <w:textAlignment w:val="baseline"/>
        <w:rPr>
          <w:rFonts w:ascii="Century Gothic" w:eastAsia="Times New Roman" w:hAnsi="Century Gothic" w:cs="Segoe UI"/>
          <w:kern w:val="0"/>
          <w:sz w:val="23"/>
          <w:szCs w:val="23"/>
          <w:lang w:eastAsia="es-CO"/>
          <w14:ligatures w14:val="none"/>
        </w:rPr>
      </w:pPr>
    </w:p>
    <w:p w14:paraId="7A9929A7" w14:textId="77777777" w:rsidR="00C54A45" w:rsidRPr="005523E3" w:rsidRDefault="00C54A45" w:rsidP="002204F8">
      <w:pPr>
        <w:pStyle w:val="Prrafodelista"/>
        <w:numPr>
          <w:ilvl w:val="1"/>
          <w:numId w:val="1"/>
        </w:numPr>
        <w:spacing w:after="0" w:line="276" w:lineRule="auto"/>
        <w:jc w:val="both"/>
        <w:textAlignment w:val="baseline"/>
        <w:rPr>
          <w:rFonts w:ascii="Century Gothic" w:eastAsia="Times New Roman" w:hAnsi="Century Gothic" w:cs="Segoe UI"/>
          <w:b/>
          <w:bCs/>
          <w:kern w:val="0"/>
          <w:sz w:val="23"/>
          <w:szCs w:val="23"/>
          <w:lang w:eastAsia="es-CO"/>
          <w14:ligatures w14:val="none"/>
        </w:rPr>
      </w:pPr>
      <w:r w:rsidRPr="005523E3">
        <w:rPr>
          <w:rFonts w:ascii="Century Gothic" w:eastAsia="Times New Roman" w:hAnsi="Century Gothic" w:cs="Segoe UI"/>
          <w:b/>
          <w:bCs/>
          <w:kern w:val="0"/>
          <w:sz w:val="23"/>
          <w:szCs w:val="23"/>
          <w:lang w:eastAsia="es-CO"/>
          <w14:ligatures w14:val="none"/>
        </w:rPr>
        <w:t xml:space="preserve">Del recurso de reposición y de apelación. </w:t>
      </w:r>
    </w:p>
    <w:p w14:paraId="60DFD637" w14:textId="77777777" w:rsidR="00C54A45" w:rsidRPr="005523E3" w:rsidRDefault="00C54A45" w:rsidP="002204F8">
      <w:pPr>
        <w:pStyle w:val="Prrafodelista"/>
        <w:spacing w:after="0" w:line="276" w:lineRule="auto"/>
        <w:ind w:left="1080"/>
        <w:jc w:val="both"/>
        <w:textAlignment w:val="baseline"/>
        <w:rPr>
          <w:rFonts w:ascii="Century Gothic" w:eastAsia="Times New Roman" w:hAnsi="Century Gothic" w:cs="Segoe UI"/>
          <w:kern w:val="0"/>
          <w:sz w:val="23"/>
          <w:szCs w:val="23"/>
          <w:lang w:eastAsia="es-CO"/>
          <w14:ligatures w14:val="none"/>
        </w:rPr>
      </w:pPr>
    </w:p>
    <w:p w14:paraId="0629E136" w14:textId="77777777" w:rsidR="00C54A45" w:rsidRPr="005523E3" w:rsidRDefault="00C54A45" w:rsidP="002204F8">
      <w:pPr>
        <w:tabs>
          <w:tab w:val="left" w:pos="567"/>
        </w:tabs>
        <w:spacing w:after="0" w:line="276" w:lineRule="auto"/>
        <w:ind w:right="49"/>
        <w:jc w:val="both"/>
        <w:rPr>
          <w:rFonts w:ascii="Century Gothic" w:eastAsia="Calibri" w:hAnsi="Century Gothic"/>
          <w:sz w:val="23"/>
          <w:szCs w:val="23"/>
        </w:rPr>
      </w:pPr>
      <w:bookmarkStart w:id="0" w:name="_Int_TQE11Wqo"/>
      <w:r w:rsidRPr="005523E3">
        <w:rPr>
          <w:rFonts w:ascii="Century Gothic" w:eastAsia="Calibri" w:hAnsi="Century Gothic"/>
          <w:sz w:val="23"/>
          <w:szCs w:val="23"/>
        </w:rPr>
        <w:t>De conformidad con lo dispuesto en el artículo 242 del CPACA -modificado por el artículo 61 de la Ley 2080 de 2021-, el recurso de reposición procede en contra de todos los autos, salvo norma legal en contrario.</w:t>
      </w:r>
      <w:bookmarkEnd w:id="0"/>
      <w:r w:rsidRPr="005523E3">
        <w:rPr>
          <w:rFonts w:ascii="Century Gothic" w:eastAsia="Calibri" w:hAnsi="Century Gothic"/>
          <w:sz w:val="23"/>
          <w:szCs w:val="23"/>
        </w:rPr>
        <w:t xml:space="preserve"> </w:t>
      </w:r>
    </w:p>
    <w:p w14:paraId="0FB1974F" w14:textId="77777777" w:rsidR="00C54A45" w:rsidRPr="005523E3" w:rsidRDefault="00C54A45" w:rsidP="002204F8">
      <w:pPr>
        <w:tabs>
          <w:tab w:val="left" w:pos="567"/>
        </w:tabs>
        <w:spacing w:after="0" w:line="276" w:lineRule="auto"/>
        <w:ind w:right="49"/>
        <w:jc w:val="both"/>
        <w:rPr>
          <w:rFonts w:ascii="Century Gothic" w:eastAsia="Calibri" w:hAnsi="Century Gothic"/>
          <w:kern w:val="0"/>
          <w:sz w:val="23"/>
          <w:szCs w:val="23"/>
          <w:lang w:val="es-ES"/>
          <w14:ligatures w14:val="none"/>
        </w:rPr>
      </w:pPr>
    </w:p>
    <w:p w14:paraId="2B065824" w14:textId="77777777" w:rsidR="00C54A45" w:rsidRPr="005523E3" w:rsidRDefault="00C54A45" w:rsidP="002204F8">
      <w:pPr>
        <w:tabs>
          <w:tab w:val="left" w:pos="567"/>
        </w:tabs>
        <w:spacing w:after="0" w:line="276" w:lineRule="auto"/>
        <w:ind w:right="49"/>
        <w:jc w:val="both"/>
        <w:rPr>
          <w:rFonts w:ascii="Century Gothic" w:eastAsia="Calibri" w:hAnsi="Century Gothic"/>
          <w:sz w:val="23"/>
          <w:szCs w:val="23"/>
        </w:rPr>
      </w:pPr>
      <w:r w:rsidRPr="005523E3">
        <w:rPr>
          <w:rFonts w:ascii="Century Gothic" w:eastAsia="Calibri" w:hAnsi="Century Gothic"/>
          <w:sz w:val="23"/>
          <w:szCs w:val="23"/>
        </w:rPr>
        <w:t xml:space="preserve">El mencionado artículo también señala que el recurso de reposición sigue lo normado en el Código General del Proceso en cuanto a la oportunidad y trámite. </w:t>
      </w:r>
    </w:p>
    <w:p w14:paraId="2D701786" w14:textId="77777777" w:rsidR="00C54A45" w:rsidRPr="005523E3" w:rsidRDefault="00C54A45" w:rsidP="002204F8">
      <w:pPr>
        <w:tabs>
          <w:tab w:val="left" w:pos="567"/>
        </w:tabs>
        <w:spacing w:after="0" w:line="276" w:lineRule="auto"/>
        <w:ind w:right="49"/>
        <w:jc w:val="both"/>
        <w:rPr>
          <w:rFonts w:ascii="Century Gothic" w:eastAsia="Calibri" w:hAnsi="Century Gothic"/>
          <w:sz w:val="23"/>
          <w:szCs w:val="23"/>
        </w:rPr>
      </w:pPr>
    </w:p>
    <w:p w14:paraId="40433D3B" w14:textId="7A76CCBA" w:rsidR="00C54A45" w:rsidRPr="005523E3" w:rsidRDefault="00C54A45" w:rsidP="002204F8">
      <w:pPr>
        <w:spacing w:after="0" w:line="276" w:lineRule="auto"/>
        <w:jc w:val="both"/>
        <w:rPr>
          <w:rFonts w:ascii="Century Gothic" w:eastAsia="Calibri" w:hAnsi="Century Gothic" w:cs="Arial"/>
          <w:sz w:val="23"/>
          <w:szCs w:val="23"/>
        </w:rPr>
      </w:pPr>
      <w:r w:rsidRPr="005523E3">
        <w:rPr>
          <w:rFonts w:ascii="Century Gothic" w:eastAsia="Calibri" w:hAnsi="Century Gothic" w:cs="Arial"/>
          <w:sz w:val="23"/>
          <w:szCs w:val="23"/>
        </w:rPr>
        <w:t xml:space="preserve">El auto recurrido fue notificado por estado el </w:t>
      </w:r>
      <w:r w:rsidR="004A5D00" w:rsidRPr="005523E3">
        <w:rPr>
          <w:rFonts w:ascii="Century Gothic" w:eastAsia="Calibri" w:hAnsi="Century Gothic" w:cs="Arial"/>
          <w:b/>
          <w:sz w:val="23"/>
          <w:szCs w:val="23"/>
        </w:rPr>
        <w:t>27</w:t>
      </w:r>
      <w:r w:rsidRPr="005523E3">
        <w:rPr>
          <w:rFonts w:ascii="Century Gothic" w:eastAsia="Calibri" w:hAnsi="Century Gothic" w:cs="Arial"/>
          <w:b/>
          <w:sz w:val="23"/>
          <w:szCs w:val="23"/>
        </w:rPr>
        <w:t xml:space="preserve"> de </w:t>
      </w:r>
      <w:r w:rsidR="004A5D00" w:rsidRPr="005523E3">
        <w:rPr>
          <w:rFonts w:ascii="Century Gothic" w:eastAsia="Calibri" w:hAnsi="Century Gothic" w:cs="Arial"/>
          <w:b/>
          <w:sz w:val="23"/>
          <w:szCs w:val="23"/>
        </w:rPr>
        <w:t>junio</w:t>
      </w:r>
      <w:r w:rsidRPr="005523E3">
        <w:rPr>
          <w:rFonts w:ascii="Century Gothic" w:eastAsia="Calibri" w:hAnsi="Century Gothic" w:cs="Arial"/>
          <w:b/>
          <w:sz w:val="23"/>
          <w:szCs w:val="23"/>
        </w:rPr>
        <w:t xml:space="preserve"> de 202</w:t>
      </w:r>
      <w:r w:rsidR="004A5D00" w:rsidRPr="005523E3">
        <w:rPr>
          <w:rFonts w:ascii="Century Gothic" w:eastAsia="Calibri" w:hAnsi="Century Gothic" w:cs="Arial"/>
          <w:b/>
          <w:sz w:val="23"/>
          <w:szCs w:val="23"/>
        </w:rPr>
        <w:t>3</w:t>
      </w:r>
      <w:r w:rsidRPr="005523E3">
        <w:rPr>
          <w:rFonts w:ascii="Century Gothic" w:eastAsia="Calibri" w:hAnsi="Century Gothic" w:cs="Arial"/>
          <w:sz w:val="23"/>
          <w:szCs w:val="23"/>
        </w:rPr>
        <w:t xml:space="preserve">, por lo que se tenía hasta el </w:t>
      </w:r>
      <w:r w:rsidR="004A5D00" w:rsidRPr="005523E3">
        <w:rPr>
          <w:rFonts w:ascii="Century Gothic" w:eastAsia="Calibri" w:hAnsi="Century Gothic" w:cs="Arial"/>
          <w:b/>
          <w:sz w:val="23"/>
          <w:szCs w:val="23"/>
        </w:rPr>
        <w:t>30</w:t>
      </w:r>
      <w:r w:rsidRPr="005523E3">
        <w:rPr>
          <w:rFonts w:ascii="Century Gothic" w:eastAsia="Calibri" w:hAnsi="Century Gothic" w:cs="Arial"/>
          <w:b/>
          <w:sz w:val="23"/>
          <w:szCs w:val="23"/>
        </w:rPr>
        <w:t xml:space="preserve"> </w:t>
      </w:r>
      <w:r w:rsidRPr="005523E3">
        <w:rPr>
          <w:rFonts w:ascii="Century Gothic" w:eastAsia="Calibri" w:hAnsi="Century Gothic" w:cs="Arial"/>
          <w:b/>
          <w:bCs/>
          <w:sz w:val="23"/>
          <w:szCs w:val="23"/>
        </w:rPr>
        <w:t xml:space="preserve">de </w:t>
      </w:r>
      <w:r w:rsidR="004A5D00" w:rsidRPr="005523E3">
        <w:rPr>
          <w:rFonts w:ascii="Century Gothic" w:eastAsia="Calibri" w:hAnsi="Century Gothic" w:cs="Arial"/>
          <w:b/>
          <w:bCs/>
          <w:sz w:val="23"/>
          <w:szCs w:val="23"/>
        </w:rPr>
        <w:t>junio</w:t>
      </w:r>
      <w:r w:rsidRPr="005523E3">
        <w:rPr>
          <w:rFonts w:ascii="Century Gothic" w:eastAsia="Calibri" w:hAnsi="Century Gothic" w:cs="Arial"/>
          <w:b/>
          <w:bCs/>
          <w:sz w:val="23"/>
          <w:szCs w:val="23"/>
        </w:rPr>
        <w:t xml:space="preserve"> de 202</w:t>
      </w:r>
      <w:r w:rsidR="004A5D00" w:rsidRPr="005523E3">
        <w:rPr>
          <w:rFonts w:ascii="Century Gothic" w:eastAsia="Calibri" w:hAnsi="Century Gothic" w:cs="Arial"/>
          <w:b/>
          <w:bCs/>
          <w:sz w:val="23"/>
          <w:szCs w:val="23"/>
        </w:rPr>
        <w:t>3</w:t>
      </w:r>
      <w:r w:rsidRPr="005523E3">
        <w:rPr>
          <w:rFonts w:ascii="Century Gothic" w:eastAsia="Calibri" w:hAnsi="Century Gothic" w:cs="Arial"/>
          <w:b/>
          <w:sz w:val="23"/>
          <w:szCs w:val="23"/>
        </w:rPr>
        <w:t xml:space="preserve"> </w:t>
      </w:r>
      <w:r w:rsidRPr="005523E3">
        <w:rPr>
          <w:rFonts w:ascii="Century Gothic" w:eastAsia="Calibri" w:hAnsi="Century Gothic" w:cs="Arial"/>
          <w:sz w:val="23"/>
          <w:szCs w:val="23"/>
        </w:rPr>
        <w:t xml:space="preserve">para presentar el recurso, dado que dicho auto se notificó conforme al art. 201 del CPACA. </w:t>
      </w:r>
    </w:p>
    <w:p w14:paraId="6E90DA32" w14:textId="77777777" w:rsidR="00C54A45" w:rsidRPr="005523E3" w:rsidRDefault="00C54A45" w:rsidP="002204F8">
      <w:pPr>
        <w:spacing w:after="0" w:line="276" w:lineRule="auto"/>
        <w:jc w:val="both"/>
        <w:rPr>
          <w:rFonts w:ascii="Century Gothic" w:eastAsia="Calibri" w:hAnsi="Century Gothic" w:cs="Arial"/>
          <w:sz w:val="23"/>
          <w:szCs w:val="23"/>
        </w:rPr>
      </w:pPr>
    </w:p>
    <w:p w14:paraId="460FA13B" w14:textId="22A3AF81" w:rsidR="00C54A45" w:rsidRPr="005523E3" w:rsidRDefault="00C54A45" w:rsidP="002204F8">
      <w:pPr>
        <w:spacing w:after="0" w:line="276" w:lineRule="auto"/>
        <w:jc w:val="both"/>
        <w:rPr>
          <w:rFonts w:ascii="Century Gothic" w:eastAsia="Calibri" w:hAnsi="Century Gothic" w:cs="Arial"/>
          <w:sz w:val="23"/>
          <w:szCs w:val="23"/>
        </w:rPr>
      </w:pPr>
      <w:r w:rsidRPr="005523E3">
        <w:rPr>
          <w:rFonts w:ascii="Century Gothic" w:eastAsia="Calibri" w:hAnsi="Century Gothic" w:cs="Arial"/>
          <w:sz w:val="23"/>
          <w:szCs w:val="23"/>
        </w:rPr>
        <w:lastRenderedPageBreak/>
        <w:t xml:space="preserve">Revisado el expediente, se advierte que el recurso se presentó el día </w:t>
      </w:r>
      <w:r w:rsidR="004A5D00" w:rsidRPr="005523E3">
        <w:rPr>
          <w:rFonts w:ascii="Century Gothic" w:eastAsia="Calibri" w:hAnsi="Century Gothic" w:cs="Arial"/>
          <w:sz w:val="23"/>
          <w:szCs w:val="23"/>
        </w:rPr>
        <w:t>30</w:t>
      </w:r>
      <w:r w:rsidRPr="005523E3">
        <w:rPr>
          <w:rFonts w:ascii="Century Gothic" w:eastAsia="Calibri" w:hAnsi="Century Gothic" w:cs="Arial"/>
          <w:sz w:val="23"/>
          <w:szCs w:val="23"/>
        </w:rPr>
        <w:t xml:space="preserve"> de </w:t>
      </w:r>
      <w:r w:rsidR="004A5D00" w:rsidRPr="005523E3">
        <w:rPr>
          <w:rFonts w:ascii="Century Gothic" w:eastAsia="Calibri" w:hAnsi="Century Gothic" w:cs="Arial"/>
          <w:sz w:val="23"/>
          <w:szCs w:val="23"/>
        </w:rPr>
        <w:t>junio</w:t>
      </w:r>
      <w:r w:rsidRPr="005523E3">
        <w:rPr>
          <w:rFonts w:ascii="Century Gothic" w:eastAsia="Calibri" w:hAnsi="Century Gothic" w:cs="Arial"/>
          <w:sz w:val="23"/>
          <w:szCs w:val="23"/>
        </w:rPr>
        <w:t xml:space="preserve"> de 202</w:t>
      </w:r>
      <w:r w:rsidR="004A5D00" w:rsidRPr="005523E3">
        <w:rPr>
          <w:rFonts w:ascii="Century Gothic" w:eastAsia="Calibri" w:hAnsi="Century Gothic" w:cs="Arial"/>
          <w:sz w:val="23"/>
          <w:szCs w:val="23"/>
        </w:rPr>
        <w:t>3</w:t>
      </w:r>
      <w:r w:rsidRPr="005523E3">
        <w:rPr>
          <w:rFonts w:ascii="Century Gothic" w:eastAsia="Calibri" w:hAnsi="Century Gothic" w:cs="Arial"/>
          <w:sz w:val="23"/>
          <w:szCs w:val="23"/>
        </w:rPr>
        <w:t xml:space="preserve">, esto es, dentro del término legal. </w:t>
      </w:r>
    </w:p>
    <w:p w14:paraId="1636F856" w14:textId="77777777" w:rsidR="004A5D00" w:rsidRPr="005523E3" w:rsidRDefault="004A5D00" w:rsidP="002204F8">
      <w:pPr>
        <w:spacing w:after="0" w:line="276" w:lineRule="auto"/>
        <w:jc w:val="both"/>
        <w:rPr>
          <w:rFonts w:ascii="Century Gothic" w:eastAsia="Calibri" w:hAnsi="Century Gothic" w:cs="Arial"/>
          <w:sz w:val="23"/>
          <w:szCs w:val="23"/>
        </w:rPr>
      </w:pPr>
    </w:p>
    <w:p w14:paraId="5FD65829" w14:textId="09AD2676" w:rsidR="00A9581E" w:rsidRPr="005523E3" w:rsidRDefault="00C54A45" w:rsidP="002204F8">
      <w:pPr>
        <w:tabs>
          <w:tab w:val="left" w:pos="567"/>
        </w:tabs>
        <w:spacing w:after="0" w:line="276" w:lineRule="auto"/>
        <w:ind w:right="49"/>
        <w:jc w:val="both"/>
        <w:rPr>
          <w:rFonts w:ascii="Century Gothic" w:eastAsia="Calibri" w:hAnsi="Century Gothic"/>
          <w:sz w:val="23"/>
          <w:szCs w:val="23"/>
        </w:rPr>
      </w:pPr>
      <w:r w:rsidRPr="005523E3">
        <w:rPr>
          <w:rFonts w:ascii="Century Gothic" w:eastAsia="Calibri" w:hAnsi="Century Gothic"/>
          <w:sz w:val="23"/>
          <w:szCs w:val="23"/>
        </w:rPr>
        <w:t xml:space="preserve">Se argumentó en el recurso que </w:t>
      </w:r>
      <w:r w:rsidR="00A9581E" w:rsidRPr="005523E3">
        <w:rPr>
          <w:rFonts w:ascii="Century Gothic" w:eastAsia="Calibri" w:hAnsi="Century Gothic"/>
          <w:sz w:val="23"/>
          <w:szCs w:val="23"/>
        </w:rPr>
        <w:t xml:space="preserve">el requerimiento quedó sujeto a la coadyuvancia del demandante para la recaudación de la prueba y que este no recibió apoyo del Juzgado para obtener lo requerido, pues no se remitió oficio por parte del despacho. </w:t>
      </w:r>
    </w:p>
    <w:p w14:paraId="6956D858" w14:textId="77777777" w:rsidR="00A9581E" w:rsidRPr="005523E3" w:rsidRDefault="00A9581E" w:rsidP="002204F8">
      <w:pPr>
        <w:tabs>
          <w:tab w:val="left" w:pos="567"/>
        </w:tabs>
        <w:spacing w:after="0" w:line="276" w:lineRule="auto"/>
        <w:ind w:right="49"/>
        <w:jc w:val="both"/>
        <w:rPr>
          <w:rFonts w:ascii="Century Gothic" w:eastAsia="Calibri" w:hAnsi="Century Gothic"/>
          <w:sz w:val="23"/>
          <w:szCs w:val="23"/>
        </w:rPr>
      </w:pPr>
    </w:p>
    <w:p w14:paraId="763B7D1A" w14:textId="0E2D15B8" w:rsidR="00C54A45" w:rsidRPr="005523E3" w:rsidRDefault="00A9581E" w:rsidP="002204F8">
      <w:pPr>
        <w:tabs>
          <w:tab w:val="left" w:pos="567"/>
        </w:tabs>
        <w:spacing w:after="0" w:line="276" w:lineRule="auto"/>
        <w:ind w:right="49"/>
        <w:jc w:val="both"/>
        <w:rPr>
          <w:rFonts w:ascii="Century Gothic" w:eastAsia="Calibri" w:hAnsi="Century Gothic"/>
          <w:sz w:val="23"/>
          <w:szCs w:val="23"/>
        </w:rPr>
      </w:pPr>
      <w:r w:rsidRPr="005523E3">
        <w:rPr>
          <w:rFonts w:ascii="Century Gothic" w:eastAsia="Calibri" w:hAnsi="Century Gothic"/>
          <w:sz w:val="23"/>
          <w:szCs w:val="23"/>
        </w:rPr>
        <w:t xml:space="preserve">No obstante, aportó informes de la situación de la cárcel de Riohacha entre el año 2012 al 2013 y </w:t>
      </w:r>
      <w:r w:rsidR="003F4371" w:rsidRPr="005523E3">
        <w:rPr>
          <w:rFonts w:ascii="Century Gothic" w:eastAsia="Calibri" w:hAnsi="Century Gothic"/>
          <w:sz w:val="23"/>
          <w:szCs w:val="23"/>
        </w:rPr>
        <w:t xml:space="preserve">solicitó que </w:t>
      </w:r>
      <w:r w:rsidRPr="005523E3">
        <w:rPr>
          <w:rFonts w:ascii="Century Gothic" w:eastAsia="Calibri" w:hAnsi="Century Gothic"/>
          <w:sz w:val="23"/>
          <w:szCs w:val="23"/>
        </w:rPr>
        <w:t xml:space="preserve">sean incorporadas al proceso. Asimismo, </w:t>
      </w:r>
      <w:r w:rsidR="003F4371" w:rsidRPr="005523E3">
        <w:rPr>
          <w:rFonts w:ascii="Century Gothic" w:eastAsia="Calibri" w:hAnsi="Century Gothic"/>
          <w:sz w:val="23"/>
          <w:szCs w:val="23"/>
        </w:rPr>
        <w:t>insistió en</w:t>
      </w:r>
      <w:r w:rsidRPr="005523E3">
        <w:rPr>
          <w:rFonts w:ascii="Century Gothic" w:eastAsia="Calibri" w:hAnsi="Century Gothic"/>
          <w:sz w:val="23"/>
          <w:szCs w:val="23"/>
        </w:rPr>
        <w:t xml:space="preserve"> requerir a la Defensoría del Pueblo para que remita los informes solicitados o los faltantes, sobre las condiciones de reclusión en los establecimientos penitenciarios de mediana seguridad y carcelario de Tierra Alta – Córdoba y de Riohacha. </w:t>
      </w:r>
    </w:p>
    <w:p w14:paraId="332D2FC0" w14:textId="77777777" w:rsidR="00A9581E" w:rsidRPr="005523E3" w:rsidRDefault="00A9581E" w:rsidP="002204F8">
      <w:pPr>
        <w:tabs>
          <w:tab w:val="left" w:pos="567"/>
        </w:tabs>
        <w:spacing w:after="0" w:line="276" w:lineRule="auto"/>
        <w:ind w:right="49"/>
        <w:jc w:val="both"/>
        <w:rPr>
          <w:rFonts w:ascii="Century Gothic" w:eastAsia="Calibri" w:hAnsi="Century Gothic"/>
          <w:sz w:val="23"/>
          <w:szCs w:val="23"/>
        </w:rPr>
      </w:pPr>
    </w:p>
    <w:p w14:paraId="4048B0B4" w14:textId="74CFB5D3" w:rsidR="00A9581E" w:rsidRPr="005523E3" w:rsidRDefault="00A9581E" w:rsidP="002204F8">
      <w:pPr>
        <w:tabs>
          <w:tab w:val="left" w:pos="567"/>
        </w:tabs>
        <w:spacing w:after="0" w:line="276" w:lineRule="auto"/>
        <w:ind w:right="49"/>
        <w:jc w:val="both"/>
        <w:rPr>
          <w:rFonts w:ascii="Century Gothic" w:eastAsia="Calibri" w:hAnsi="Century Gothic"/>
          <w:sz w:val="23"/>
          <w:szCs w:val="23"/>
        </w:rPr>
      </w:pPr>
      <w:r w:rsidRPr="005523E3">
        <w:rPr>
          <w:rFonts w:ascii="Century Gothic" w:eastAsia="Calibri" w:hAnsi="Century Gothic"/>
          <w:sz w:val="23"/>
          <w:szCs w:val="23"/>
        </w:rPr>
        <w:t xml:space="preserve">La parte demandada INPEC, </w:t>
      </w:r>
      <w:r w:rsidR="00527CE2" w:rsidRPr="005523E3">
        <w:rPr>
          <w:rFonts w:ascii="Century Gothic" w:eastAsia="Calibri" w:hAnsi="Century Gothic"/>
          <w:sz w:val="23"/>
          <w:szCs w:val="23"/>
        </w:rPr>
        <w:t xml:space="preserve">solicitó no reponer la decisión dado que en el auto de fecha 23 de septiembre de 2022 a través de la cual se ordenó la prueba, se advirtió que por parte del Juzgado no se libraría oficio. </w:t>
      </w:r>
    </w:p>
    <w:p w14:paraId="34004CB8" w14:textId="77777777" w:rsidR="00527CE2" w:rsidRPr="005523E3" w:rsidRDefault="00527CE2" w:rsidP="002204F8">
      <w:pPr>
        <w:tabs>
          <w:tab w:val="left" w:pos="567"/>
        </w:tabs>
        <w:spacing w:after="0" w:line="276" w:lineRule="auto"/>
        <w:ind w:right="49"/>
        <w:jc w:val="both"/>
        <w:rPr>
          <w:rFonts w:ascii="Century Gothic" w:eastAsia="Calibri" w:hAnsi="Century Gothic"/>
          <w:sz w:val="23"/>
          <w:szCs w:val="23"/>
        </w:rPr>
      </w:pPr>
    </w:p>
    <w:p w14:paraId="36FFACB9" w14:textId="4EA498A2" w:rsidR="00527CE2" w:rsidRPr="005523E3" w:rsidRDefault="00527CE2" w:rsidP="002204F8">
      <w:pPr>
        <w:tabs>
          <w:tab w:val="left" w:pos="567"/>
        </w:tabs>
        <w:spacing w:after="0" w:line="276" w:lineRule="auto"/>
        <w:ind w:right="49"/>
        <w:jc w:val="both"/>
        <w:rPr>
          <w:rFonts w:ascii="Century Gothic" w:eastAsia="Calibri" w:hAnsi="Century Gothic"/>
          <w:sz w:val="23"/>
          <w:szCs w:val="23"/>
        </w:rPr>
      </w:pPr>
      <w:r w:rsidRPr="005523E3">
        <w:rPr>
          <w:rFonts w:ascii="Century Gothic" w:eastAsia="Calibri" w:hAnsi="Century Gothic"/>
          <w:sz w:val="23"/>
          <w:szCs w:val="23"/>
        </w:rPr>
        <w:t>Asimismo, solicitó no admitir las pruebas a</w:t>
      </w:r>
      <w:r w:rsidR="00FB2937" w:rsidRPr="005523E3">
        <w:rPr>
          <w:rFonts w:ascii="Century Gothic" w:eastAsia="Calibri" w:hAnsi="Century Gothic"/>
          <w:sz w:val="23"/>
          <w:szCs w:val="23"/>
        </w:rPr>
        <w:t>portadas</w:t>
      </w:r>
      <w:r w:rsidRPr="005523E3">
        <w:rPr>
          <w:rFonts w:ascii="Century Gothic" w:eastAsia="Calibri" w:hAnsi="Century Gothic"/>
          <w:sz w:val="23"/>
          <w:szCs w:val="23"/>
        </w:rPr>
        <w:t xml:space="preserve"> con el recurso</w:t>
      </w:r>
      <w:r w:rsidR="00FB2937" w:rsidRPr="005523E3">
        <w:rPr>
          <w:rFonts w:ascii="Century Gothic" w:eastAsia="Calibri" w:hAnsi="Century Gothic"/>
          <w:sz w:val="23"/>
          <w:szCs w:val="23"/>
        </w:rPr>
        <w:t xml:space="preserve"> de reposición</w:t>
      </w:r>
      <w:r w:rsidRPr="005523E3">
        <w:rPr>
          <w:rFonts w:ascii="Century Gothic" w:eastAsia="Calibri" w:hAnsi="Century Gothic"/>
          <w:sz w:val="23"/>
          <w:szCs w:val="23"/>
        </w:rPr>
        <w:t xml:space="preserve"> por presentarse de manera extemporánea. </w:t>
      </w:r>
    </w:p>
    <w:p w14:paraId="512F2B90" w14:textId="77777777" w:rsidR="004A5D00" w:rsidRPr="005523E3" w:rsidRDefault="004A5D00" w:rsidP="002204F8">
      <w:pPr>
        <w:tabs>
          <w:tab w:val="left" w:pos="567"/>
        </w:tabs>
        <w:spacing w:after="0" w:line="276" w:lineRule="auto"/>
        <w:ind w:right="49"/>
        <w:jc w:val="both"/>
        <w:rPr>
          <w:rFonts w:ascii="Century Gothic" w:eastAsia="Calibri" w:hAnsi="Century Gothic"/>
          <w:sz w:val="23"/>
          <w:szCs w:val="23"/>
        </w:rPr>
      </w:pPr>
    </w:p>
    <w:p w14:paraId="633B504B" w14:textId="7CDD5270" w:rsidR="00C54A45" w:rsidRPr="005523E3" w:rsidRDefault="00C54A45" w:rsidP="002204F8">
      <w:pPr>
        <w:pStyle w:val="Prrafodelista"/>
        <w:tabs>
          <w:tab w:val="left" w:pos="567"/>
        </w:tabs>
        <w:spacing w:after="0" w:line="276" w:lineRule="auto"/>
        <w:ind w:left="0" w:right="-62"/>
        <w:jc w:val="both"/>
        <w:rPr>
          <w:rFonts w:ascii="Century Gothic" w:eastAsia="Calibri" w:hAnsi="Century Gothic"/>
          <w:sz w:val="23"/>
          <w:szCs w:val="23"/>
        </w:rPr>
      </w:pPr>
      <w:r w:rsidRPr="005523E3">
        <w:rPr>
          <w:rFonts w:ascii="Century Gothic" w:hAnsi="Century Gothic" w:cs="Arial"/>
          <w:sz w:val="23"/>
          <w:szCs w:val="23"/>
        </w:rPr>
        <w:t xml:space="preserve">Pues bien, al revisar los argumentos planteados por el actor, </w:t>
      </w:r>
      <w:r w:rsidR="00A9581E" w:rsidRPr="005523E3">
        <w:rPr>
          <w:rFonts w:ascii="Century Gothic" w:hAnsi="Century Gothic" w:cs="Arial"/>
          <w:sz w:val="23"/>
          <w:szCs w:val="23"/>
        </w:rPr>
        <w:t xml:space="preserve">no se </w:t>
      </w:r>
      <w:r w:rsidR="004A5D00" w:rsidRPr="005523E3">
        <w:rPr>
          <w:rFonts w:ascii="Century Gothic" w:hAnsi="Century Gothic" w:cs="Arial"/>
          <w:sz w:val="23"/>
          <w:szCs w:val="23"/>
        </w:rPr>
        <w:t xml:space="preserve">repondrá </w:t>
      </w:r>
      <w:r w:rsidRPr="005523E3">
        <w:rPr>
          <w:rFonts w:ascii="Century Gothic" w:hAnsi="Century Gothic" w:cs="Arial"/>
          <w:sz w:val="23"/>
          <w:szCs w:val="23"/>
        </w:rPr>
        <w:t xml:space="preserve">decisión adoptada, en el sentido que </w:t>
      </w:r>
      <w:r w:rsidR="00FB2937" w:rsidRPr="005523E3">
        <w:rPr>
          <w:rFonts w:ascii="Century Gothic" w:hAnsi="Century Gothic" w:cs="Arial"/>
          <w:sz w:val="23"/>
          <w:szCs w:val="23"/>
        </w:rPr>
        <w:t xml:space="preserve">en el auto de fecha 23 de septiembre de 2022 a través del cual se decretó la prueba con destino a la </w:t>
      </w:r>
      <w:r w:rsidR="00FB2937" w:rsidRPr="005523E3">
        <w:rPr>
          <w:rFonts w:ascii="Century Gothic" w:eastAsia="Calibri" w:hAnsi="Century Gothic"/>
          <w:sz w:val="23"/>
          <w:szCs w:val="23"/>
        </w:rPr>
        <w:t xml:space="preserve">Defensoría del Pueblo, se le informó a la parte actora en la parte considerativa, que la carga de tramitar la prueba quedaba a su cargo, se le indicó el correo de notificación donde debía solicitarla y se le advirtió de su deber de gestionar todos los trámites a su alcance para su obtención. </w:t>
      </w:r>
    </w:p>
    <w:p w14:paraId="7D452F0D" w14:textId="77777777" w:rsidR="00FB2937" w:rsidRPr="005523E3" w:rsidRDefault="00FB2937" w:rsidP="002204F8">
      <w:pPr>
        <w:pStyle w:val="Prrafodelista"/>
        <w:tabs>
          <w:tab w:val="left" w:pos="567"/>
        </w:tabs>
        <w:spacing w:after="0" w:line="276" w:lineRule="auto"/>
        <w:ind w:left="0" w:right="-62"/>
        <w:jc w:val="both"/>
        <w:rPr>
          <w:rFonts w:ascii="Century Gothic" w:eastAsia="Calibri" w:hAnsi="Century Gothic"/>
          <w:sz w:val="23"/>
          <w:szCs w:val="23"/>
        </w:rPr>
      </w:pPr>
    </w:p>
    <w:p w14:paraId="66515C82" w14:textId="77777777" w:rsidR="00FB2937" w:rsidRPr="005523E3" w:rsidRDefault="00FB2937" w:rsidP="002204F8">
      <w:pPr>
        <w:pStyle w:val="Prrafodelista"/>
        <w:tabs>
          <w:tab w:val="left" w:pos="567"/>
        </w:tabs>
        <w:spacing w:after="0" w:line="276" w:lineRule="auto"/>
        <w:ind w:left="0" w:right="-62"/>
        <w:jc w:val="both"/>
        <w:rPr>
          <w:rFonts w:ascii="Century Gothic" w:eastAsia="Calibri" w:hAnsi="Century Gothic"/>
          <w:sz w:val="23"/>
          <w:szCs w:val="23"/>
        </w:rPr>
      </w:pPr>
      <w:r w:rsidRPr="005523E3">
        <w:rPr>
          <w:rFonts w:ascii="Century Gothic" w:eastAsia="Calibri" w:hAnsi="Century Gothic"/>
          <w:sz w:val="23"/>
          <w:szCs w:val="23"/>
        </w:rPr>
        <w:t>Luego el actor no demostró haber si quiera realizado una actuación para tramitar la prueba decretada por aproximadamente nueve (9) meses, esto es, entre el auto del 23 de septiembre de 2022 y el auto del 26 de junio de 2023.</w:t>
      </w:r>
    </w:p>
    <w:p w14:paraId="1AE8A358" w14:textId="77777777" w:rsidR="00FB2937" w:rsidRPr="005523E3" w:rsidRDefault="00FB2937" w:rsidP="002204F8">
      <w:pPr>
        <w:pStyle w:val="Prrafodelista"/>
        <w:tabs>
          <w:tab w:val="left" w:pos="567"/>
        </w:tabs>
        <w:spacing w:after="0" w:line="276" w:lineRule="auto"/>
        <w:ind w:left="0" w:right="-62"/>
        <w:jc w:val="both"/>
        <w:rPr>
          <w:rFonts w:ascii="Century Gothic" w:eastAsia="Calibri" w:hAnsi="Century Gothic"/>
          <w:sz w:val="23"/>
          <w:szCs w:val="23"/>
        </w:rPr>
      </w:pPr>
    </w:p>
    <w:p w14:paraId="297AB0CE" w14:textId="64E8596B" w:rsidR="00FB2937" w:rsidRPr="005523E3" w:rsidRDefault="00FB2937" w:rsidP="002204F8">
      <w:pPr>
        <w:pStyle w:val="Prrafodelista"/>
        <w:tabs>
          <w:tab w:val="left" w:pos="567"/>
        </w:tabs>
        <w:spacing w:after="0" w:line="276" w:lineRule="auto"/>
        <w:ind w:left="0" w:right="-62"/>
        <w:jc w:val="both"/>
        <w:rPr>
          <w:rFonts w:ascii="Century Gothic" w:hAnsi="Century Gothic" w:cs="Arial"/>
          <w:sz w:val="23"/>
          <w:szCs w:val="23"/>
        </w:rPr>
      </w:pPr>
      <w:r w:rsidRPr="005523E3">
        <w:rPr>
          <w:rFonts w:ascii="Century Gothic" w:eastAsia="Calibri" w:hAnsi="Century Gothic"/>
          <w:sz w:val="23"/>
          <w:szCs w:val="23"/>
        </w:rPr>
        <w:t xml:space="preserve">En ese orden, no es de recibo el argumento de que el Juzgado debía tramitar la prueba que el </w:t>
      </w:r>
      <w:r w:rsidR="00BF27BA" w:rsidRPr="005523E3">
        <w:rPr>
          <w:rFonts w:ascii="Century Gothic" w:eastAsia="Calibri" w:hAnsi="Century Gothic"/>
          <w:sz w:val="23"/>
          <w:szCs w:val="23"/>
        </w:rPr>
        <w:t xml:space="preserve">actor </w:t>
      </w:r>
      <w:r w:rsidRPr="005523E3">
        <w:rPr>
          <w:rFonts w:ascii="Century Gothic" w:eastAsia="Calibri" w:hAnsi="Century Gothic"/>
          <w:sz w:val="23"/>
          <w:szCs w:val="23"/>
        </w:rPr>
        <w:t xml:space="preserve">solicitó. </w:t>
      </w:r>
      <w:r w:rsidR="00BF27BA" w:rsidRPr="005523E3">
        <w:rPr>
          <w:rFonts w:ascii="Century Gothic" w:eastAsia="Calibri" w:hAnsi="Century Gothic"/>
          <w:sz w:val="23"/>
          <w:szCs w:val="23"/>
        </w:rPr>
        <w:t xml:space="preserve">Sumado a que en el </w:t>
      </w:r>
      <w:r w:rsidRPr="005523E3">
        <w:rPr>
          <w:rFonts w:ascii="Century Gothic" w:eastAsia="Calibri" w:hAnsi="Century Gothic"/>
          <w:sz w:val="23"/>
          <w:szCs w:val="23"/>
        </w:rPr>
        <w:t>expediente</w:t>
      </w:r>
      <w:r w:rsidR="00BF27BA" w:rsidRPr="005523E3">
        <w:rPr>
          <w:rFonts w:ascii="Century Gothic" w:eastAsia="Calibri" w:hAnsi="Century Gothic"/>
          <w:sz w:val="23"/>
          <w:szCs w:val="23"/>
        </w:rPr>
        <w:t xml:space="preserve"> tampoco obra constancia</w:t>
      </w:r>
      <w:r w:rsidRPr="005523E3">
        <w:rPr>
          <w:rFonts w:ascii="Century Gothic" w:eastAsia="Calibri" w:hAnsi="Century Gothic"/>
          <w:sz w:val="23"/>
          <w:szCs w:val="23"/>
        </w:rPr>
        <w:t xml:space="preserve"> de</w:t>
      </w:r>
      <w:r w:rsidR="00BF27BA" w:rsidRPr="005523E3">
        <w:rPr>
          <w:rFonts w:ascii="Century Gothic" w:eastAsia="Calibri" w:hAnsi="Century Gothic"/>
          <w:sz w:val="23"/>
          <w:szCs w:val="23"/>
        </w:rPr>
        <w:t xml:space="preserve"> que haya</w:t>
      </w:r>
      <w:r w:rsidRPr="005523E3">
        <w:rPr>
          <w:rFonts w:ascii="Century Gothic" w:eastAsia="Calibri" w:hAnsi="Century Gothic"/>
          <w:sz w:val="23"/>
          <w:szCs w:val="23"/>
        </w:rPr>
        <w:t xml:space="preserve"> solicitado a</w:t>
      </w:r>
      <w:r w:rsidR="00BF27BA" w:rsidRPr="005523E3">
        <w:rPr>
          <w:rFonts w:ascii="Century Gothic" w:eastAsia="Calibri" w:hAnsi="Century Gothic"/>
          <w:sz w:val="23"/>
          <w:szCs w:val="23"/>
        </w:rPr>
        <w:t>poyo de</w:t>
      </w:r>
      <w:r w:rsidRPr="005523E3">
        <w:rPr>
          <w:rFonts w:ascii="Century Gothic" w:eastAsia="Calibri" w:hAnsi="Century Gothic"/>
          <w:sz w:val="23"/>
          <w:szCs w:val="23"/>
        </w:rPr>
        <w:t xml:space="preserve"> la secretaria del despacho</w:t>
      </w:r>
      <w:r w:rsidR="00BF27BA" w:rsidRPr="005523E3">
        <w:rPr>
          <w:rFonts w:ascii="Century Gothic" w:eastAsia="Calibri" w:hAnsi="Century Gothic"/>
          <w:sz w:val="23"/>
          <w:szCs w:val="23"/>
        </w:rPr>
        <w:t>,</w:t>
      </w:r>
      <w:r w:rsidRPr="005523E3">
        <w:rPr>
          <w:rFonts w:ascii="Century Gothic" w:eastAsia="Calibri" w:hAnsi="Century Gothic"/>
          <w:sz w:val="23"/>
          <w:szCs w:val="23"/>
        </w:rPr>
        <w:t xml:space="preserve"> para la refrendación de</w:t>
      </w:r>
      <w:r w:rsidR="00BF27BA" w:rsidRPr="005523E3">
        <w:rPr>
          <w:rFonts w:ascii="Century Gothic" w:eastAsia="Calibri" w:hAnsi="Century Gothic"/>
          <w:sz w:val="23"/>
          <w:szCs w:val="23"/>
        </w:rPr>
        <w:t xml:space="preserve">l </w:t>
      </w:r>
      <w:r w:rsidRPr="005523E3">
        <w:rPr>
          <w:rFonts w:ascii="Century Gothic" w:eastAsia="Calibri" w:hAnsi="Century Gothic"/>
          <w:sz w:val="23"/>
          <w:szCs w:val="23"/>
        </w:rPr>
        <w:t>oficio</w:t>
      </w:r>
      <w:r w:rsidR="00BF27BA" w:rsidRPr="005523E3">
        <w:rPr>
          <w:rFonts w:ascii="Century Gothic" w:eastAsia="Calibri" w:hAnsi="Century Gothic"/>
          <w:sz w:val="23"/>
          <w:szCs w:val="23"/>
        </w:rPr>
        <w:t xml:space="preserve"> o remisión de este. </w:t>
      </w:r>
    </w:p>
    <w:p w14:paraId="418A5606" w14:textId="16CB9393" w:rsidR="004A5D00" w:rsidRPr="005523E3" w:rsidRDefault="004A5D00" w:rsidP="002204F8">
      <w:pPr>
        <w:pStyle w:val="Prrafodelista"/>
        <w:tabs>
          <w:tab w:val="left" w:pos="567"/>
        </w:tabs>
        <w:spacing w:after="0" w:line="276" w:lineRule="auto"/>
        <w:ind w:left="0" w:right="-62"/>
        <w:jc w:val="both"/>
        <w:rPr>
          <w:rFonts w:ascii="Century Gothic" w:hAnsi="Century Gothic" w:cs="Arial"/>
          <w:sz w:val="23"/>
          <w:szCs w:val="23"/>
        </w:rPr>
      </w:pPr>
    </w:p>
    <w:p w14:paraId="00717C20" w14:textId="6E80688E" w:rsidR="00BF27BA" w:rsidRPr="005523E3" w:rsidRDefault="00BF27BA" w:rsidP="002204F8">
      <w:pPr>
        <w:pStyle w:val="Prrafodelista"/>
        <w:tabs>
          <w:tab w:val="left" w:pos="567"/>
        </w:tabs>
        <w:spacing w:after="0" w:line="276" w:lineRule="auto"/>
        <w:ind w:left="0" w:right="-62"/>
        <w:jc w:val="both"/>
        <w:rPr>
          <w:rFonts w:ascii="Century Gothic" w:hAnsi="Century Gothic" w:cs="Arial"/>
          <w:sz w:val="23"/>
          <w:szCs w:val="23"/>
        </w:rPr>
      </w:pPr>
      <w:r w:rsidRPr="005523E3">
        <w:rPr>
          <w:rFonts w:ascii="Century Gothic" w:hAnsi="Century Gothic" w:cs="Arial"/>
          <w:sz w:val="23"/>
          <w:szCs w:val="23"/>
        </w:rPr>
        <w:t>Ahora en lo que respecta a las pruebas aportadas con el recurso de reposición, no se accederá a su incorporación por presentarse por fuera de</w:t>
      </w:r>
      <w:r w:rsidR="003F4371" w:rsidRPr="005523E3">
        <w:rPr>
          <w:rFonts w:ascii="Century Gothic" w:hAnsi="Century Gothic" w:cs="Arial"/>
          <w:sz w:val="23"/>
          <w:szCs w:val="23"/>
        </w:rPr>
        <w:t xml:space="preserve"> las oportunidades probatorias </w:t>
      </w:r>
      <w:r w:rsidRPr="005523E3">
        <w:rPr>
          <w:rFonts w:ascii="Century Gothic" w:hAnsi="Century Gothic" w:cs="Arial"/>
          <w:sz w:val="23"/>
          <w:szCs w:val="23"/>
        </w:rPr>
        <w:t>regulad</w:t>
      </w:r>
      <w:r w:rsidR="003F4371" w:rsidRPr="005523E3">
        <w:rPr>
          <w:rFonts w:ascii="Century Gothic" w:hAnsi="Century Gothic" w:cs="Arial"/>
          <w:sz w:val="23"/>
          <w:szCs w:val="23"/>
        </w:rPr>
        <w:t>as</w:t>
      </w:r>
      <w:r w:rsidRPr="005523E3">
        <w:rPr>
          <w:rFonts w:ascii="Century Gothic" w:hAnsi="Century Gothic" w:cs="Arial"/>
          <w:sz w:val="23"/>
          <w:szCs w:val="23"/>
        </w:rPr>
        <w:t xml:space="preserve"> en el art. </w:t>
      </w:r>
      <w:r w:rsidR="003F4371" w:rsidRPr="005523E3">
        <w:rPr>
          <w:rFonts w:ascii="Century Gothic" w:hAnsi="Century Gothic" w:cs="Arial"/>
          <w:sz w:val="23"/>
          <w:szCs w:val="23"/>
        </w:rPr>
        <w:t xml:space="preserve">212 de la ley 1437 de 2011. </w:t>
      </w:r>
    </w:p>
    <w:p w14:paraId="0110DC0C" w14:textId="77777777" w:rsidR="003F4371" w:rsidRPr="005523E3" w:rsidRDefault="003F4371" w:rsidP="002204F8">
      <w:pPr>
        <w:pStyle w:val="Prrafodelista"/>
        <w:tabs>
          <w:tab w:val="left" w:pos="567"/>
        </w:tabs>
        <w:spacing w:after="0" w:line="276" w:lineRule="auto"/>
        <w:ind w:left="0" w:right="-62"/>
        <w:jc w:val="both"/>
        <w:rPr>
          <w:rFonts w:ascii="Century Gothic" w:hAnsi="Century Gothic" w:cs="Arial"/>
          <w:sz w:val="23"/>
          <w:szCs w:val="23"/>
        </w:rPr>
      </w:pPr>
    </w:p>
    <w:p w14:paraId="718BD957" w14:textId="4AF4C827" w:rsidR="003F4371" w:rsidRPr="005523E3" w:rsidRDefault="003F4371" w:rsidP="002204F8">
      <w:pPr>
        <w:pStyle w:val="Textoindependiente2"/>
        <w:spacing w:after="0" w:line="276" w:lineRule="auto"/>
        <w:jc w:val="both"/>
        <w:rPr>
          <w:rFonts w:ascii="Century Gothic" w:hAnsi="Century Gothic"/>
          <w:color w:val="000000"/>
          <w:sz w:val="23"/>
          <w:szCs w:val="23"/>
          <w:shd w:val="clear" w:color="auto" w:fill="FFFFFF"/>
        </w:rPr>
      </w:pPr>
      <w:r w:rsidRPr="005523E3">
        <w:rPr>
          <w:rFonts w:ascii="Century Gothic" w:hAnsi="Century Gothic" w:cs="Arial"/>
          <w:sz w:val="23"/>
          <w:szCs w:val="23"/>
        </w:rPr>
        <w:t xml:space="preserve">Por último, advirtiendo que no obran más pruebas que recaudar y practicar, </w:t>
      </w:r>
      <w:r w:rsidRPr="005523E3">
        <w:rPr>
          <w:rStyle w:val="normaltextrun"/>
          <w:rFonts w:ascii="Century Gothic" w:eastAsiaTheme="majorEastAsia" w:hAnsi="Century Gothic"/>
          <w:color w:val="000000"/>
          <w:sz w:val="23"/>
          <w:szCs w:val="23"/>
          <w:shd w:val="clear" w:color="auto" w:fill="FFFFFF"/>
        </w:rPr>
        <w:t xml:space="preserve">se cerrará etapa probatoria y se correrá traslado para alegar de conclusión por escrito. </w:t>
      </w:r>
    </w:p>
    <w:p w14:paraId="7B811F19" w14:textId="77777777" w:rsidR="00BF27BA" w:rsidRPr="005523E3" w:rsidRDefault="00BF27BA" w:rsidP="002204F8">
      <w:pPr>
        <w:pStyle w:val="Prrafodelista"/>
        <w:tabs>
          <w:tab w:val="left" w:pos="567"/>
        </w:tabs>
        <w:spacing w:after="0" w:line="276" w:lineRule="auto"/>
        <w:ind w:left="0" w:right="-62"/>
        <w:jc w:val="both"/>
        <w:rPr>
          <w:rFonts w:ascii="Century Gothic" w:hAnsi="Century Gothic" w:cs="Arial"/>
          <w:sz w:val="23"/>
          <w:szCs w:val="23"/>
        </w:rPr>
      </w:pPr>
    </w:p>
    <w:p w14:paraId="4D43209E" w14:textId="77777777" w:rsidR="00C54A45" w:rsidRPr="005523E3" w:rsidRDefault="00C54A45" w:rsidP="002204F8">
      <w:pPr>
        <w:spacing w:after="0" w:line="276" w:lineRule="auto"/>
        <w:jc w:val="both"/>
        <w:textAlignment w:val="baseline"/>
        <w:rPr>
          <w:rFonts w:ascii="Century Gothic" w:eastAsia="Times New Roman" w:hAnsi="Century Gothic" w:cs="Segoe UI"/>
          <w:kern w:val="0"/>
          <w:sz w:val="23"/>
          <w:szCs w:val="23"/>
          <w:lang w:eastAsia="es-CO"/>
          <w14:ligatures w14:val="none"/>
        </w:rPr>
      </w:pPr>
      <w:r w:rsidRPr="005523E3">
        <w:rPr>
          <w:rFonts w:ascii="Century Gothic" w:eastAsia="Times New Roman" w:hAnsi="Century Gothic" w:cs="Segoe UI"/>
          <w:kern w:val="0"/>
          <w:sz w:val="23"/>
          <w:szCs w:val="23"/>
          <w:lang w:eastAsia="es-CO"/>
          <w14:ligatures w14:val="none"/>
        </w:rPr>
        <w:t xml:space="preserve">En consecuencia, el </w:t>
      </w:r>
      <w:r w:rsidRPr="005523E3">
        <w:rPr>
          <w:rFonts w:ascii="Century Gothic" w:eastAsia="Times New Roman" w:hAnsi="Century Gothic" w:cs="Segoe UI"/>
          <w:b/>
          <w:bCs/>
          <w:kern w:val="0"/>
          <w:sz w:val="23"/>
          <w:szCs w:val="23"/>
          <w:lang w:eastAsia="es-CO"/>
          <w14:ligatures w14:val="none"/>
        </w:rPr>
        <w:t>JUZGADO SESENTA Y CUATRO (64) ADMINISTRATIVO DE ORALIDAD DEL CIRCUITO JUDICIAL DE BOGOTÁ D.C.</w:t>
      </w:r>
      <w:r w:rsidRPr="005523E3">
        <w:rPr>
          <w:rFonts w:ascii="Century Gothic" w:eastAsia="Times New Roman" w:hAnsi="Century Gothic" w:cs="Segoe UI"/>
          <w:kern w:val="0"/>
          <w:sz w:val="23"/>
          <w:szCs w:val="23"/>
          <w:lang w:eastAsia="es-CO"/>
          <w14:ligatures w14:val="none"/>
        </w:rPr>
        <w:t>,</w:t>
      </w:r>
      <w:r w:rsidRPr="005523E3">
        <w:rPr>
          <w:rFonts w:ascii="Arial" w:eastAsia="Times New Roman" w:hAnsi="Arial" w:cs="Arial"/>
          <w:kern w:val="0"/>
          <w:sz w:val="23"/>
          <w:szCs w:val="23"/>
          <w:lang w:eastAsia="es-CO"/>
          <w14:ligatures w14:val="none"/>
        </w:rPr>
        <w:t> </w:t>
      </w:r>
      <w:r w:rsidRPr="005523E3">
        <w:rPr>
          <w:rFonts w:ascii="Century Gothic" w:eastAsia="Times New Roman" w:hAnsi="Century Gothic" w:cs="Segoe UI"/>
          <w:kern w:val="0"/>
          <w:sz w:val="23"/>
          <w:szCs w:val="23"/>
          <w:lang w:eastAsia="es-CO"/>
          <w14:ligatures w14:val="none"/>
        </w:rPr>
        <w:t> </w:t>
      </w:r>
    </w:p>
    <w:p w14:paraId="234723F1" w14:textId="77777777" w:rsidR="00C54A45" w:rsidRDefault="00C54A45" w:rsidP="002204F8">
      <w:pPr>
        <w:spacing w:after="0" w:line="276" w:lineRule="auto"/>
        <w:jc w:val="both"/>
        <w:textAlignment w:val="baseline"/>
        <w:rPr>
          <w:rFonts w:ascii="Century Gothic" w:eastAsia="Times New Roman" w:hAnsi="Century Gothic" w:cs="Segoe UI"/>
          <w:kern w:val="0"/>
          <w:sz w:val="23"/>
          <w:szCs w:val="23"/>
          <w:lang w:eastAsia="es-CO"/>
          <w14:ligatures w14:val="none"/>
        </w:rPr>
      </w:pPr>
      <w:r w:rsidRPr="005523E3">
        <w:rPr>
          <w:rFonts w:ascii="Arial" w:eastAsia="Times New Roman" w:hAnsi="Arial" w:cs="Arial"/>
          <w:kern w:val="0"/>
          <w:sz w:val="23"/>
          <w:szCs w:val="23"/>
          <w:lang w:eastAsia="es-CO"/>
          <w14:ligatures w14:val="none"/>
        </w:rPr>
        <w:t> </w:t>
      </w:r>
      <w:r w:rsidRPr="005523E3">
        <w:rPr>
          <w:rFonts w:ascii="Century Gothic" w:eastAsia="Times New Roman" w:hAnsi="Century Gothic" w:cs="Segoe UI"/>
          <w:kern w:val="0"/>
          <w:sz w:val="23"/>
          <w:szCs w:val="23"/>
          <w:lang w:eastAsia="es-CO"/>
          <w14:ligatures w14:val="none"/>
        </w:rPr>
        <w:t> </w:t>
      </w:r>
    </w:p>
    <w:p w14:paraId="5C03588C" w14:textId="77777777" w:rsidR="00E31932" w:rsidRPr="005523E3" w:rsidRDefault="00E31932" w:rsidP="002204F8">
      <w:pPr>
        <w:spacing w:after="0" w:line="276" w:lineRule="auto"/>
        <w:jc w:val="both"/>
        <w:textAlignment w:val="baseline"/>
        <w:rPr>
          <w:rFonts w:ascii="Century Gothic" w:eastAsia="Times New Roman" w:hAnsi="Century Gothic" w:cs="Segoe UI"/>
          <w:kern w:val="0"/>
          <w:sz w:val="23"/>
          <w:szCs w:val="23"/>
          <w:lang w:eastAsia="es-CO"/>
          <w14:ligatures w14:val="none"/>
        </w:rPr>
      </w:pPr>
    </w:p>
    <w:p w14:paraId="14133195" w14:textId="3697A7BE" w:rsidR="00C54A45" w:rsidRPr="005523E3" w:rsidRDefault="00C54A45" w:rsidP="00E31932">
      <w:pPr>
        <w:spacing w:after="0" w:line="276" w:lineRule="auto"/>
        <w:ind w:right="45"/>
        <w:jc w:val="center"/>
        <w:textAlignment w:val="baseline"/>
        <w:rPr>
          <w:rFonts w:ascii="Century Gothic" w:eastAsia="Times New Roman" w:hAnsi="Century Gothic" w:cs="Segoe UI"/>
          <w:kern w:val="0"/>
          <w:sz w:val="23"/>
          <w:szCs w:val="23"/>
          <w:lang w:eastAsia="es-CO"/>
          <w14:ligatures w14:val="none"/>
        </w:rPr>
      </w:pPr>
      <w:r w:rsidRPr="005523E3">
        <w:rPr>
          <w:rFonts w:ascii="Century Gothic" w:eastAsia="Times New Roman" w:hAnsi="Century Gothic" w:cs="Segoe UI"/>
          <w:b/>
          <w:bCs/>
          <w:kern w:val="0"/>
          <w:sz w:val="23"/>
          <w:szCs w:val="23"/>
          <w:lang w:eastAsia="es-CO"/>
          <w14:ligatures w14:val="none"/>
        </w:rPr>
        <w:t>RESUELVE:</w:t>
      </w:r>
      <w:r w:rsidRPr="005523E3">
        <w:rPr>
          <w:rFonts w:ascii="Arial" w:eastAsia="Times New Roman" w:hAnsi="Arial" w:cs="Arial"/>
          <w:kern w:val="0"/>
          <w:sz w:val="23"/>
          <w:szCs w:val="23"/>
          <w:lang w:eastAsia="es-CO"/>
          <w14:ligatures w14:val="none"/>
        </w:rPr>
        <w:t>  </w:t>
      </w:r>
      <w:r w:rsidRPr="005523E3">
        <w:rPr>
          <w:rFonts w:ascii="Century Gothic" w:eastAsia="Times New Roman" w:hAnsi="Century Gothic" w:cs="Segoe UI"/>
          <w:kern w:val="0"/>
          <w:sz w:val="23"/>
          <w:szCs w:val="23"/>
          <w:lang w:eastAsia="es-CO"/>
          <w14:ligatures w14:val="none"/>
        </w:rPr>
        <w:t> </w:t>
      </w:r>
    </w:p>
    <w:p w14:paraId="3F61DEF2" w14:textId="77777777" w:rsidR="00C54A45" w:rsidRPr="005523E3" w:rsidRDefault="00C54A45" w:rsidP="002204F8">
      <w:pPr>
        <w:spacing w:after="0" w:line="276" w:lineRule="auto"/>
        <w:jc w:val="both"/>
        <w:textAlignment w:val="baseline"/>
        <w:rPr>
          <w:rFonts w:ascii="Century Gothic" w:eastAsia="Times New Roman" w:hAnsi="Century Gothic" w:cs="Segoe UI"/>
          <w:b/>
          <w:bCs/>
          <w:kern w:val="0"/>
          <w:sz w:val="23"/>
          <w:szCs w:val="23"/>
          <w:lang w:val="es-ES" w:eastAsia="es-CO"/>
          <w14:ligatures w14:val="none"/>
        </w:rPr>
      </w:pPr>
    </w:p>
    <w:p w14:paraId="30C05860" w14:textId="2B2197D6" w:rsidR="003F4371" w:rsidRPr="005523E3" w:rsidRDefault="00C54A45" w:rsidP="002204F8">
      <w:pPr>
        <w:pStyle w:val="NormalWeb"/>
        <w:spacing w:before="0" w:beforeAutospacing="0" w:after="0" w:afterAutospacing="0" w:line="276" w:lineRule="auto"/>
        <w:jc w:val="both"/>
        <w:rPr>
          <w:rStyle w:val="tabchar"/>
          <w:rFonts w:ascii="Century Gothic" w:eastAsiaTheme="majorEastAsia" w:hAnsi="Century Gothic" w:cs="Calibri"/>
          <w:sz w:val="23"/>
          <w:szCs w:val="23"/>
          <w:lang w:val="es-CO"/>
        </w:rPr>
      </w:pPr>
      <w:r w:rsidRPr="005523E3">
        <w:rPr>
          <w:rFonts w:ascii="Century Gothic" w:hAnsi="Century Gothic" w:cs="Segoe UI"/>
          <w:b/>
          <w:bCs/>
          <w:sz w:val="23"/>
          <w:szCs w:val="23"/>
        </w:rPr>
        <w:t>PRIMERO</w:t>
      </w:r>
      <w:r w:rsidRPr="005523E3">
        <w:rPr>
          <w:rStyle w:val="normaltextrun"/>
          <w:rFonts w:ascii="Century Gothic" w:eastAsiaTheme="majorEastAsia" w:hAnsi="Century Gothic" w:cs="Segoe UI"/>
          <w:b/>
          <w:bCs/>
          <w:sz w:val="23"/>
          <w:szCs w:val="23"/>
        </w:rPr>
        <w:t>:</w:t>
      </w:r>
      <w:r w:rsidRPr="005523E3">
        <w:rPr>
          <w:rStyle w:val="tabchar"/>
          <w:rFonts w:ascii="Century Gothic" w:eastAsiaTheme="majorEastAsia" w:hAnsi="Century Gothic" w:cs="Calibri"/>
          <w:sz w:val="23"/>
          <w:szCs w:val="23"/>
        </w:rPr>
        <w:t xml:space="preserve"> </w:t>
      </w:r>
      <w:r w:rsidR="00A9581E" w:rsidRPr="005523E3">
        <w:rPr>
          <w:rStyle w:val="tabchar"/>
          <w:rFonts w:ascii="Century Gothic" w:eastAsiaTheme="majorEastAsia" w:hAnsi="Century Gothic" w:cs="Calibri"/>
          <w:sz w:val="23"/>
          <w:szCs w:val="23"/>
        </w:rPr>
        <w:t xml:space="preserve">   </w:t>
      </w:r>
      <w:r w:rsidR="005523E3" w:rsidRPr="005523E3">
        <w:rPr>
          <w:rStyle w:val="tabchar"/>
          <w:rFonts w:ascii="Century Gothic" w:eastAsiaTheme="majorEastAsia" w:hAnsi="Century Gothic" w:cs="Calibri"/>
          <w:b/>
          <w:bCs/>
          <w:sz w:val="23"/>
          <w:szCs w:val="23"/>
        </w:rPr>
        <w:t>INCORPORAR</w:t>
      </w:r>
      <w:r w:rsidR="003F4371" w:rsidRPr="005523E3">
        <w:rPr>
          <w:rStyle w:val="tabchar"/>
          <w:rFonts w:ascii="Century Gothic" w:eastAsiaTheme="majorEastAsia" w:hAnsi="Century Gothic" w:cs="Calibri"/>
          <w:sz w:val="23"/>
          <w:szCs w:val="23"/>
        </w:rPr>
        <w:t xml:space="preserve"> las pruebas documentales, puestas en conocimiento en auto del 26 de junio de 2023.</w:t>
      </w:r>
    </w:p>
    <w:p w14:paraId="6D3A55F0" w14:textId="77777777" w:rsidR="003F4371" w:rsidRPr="005523E3" w:rsidRDefault="003F4371" w:rsidP="002204F8">
      <w:pPr>
        <w:pStyle w:val="NormalWeb"/>
        <w:spacing w:before="0" w:beforeAutospacing="0" w:after="0" w:afterAutospacing="0" w:line="276" w:lineRule="auto"/>
        <w:jc w:val="both"/>
        <w:rPr>
          <w:rStyle w:val="tabchar"/>
          <w:rFonts w:ascii="Century Gothic" w:eastAsiaTheme="majorEastAsia" w:hAnsi="Century Gothic" w:cs="Calibri"/>
          <w:sz w:val="23"/>
          <w:szCs w:val="23"/>
        </w:rPr>
      </w:pPr>
    </w:p>
    <w:p w14:paraId="28B2BE23" w14:textId="0FB10A36" w:rsidR="00C54A45" w:rsidRPr="005523E3" w:rsidRDefault="003F4371" w:rsidP="002204F8">
      <w:pPr>
        <w:pStyle w:val="NormalWeb"/>
        <w:spacing w:before="0" w:beforeAutospacing="0" w:after="0" w:afterAutospacing="0" w:line="276" w:lineRule="auto"/>
        <w:jc w:val="both"/>
        <w:rPr>
          <w:rFonts w:ascii="Century Gothic" w:hAnsi="Century Gothic"/>
          <w:b/>
          <w:bCs/>
          <w:color w:val="000000" w:themeColor="text1"/>
          <w:sz w:val="23"/>
          <w:szCs w:val="23"/>
        </w:rPr>
      </w:pPr>
      <w:r w:rsidRPr="005523E3">
        <w:rPr>
          <w:rStyle w:val="tabchar"/>
          <w:rFonts w:ascii="Century Gothic" w:eastAsiaTheme="majorEastAsia" w:hAnsi="Century Gothic" w:cs="Calibri"/>
          <w:b/>
          <w:bCs/>
          <w:sz w:val="23"/>
          <w:szCs w:val="23"/>
        </w:rPr>
        <w:t>SEGUNDO:</w:t>
      </w:r>
      <w:r w:rsidRPr="005523E3">
        <w:rPr>
          <w:rStyle w:val="tabchar"/>
          <w:rFonts w:ascii="Century Gothic" w:eastAsiaTheme="majorEastAsia" w:hAnsi="Century Gothic" w:cs="Calibri"/>
          <w:sz w:val="23"/>
          <w:szCs w:val="23"/>
        </w:rPr>
        <w:t xml:space="preserve">  </w:t>
      </w:r>
      <w:r w:rsidR="00A9581E" w:rsidRPr="005523E3">
        <w:rPr>
          <w:rStyle w:val="tabchar"/>
          <w:rFonts w:ascii="Century Gothic" w:eastAsiaTheme="majorEastAsia" w:hAnsi="Century Gothic" w:cs="Calibri"/>
          <w:b/>
          <w:bCs/>
          <w:sz w:val="23"/>
          <w:szCs w:val="23"/>
        </w:rPr>
        <w:t xml:space="preserve">NO </w:t>
      </w:r>
      <w:r w:rsidR="00C54A45" w:rsidRPr="005523E3">
        <w:rPr>
          <w:rFonts w:ascii="Century Gothic" w:hAnsi="Century Gothic"/>
          <w:b/>
          <w:bCs/>
          <w:color w:val="000000" w:themeColor="text1"/>
          <w:sz w:val="23"/>
          <w:szCs w:val="23"/>
        </w:rPr>
        <w:t xml:space="preserve">REPONER </w:t>
      </w:r>
      <w:r w:rsidR="00C54A45" w:rsidRPr="005523E3">
        <w:rPr>
          <w:rFonts w:ascii="Century Gothic" w:hAnsi="Century Gothic"/>
          <w:color w:val="000000" w:themeColor="text1"/>
          <w:sz w:val="23"/>
          <w:szCs w:val="23"/>
        </w:rPr>
        <w:t xml:space="preserve">la decisión adoptada en auto de fecha </w:t>
      </w:r>
      <w:r w:rsidR="004A5D00" w:rsidRPr="005523E3">
        <w:rPr>
          <w:rFonts w:ascii="Century Gothic" w:hAnsi="Century Gothic"/>
          <w:color w:val="000000" w:themeColor="text1"/>
          <w:sz w:val="23"/>
          <w:szCs w:val="23"/>
        </w:rPr>
        <w:t>26</w:t>
      </w:r>
      <w:r w:rsidR="00C54A45" w:rsidRPr="005523E3">
        <w:rPr>
          <w:rFonts w:ascii="Century Gothic" w:hAnsi="Century Gothic"/>
          <w:color w:val="000000" w:themeColor="text1"/>
          <w:sz w:val="23"/>
          <w:szCs w:val="23"/>
        </w:rPr>
        <w:t xml:space="preserve"> de </w:t>
      </w:r>
      <w:r w:rsidR="004A5D00" w:rsidRPr="005523E3">
        <w:rPr>
          <w:rFonts w:ascii="Century Gothic" w:hAnsi="Century Gothic"/>
          <w:color w:val="000000" w:themeColor="text1"/>
          <w:sz w:val="23"/>
          <w:szCs w:val="23"/>
        </w:rPr>
        <w:t>junio</w:t>
      </w:r>
      <w:r w:rsidR="00C54A45" w:rsidRPr="005523E3">
        <w:rPr>
          <w:rFonts w:ascii="Century Gothic" w:hAnsi="Century Gothic"/>
          <w:color w:val="000000" w:themeColor="text1"/>
          <w:sz w:val="23"/>
          <w:szCs w:val="23"/>
        </w:rPr>
        <w:t xml:space="preserve"> de 202</w:t>
      </w:r>
      <w:r w:rsidR="004A5D00" w:rsidRPr="005523E3">
        <w:rPr>
          <w:rFonts w:ascii="Century Gothic" w:hAnsi="Century Gothic"/>
          <w:color w:val="000000" w:themeColor="text1"/>
          <w:sz w:val="23"/>
          <w:szCs w:val="23"/>
        </w:rPr>
        <w:t>3</w:t>
      </w:r>
      <w:r w:rsidR="00C54A45" w:rsidRPr="005523E3">
        <w:rPr>
          <w:rFonts w:ascii="Century Gothic" w:hAnsi="Century Gothic" w:cs="Arial"/>
          <w:sz w:val="23"/>
          <w:szCs w:val="23"/>
        </w:rPr>
        <w:t>, conforme a lo indicado en precedencia.</w:t>
      </w:r>
    </w:p>
    <w:p w14:paraId="6C34FE7B" w14:textId="77777777" w:rsidR="00C54A45" w:rsidRPr="005523E3" w:rsidRDefault="00C54A45" w:rsidP="002204F8">
      <w:pPr>
        <w:spacing w:after="0" w:line="276" w:lineRule="auto"/>
        <w:ind w:right="45"/>
        <w:jc w:val="both"/>
        <w:textAlignment w:val="baseline"/>
        <w:rPr>
          <w:rFonts w:ascii="Century Gothic" w:eastAsia="Century Gothic" w:hAnsi="Century Gothic" w:cs="Century Gothic"/>
          <w:sz w:val="23"/>
          <w:szCs w:val="23"/>
          <w:lang w:eastAsia="es-CO"/>
        </w:rPr>
      </w:pPr>
    </w:p>
    <w:p w14:paraId="4813B69C" w14:textId="1E75B95A" w:rsidR="00C54A45" w:rsidRPr="005523E3" w:rsidRDefault="003F4371" w:rsidP="002204F8">
      <w:pPr>
        <w:spacing w:after="0" w:line="276" w:lineRule="auto"/>
        <w:ind w:right="45"/>
        <w:jc w:val="both"/>
        <w:textAlignment w:val="baseline"/>
        <w:rPr>
          <w:rFonts w:ascii="Century Gothic" w:eastAsia="Century Gothic" w:hAnsi="Century Gothic" w:cs="Century Gothic"/>
          <w:b/>
          <w:bCs/>
          <w:sz w:val="23"/>
          <w:szCs w:val="23"/>
          <w:lang w:eastAsia="es-CO"/>
        </w:rPr>
      </w:pPr>
      <w:r w:rsidRPr="005523E3">
        <w:rPr>
          <w:rFonts w:ascii="Century Gothic" w:hAnsi="Century Gothic" w:cs="Segoe UI"/>
          <w:b/>
          <w:bCs/>
          <w:sz w:val="23"/>
          <w:szCs w:val="23"/>
          <w:lang w:eastAsia="es-CO"/>
        </w:rPr>
        <w:t>TERCERO</w:t>
      </w:r>
      <w:r w:rsidR="00C54A45" w:rsidRPr="005523E3">
        <w:rPr>
          <w:rFonts w:ascii="Century Gothic" w:hAnsi="Century Gothic" w:cs="Segoe UI"/>
          <w:b/>
          <w:bCs/>
          <w:sz w:val="23"/>
          <w:szCs w:val="23"/>
          <w:lang w:eastAsia="es-CO"/>
        </w:rPr>
        <w:t xml:space="preserve">: </w:t>
      </w:r>
      <w:r w:rsidRPr="005523E3">
        <w:rPr>
          <w:rStyle w:val="normaltextrun"/>
          <w:rFonts w:ascii="Century Gothic" w:hAnsi="Century Gothic"/>
          <w:b/>
          <w:bCs/>
          <w:color w:val="000000"/>
          <w:sz w:val="23"/>
          <w:szCs w:val="23"/>
          <w:shd w:val="clear" w:color="auto" w:fill="FFFFFF"/>
        </w:rPr>
        <w:t xml:space="preserve">CERRAR </w:t>
      </w:r>
      <w:r w:rsidRPr="005523E3">
        <w:rPr>
          <w:rStyle w:val="normaltextrun"/>
          <w:rFonts w:ascii="Century Gothic" w:hAnsi="Century Gothic"/>
          <w:color w:val="000000"/>
          <w:sz w:val="23"/>
          <w:szCs w:val="23"/>
          <w:shd w:val="clear" w:color="auto" w:fill="FFFFFF"/>
        </w:rPr>
        <w:t>la etapa probatoria del proceso de la referencia.</w:t>
      </w:r>
      <w:r w:rsidRPr="005523E3">
        <w:rPr>
          <w:rStyle w:val="eop"/>
          <w:rFonts w:ascii="Century Gothic" w:hAnsi="Century Gothic"/>
          <w:color w:val="000000"/>
          <w:sz w:val="23"/>
          <w:szCs w:val="23"/>
          <w:shd w:val="clear" w:color="auto" w:fill="FFFFFF"/>
        </w:rPr>
        <w:t> </w:t>
      </w:r>
      <w:r w:rsidRPr="005523E3">
        <w:rPr>
          <w:rFonts w:ascii="Century Gothic" w:eastAsia="Century Gothic" w:hAnsi="Century Gothic" w:cs="Century Gothic"/>
          <w:color w:val="000000"/>
          <w:sz w:val="23"/>
          <w:szCs w:val="23"/>
          <w:shd w:val="clear" w:color="auto" w:fill="FFFFFF"/>
        </w:rPr>
        <w:t xml:space="preserve"> </w:t>
      </w:r>
    </w:p>
    <w:p w14:paraId="37515750" w14:textId="77777777" w:rsidR="00C54A45" w:rsidRPr="005523E3" w:rsidRDefault="00C54A45" w:rsidP="002204F8">
      <w:pPr>
        <w:spacing w:after="0" w:line="276" w:lineRule="auto"/>
        <w:jc w:val="both"/>
        <w:textAlignment w:val="baseline"/>
        <w:rPr>
          <w:rFonts w:ascii="Century Gothic" w:hAnsi="Century Gothic" w:cs="Segoe UI"/>
          <w:b/>
          <w:bCs/>
          <w:sz w:val="23"/>
          <w:szCs w:val="23"/>
          <w:lang w:eastAsia="es-CO"/>
        </w:rPr>
      </w:pPr>
    </w:p>
    <w:p w14:paraId="33410912" w14:textId="534627DA" w:rsidR="003F4371" w:rsidRPr="005523E3" w:rsidRDefault="003F4371" w:rsidP="002204F8">
      <w:pPr>
        <w:spacing w:after="0" w:line="276" w:lineRule="auto"/>
        <w:jc w:val="both"/>
        <w:textAlignment w:val="baseline"/>
        <w:rPr>
          <w:rFonts w:ascii="Century Gothic" w:hAnsi="Century Gothic" w:cs="Segoe UI"/>
          <w:b/>
          <w:bCs/>
          <w:sz w:val="23"/>
          <w:szCs w:val="23"/>
          <w:lang w:eastAsia="es-CO"/>
        </w:rPr>
      </w:pPr>
      <w:r w:rsidRPr="005523E3">
        <w:rPr>
          <w:rFonts w:ascii="Century Gothic" w:hAnsi="Century Gothic" w:cs="Segoe UI"/>
          <w:b/>
          <w:bCs/>
          <w:sz w:val="23"/>
          <w:szCs w:val="23"/>
          <w:lang w:eastAsia="es-CO"/>
        </w:rPr>
        <w:t>CUARTO</w:t>
      </w:r>
      <w:r w:rsidR="00C54A45" w:rsidRPr="005523E3">
        <w:rPr>
          <w:rFonts w:ascii="Century Gothic" w:hAnsi="Century Gothic" w:cs="Segoe UI"/>
          <w:b/>
          <w:bCs/>
          <w:sz w:val="23"/>
          <w:szCs w:val="23"/>
          <w:lang w:eastAsia="es-CO"/>
        </w:rPr>
        <w:t xml:space="preserve">:  </w:t>
      </w:r>
      <w:r w:rsidRPr="005523E3">
        <w:rPr>
          <w:rStyle w:val="normaltextrun"/>
          <w:rFonts w:ascii="Century Gothic" w:hAnsi="Century Gothic"/>
          <w:b/>
          <w:bCs/>
          <w:color w:val="000000"/>
          <w:sz w:val="23"/>
          <w:szCs w:val="23"/>
          <w:shd w:val="clear" w:color="auto" w:fill="FFFFFF"/>
        </w:rPr>
        <w:t xml:space="preserve">CORRER TRASLADO </w:t>
      </w:r>
      <w:r w:rsidRPr="005523E3">
        <w:rPr>
          <w:rStyle w:val="normaltextrun"/>
          <w:rFonts w:ascii="Century Gothic" w:hAnsi="Century Gothic"/>
          <w:color w:val="000000"/>
          <w:sz w:val="23"/>
          <w:szCs w:val="23"/>
          <w:shd w:val="clear" w:color="auto" w:fill="FFFFFF"/>
        </w:rPr>
        <w:t>a las partes</w:t>
      </w:r>
      <w:r w:rsidRPr="005523E3">
        <w:rPr>
          <w:rStyle w:val="normaltextrun"/>
          <w:rFonts w:ascii="Century Gothic" w:hAnsi="Century Gothic"/>
          <w:b/>
          <w:bCs/>
          <w:color w:val="000000"/>
          <w:sz w:val="23"/>
          <w:szCs w:val="23"/>
          <w:shd w:val="clear" w:color="auto" w:fill="FFFFFF"/>
        </w:rPr>
        <w:t xml:space="preserve"> </w:t>
      </w:r>
      <w:r w:rsidRPr="005523E3">
        <w:rPr>
          <w:rStyle w:val="normaltextrun"/>
          <w:rFonts w:ascii="Century Gothic" w:hAnsi="Century Gothic"/>
          <w:color w:val="000000"/>
          <w:sz w:val="23"/>
          <w:szCs w:val="23"/>
          <w:shd w:val="clear" w:color="auto" w:fill="FFFFFF"/>
        </w:rPr>
        <w:t>para alegar de conclusión por escrito, conforme a lo indicado en el inciso final del artículo 181 de la Ley 1437 de 2011, en esta misma oportunidad podrá presentar concepto el Ministerio Público si a bien lo tiene. </w:t>
      </w:r>
      <w:r w:rsidRPr="005523E3">
        <w:rPr>
          <w:rStyle w:val="eop"/>
          <w:rFonts w:ascii="Century Gothic" w:hAnsi="Century Gothic"/>
          <w:color w:val="000000"/>
          <w:sz w:val="23"/>
          <w:szCs w:val="23"/>
          <w:shd w:val="clear" w:color="auto" w:fill="FFFFFF"/>
        </w:rPr>
        <w:t> </w:t>
      </w:r>
    </w:p>
    <w:p w14:paraId="33AC3109" w14:textId="77777777" w:rsidR="003F4371" w:rsidRPr="005523E3" w:rsidRDefault="003F4371" w:rsidP="002204F8">
      <w:pPr>
        <w:spacing w:after="0" w:line="276" w:lineRule="auto"/>
        <w:jc w:val="both"/>
        <w:textAlignment w:val="baseline"/>
        <w:rPr>
          <w:rFonts w:ascii="Century Gothic" w:hAnsi="Century Gothic" w:cs="Segoe UI"/>
          <w:b/>
          <w:bCs/>
          <w:sz w:val="23"/>
          <w:szCs w:val="23"/>
          <w:lang w:eastAsia="es-CO"/>
        </w:rPr>
      </w:pPr>
    </w:p>
    <w:p w14:paraId="3650EBC8" w14:textId="4934F964" w:rsidR="00C54A45" w:rsidRPr="005523E3" w:rsidRDefault="003F4371" w:rsidP="002204F8">
      <w:pPr>
        <w:spacing w:after="0" w:line="276" w:lineRule="auto"/>
        <w:jc w:val="both"/>
        <w:textAlignment w:val="baseline"/>
        <w:rPr>
          <w:rFonts w:ascii="Century Gothic" w:hAnsi="Century Gothic"/>
          <w:color w:val="000000" w:themeColor="text1"/>
          <w:sz w:val="23"/>
          <w:szCs w:val="23"/>
        </w:rPr>
      </w:pPr>
      <w:r w:rsidRPr="005523E3">
        <w:rPr>
          <w:rFonts w:ascii="Century Gothic" w:hAnsi="Century Gothic" w:cs="Segoe UI"/>
          <w:b/>
          <w:bCs/>
          <w:sz w:val="23"/>
          <w:szCs w:val="23"/>
          <w:lang w:eastAsia="es-CO"/>
        </w:rPr>
        <w:t xml:space="preserve">QUINTO:  </w:t>
      </w:r>
      <w:r w:rsidR="00C54A45" w:rsidRPr="005523E3">
        <w:rPr>
          <w:rFonts w:ascii="Century Gothic" w:hAnsi="Century Gothic" w:cs="Segoe UI"/>
          <w:b/>
          <w:bCs/>
          <w:sz w:val="23"/>
          <w:szCs w:val="23"/>
          <w:lang w:eastAsia="es-CO"/>
        </w:rPr>
        <w:t xml:space="preserve">NOTIFICAR </w:t>
      </w:r>
      <w:r w:rsidR="00C54A45" w:rsidRPr="005523E3">
        <w:rPr>
          <w:rFonts w:ascii="Century Gothic" w:hAnsi="Century Gothic" w:cs="Segoe UI"/>
          <w:sz w:val="23"/>
          <w:szCs w:val="23"/>
          <w:lang w:eastAsia="es-CO"/>
        </w:rPr>
        <w:t xml:space="preserve">por secretaría la presente decisión a las partes y al Ministerio Público conformidad con lo dispuesto en el artículo 201 de la Ley 1437 de 2011 y </w:t>
      </w:r>
      <w:r w:rsidR="00C54A45" w:rsidRPr="005523E3">
        <w:rPr>
          <w:rFonts w:ascii="Century Gothic" w:hAnsi="Century Gothic" w:cs="Segoe UI"/>
          <w:b/>
          <w:bCs/>
          <w:sz w:val="23"/>
          <w:szCs w:val="23"/>
          <w:lang w:eastAsia="es-CO"/>
        </w:rPr>
        <w:t>COMUNICAR</w:t>
      </w:r>
      <w:r w:rsidR="00C54A45" w:rsidRPr="005523E3">
        <w:rPr>
          <w:rFonts w:ascii="Century Gothic" w:hAnsi="Century Gothic" w:cs="Segoe UI"/>
          <w:sz w:val="23"/>
          <w:szCs w:val="23"/>
          <w:lang w:eastAsia="es-CO"/>
        </w:rPr>
        <w:t xml:space="preserve"> a los correos electrónicos. </w:t>
      </w:r>
    </w:p>
    <w:p w14:paraId="59721A91" w14:textId="77777777" w:rsidR="00C54A45" w:rsidRPr="005523E3" w:rsidRDefault="00C54A45" w:rsidP="002204F8">
      <w:pPr>
        <w:spacing w:after="0" w:line="276" w:lineRule="auto"/>
        <w:jc w:val="both"/>
        <w:rPr>
          <w:rFonts w:ascii="Century Gothic" w:hAnsi="Century Gothic" w:cs="Segoe UI"/>
          <w:sz w:val="23"/>
          <w:szCs w:val="23"/>
          <w:lang w:eastAsia="es-CO"/>
        </w:rPr>
      </w:pPr>
    </w:p>
    <w:p w14:paraId="02933E30" w14:textId="77777777" w:rsidR="003F4371" w:rsidRPr="005523E3" w:rsidRDefault="003F4371" w:rsidP="002204F8">
      <w:pPr>
        <w:spacing w:after="0" w:line="276" w:lineRule="auto"/>
        <w:jc w:val="both"/>
        <w:rPr>
          <w:rFonts w:ascii="Century Gothic" w:hAnsi="Century Gothic" w:cs="Segoe UI"/>
          <w:sz w:val="23"/>
          <w:szCs w:val="23"/>
          <w:lang w:eastAsia="es-CO"/>
        </w:rPr>
      </w:pPr>
    </w:p>
    <w:p w14:paraId="09720E63" w14:textId="77777777" w:rsidR="00C54A45" w:rsidRPr="005523E3" w:rsidRDefault="00C54A45" w:rsidP="002204F8">
      <w:pPr>
        <w:tabs>
          <w:tab w:val="left" w:pos="0"/>
        </w:tabs>
        <w:spacing w:after="0" w:line="276" w:lineRule="auto"/>
        <w:jc w:val="both"/>
        <w:rPr>
          <w:rFonts w:ascii="Century Gothic" w:hAnsi="Century Gothic" w:cs="Arial"/>
          <w:b/>
          <w:bCs/>
          <w:sz w:val="23"/>
          <w:szCs w:val="23"/>
        </w:rPr>
      </w:pPr>
      <w:r w:rsidRPr="005523E3">
        <w:rPr>
          <w:rFonts w:ascii="Century Gothic" w:hAnsi="Century Gothic" w:cs="Arial"/>
          <w:b/>
          <w:bCs/>
          <w:sz w:val="23"/>
          <w:szCs w:val="23"/>
        </w:rPr>
        <w:t>NOTIFÍQUESE Y CÚMPLASE</w:t>
      </w:r>
    </w:p>
    <w:p w14:paraId="779E9A0B" w14:textId="77777777" w:rsidR="00C54A45" w:rsidRPr="005523E3" w:rsidRDefault="00C54A45" w:rsidP="002204F8">
      <w:pPr>
        <w:tabs>
          <w:tab w:val="left" w:pos="0"/>
        </w:tabs>
        <w:spacing w:after="0" w:line="276" w:lineRule="auto"/>
        <w:jc w:val="both"/>
        <w:rPr>
          <w:rFonts w:ascii="Century Gothic" w:hAnsi="Century Gothic" w:cs="Arial"/>
          <w:b/>
          <w:bCs/>
          <w:sz w:val="23"/>
          <w:szCs w:val="23"/>
        </w:rPr>
      </w:pPr>
    </w:p>
    <w:p w14:paraId="1A888D09" w14:textId="77777777" w:rsidR="00C54A45" w:rsidRPr="005523E3" w:rsidRDefault="00C54A45" w:rsidP="002204F8">
      <w:pPr>
        <w:tabs>
          <w:tab w:val="left" w:pos="0"/>
        </w:tabs>
        <w:spacing w:after="0" w:line="276" w:lineRule="auto"/>
        <w:jc w:val="both"/>
        <w:rPr>
          <w:rFonts w:ascii="Century Gothic" w:hAnsi="Century Gothic" w:cs="Arial"/>
          <w:b/>
          <w:bCs/>
          <w:sz w:val="23"/>
          <w:szCs w:val="23"/>
        </w:rPr>
      </w:pPr>
    </w:p>
    <w:p w14:paraId="0397619F" w14:textId="77777777" w:rsidR="00C54A45" w:rsidRPr="005523E3" w:rsidRDefault="00C54A45" w:rsidP="002204F8">
      <w:pPr>
        <w:tabs>
          <w:tab w:val="left" w:pos="3720"/>
        </w:tabs>
        <w:spacing w:after="0" w:line="276" w:lineRule="auto"/>
        <w:ind w:firstLine="708"/>
        <w:jc w:val="center"/>
        <w:rPr>
          <w:rFonts w:ascii="Century Gothic" w:hAnsi="Century Gothic" w:cs="Arial"/>
          <w:b/>
          <w:bCs/>
          <w:sz w:val="23"/>
          <w:szCs w:val="23"/>
        </w:rPr>
      </w:pPr>
      <w:r w:rsidRPr="005523E3">
        <w:rPr>
          <w:rFonts w:ascii="Century Gothic" w:hAnsi="Century Gothic" w:cs="Arial"/>
          <w:b/>
          <w:bCs/>
          <w:sz w:val="23"/>
          <w:szCs w:val="23"/>
        </w:rPr>
        <w:t>John Alexander Ceballos Gaviria</w:t>
      </w:r>
    </w:p>
    <w:p w14:paraId="6188D1F3" w14:textId="77777777" w:rsidR="00C54A45" w:rsidRPr="005523E3" w:rsidRDefault="00C54A45" w:rsidP="002204F8">
      <w:pPr>
        <w:tabs>
          <w:tab w:val="left" w:pos="3720"/>
        </w:tabs>
        <w:spacing w:after="0" w:line="276" w:lineRule="auto"/>
        <w:ind w:firstLine="708"/>
        <w:jc w:val="center"/>
        <w:rPr>
          <w:rFonts w:ascii="Century Gothic" w:hAnsi="Century Gothic" w:cs="Arial"/>
          <w:b/>
          <w:bCs/>
          <w:sz w:val="23"/>
          <w:szCs w:val="23"/>
        </w:rPr>
      </w:pPr>
      <w:r w:rsidRPr="005523E3">
        <w:rPr>
          <w:rFonts w:ascii="Century Gothic" w:hAnsi="Century Gothic" w:cs="Arial"/>
          <w:b/>
          <w:sz w:val="23"/>
          <w:szCs w:val="23"/>
        </w:rPr>
        <w:t>Juez</w:t>
      </w:r>
    </w:p>
    <w:p w14:paraId="58EB322A" w14:textId="77777777" w:rsidR="00C54A45" w:rsidRDefault="00C54A45" w:rsidP="00C54A45">
      <w:pPr>
        <w:spacing w:after="0" w:line="276" w:lineRule="auto"/>
        <w:rPr>
          <w:rFonts w:ascii="Century Gothic" w:hAnsi="Century Gothic" w:cs="Arial"/>
          <w:sz w:val="14"/>
          <w:szCs w:val="14"/>
        </w:rPr>
      </w:pPr>
    </w:p>
    <w:p w14:paraId="51F05BC2" w14:textId="77777777" w:rsidR="00C54A45" w:rsidRPr="002F6B7D" w:rsidRDefault="00C54A45" w:rsidP="00C54A45">
      <w:pPr>
        <w:spacing w:after="0" w:line="276" w:lineRule="auto"/>
        <w:rPr>
          <w:rFonts w:ascii="Century Gothic" w:hAnsi="Century Gothic"/>
          <w:sz w:val="14"/>
          <w:szCs w:val="14"/>
        </w:rPr>
      </w:pPr>
      <w:r>
        <w:rPr>
          <w:rFonts w:ascii="Century Gothic" w:hAnsi="Century Gothic" w:cs="Arial"/>
          <w:sz w:val="14"/>
          <w:szCs w:val="14"/>
        </w:rPr>
        <w:t>As</w:t>
      </w:r>
    </w:p>
    <w:p w14:paraId="7A602ED2" w14:textId="77777777" w:rsidR="003D23AF" w:rsidRDefault="003D23AF"/>
    <w:sectPr w:rsidR="003D23AF" w:rsidSect="00C54A45">
      <w:pgSz w:w="12240" w:h="18720" w:code="14"/>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FF7C12"/>
    <w:multiLevelType w:val="multilevel"/>
    <w:tmpl w:val="FD72CA48"/>
    <w:lvl w:ilvl="0">
      <w:start w:val="1"/>
      <w:numFmt w:val="upperRoman"/>
      <w:lvlText w:val="%1."/>
      <w:lvlJc w:val="left"/>
      <w:pPr>
        <w:ind w:left="1080" w:hanging="720"/>
      </w:pPr>
      <w:rPr>
        <w:rFonts w:hint="default"/>
      </w:rPr>
    </w:lvl>
    <w:lvl w:ilvl="1">
      <w:start w:val="1"/>
      <w:numFmt w:val="decimal"/>
      <w:isLgl/>
      <w:lvlText w:val="%1.%2."/>
      <w:lvlJc w:val="left"/>
      <w:pPr>
        <w:ind w:left="72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16cid:durableId="1690789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DC7"/>
    <w:rsid w:val="000720EB"/>
    <w:rsid w:val="00076CDB"/>
    <w:rsid w:val="00166308"/>
    <w:rsid w:val="002204F8"/>
    <w:rsid w:val="003864D4"/>
    <w:rsid w:val="003D23AF"/>
    <w:rsid w:val="003F4371"/>
    <w:rsid w:val="004A5D00"/>
    <w:rsid w:val="00527CE2"/>
    <w:rsid w:val="005523E3"/>
    <w:rsid w:val="005975F3"/>
    <w:rsid w:val="006C326B"/>
    <w:rsid w:val="00756413"/>
    <w:rsid w:val="00853FA2"/>
    <w:rsid w:val="00893ED3"/>
    <w:rsid w:val="009207CF"/>
    <w:rsid w:val="00936A78"/>
    <w:rsid w:val="00A9581E"/>
    <w:rsid w:val="00AF1F06"/>
    <w:rsid w:val="00BF27BA"/>
    <w:rsid w:val="00C54A45"/>
    <w:rsid w:val="00E31932"/>
    <w:rsid w:val="00EB200C"/>
    <w:rsid w:val="00F07DC7"/>
    <w:rsid w:val="00F665EB"/>
    <w:rsid w:val="00FB29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F0E2D"/>
  <w15:chartTrackingRefBased/>
  <w15:docId w15:val="{819390C9-A34B-4580-A096-DDA4E707F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4A45"/>
  </w:style>
  <w:style w:type="paragraph" w:styleId="Ttulo1">
    <w:name w:val="heading 1"/>
    <w:basedOn w:val="Normal"/>
    <w:next w:val="Normal"/>
    <w:link w:val="Ttulo1Car"/>
    <w:uiPriority w:val="9"/>
    <w:qFormat/>
    <w:rsid w:val="00F07D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07D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07DC7"/>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07DC7"/>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07DC7"/>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07DC7"/>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07DC7"/>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07DC7"/>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07DC7"/>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07DC7"/>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07DC7"/>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07DC7"/>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07DC7"/>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F07DC7"/>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F07DC7"/>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F07DC7"/>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F07DC7"/>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F07DC7"/>
    <w:rPr>
      <w:rFonts w:eastAsiaTheme="majorEastAsia" w:cstheme="majorBidi"/>
      <w:color w:val="272727" w:themeColor="text1" w:themeTint="D8"/>
    </w:rPr>
  </w:style>
  <w:style w:type="paragraph" w:styleId="Ttulo">
    <w:name w:val="Title"/>
    <w:basedOn w:val="Normal"/>
    <w:next w:val="Normal"/>
    <w:link w:val="TtuloCar"/>
    <w:uiPriority w:val="10"/>
    <w:qFormat/>
    <w:rsid w:val="00F07D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07DC7"/>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07DC7"/>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07DC7"/>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F07DC7"/>
    <w:pPr>
      <w:spacing w:before="160"/>
      <w:jc w:val="center"/>
    </w:pPr>
    <w:rPr>
      <w:i/>
      <w:iCs/>
      <w:color w:val="404040" w:themeColor="text1" w:themeTint="BF"/>
    </w:rPr>
  </w:style>
  <w:style w:type="character" w:customStyle="1" w:styleId="CitaCar">
    <w:name w:val="Cita Car"/>
    <w:basedOn w:val="Fuentedeprrafopredeter"/>
    <w:link w:val="Cita"/>
    <w:uiPriority w:val="29"/>
    <w:rsid w:val="00F07DC7"/>
    <w:rPr>
      <w:i/>
      <w:iCs/>
      <w:color w:val="404040" w:themeColor="text1" w:themeTint="BF"/>
    </w:rPr>
  </w:style>
  <w:style w:type="paragraph" w:styleId="Prrafodelista">
    <w:name w:val="List Paragraph"/>
    <w:basedOn w:val="Normal"/>
    <w:uiPriority w:val="34"/>
    <w:qFormat/>
    <w:rsid w:val="00F07DC7"/>
    <w:pPr>
      <w:ind w:left="720"/>
      <w:contextualSpacing/>
    </w:pPr>
  </w:style>
  <w:style w:type="character" w:styleId="nfasisintenso">
    <w:name w:val="Intense Emphasis"/>
    <w:basedOn w:val="Fuentedeprrafopredeter"/>
    <w:uiPriority w:val="21"/>
    <w:qFormat/>
    <w:rsid w:val="00F07DC7"/>
    <w:rPr>
      <w:i/>
      <w:iCs/>
      <w:color w:val="0F4761" w:themeColor="accent1" w:themeShade="BF"/>
    </w:rPr>
  </w:style>
  <w:style w:type="paragraph" w:styleId="Citadestacada">
    <w:name w:val="Intense Quote"/>
    <w:basedOn w:val="Normal"/>
    <w:next w:val="Normal"/>
    <w:link w:val="CitadestacadaCar"/>
    <w:uiPriority w:val="30"/>
    <w:qFormat/>
    <w:rsid w:val="00F07D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07DC7"/>
    <w:rPr>
      <w:i/>
      <w:iCs/>
      <w:color w:val="0F4761" w:themeColor="accent1" w:themeShade="BF"/>
    </w:rPr>
  </w:style>
  <w:style w:type="character" w:styleId="Referenciaintensa">
    <w:name w:val="Intense Reference"/>
    <w:basedOn w:val="Fuentedeprrafopredeter"/>
    <w:uiPriority w:val="32"/>
    <w:qFormat/>
    <w:rsid w:val="00F07DC7"/>
    <w:rPr>
      <w:b/>
      <w:bCs/>
      <w:smallCaps/>
      <w:color w:val="0F4761" w:themeColor="accent1" w:themeShade="BF"/>
      <w:spacing w:val="5"/>
    </w:rPr>
  </w:style>
  <w:style w:type="character" w:customStyle="1" w:styleId="normaltextrun">
    <w:name w:val="normaltextrun"/>
    <w:basedOn w:val="Fuentedeprrafopredeter"/>
    <w:rsid w:val="00C54A45"/>
  </w:style>
  <w:style w:type="character" w:customStyle="1" w:styleId="tabchar">
    <w:name w:val="tabchar"/>
    <w:basedOn w:val="Fuentedeprrafopredeter"/>
    <w:rsid w:val="00C54A45"/>
  </w:style>
  <w:style w:type="paragraph" w:styleId="Textoindependiente2">
    <w:name w:val="Body Text 2"/>
    <w:basedOn w:val="Normal"/>
    <w:link w:val="Textoindependiente2Car"/>
    <w:uiPriority w:val="99"/>
    <w:unhideWhenUsed/>
    <w:rsid w:val="00C54A45"/>
    <w:pPr>
      <w:spacing w:after="120" w:line="480" w:lineRule="auto"/>
    </w:pPr>
    <w:rPr>
      <w:rFonts w:ascii="Times New Roman" w:eastAsia="Times New Roman" w:hAnsi="Times New Roman" w:cs="Times New Roman"/>
      <w:kern w:val="0"/>
      <w:sz w:val="20"/>
      <w:szCs w:val="20"/>
      <w:lang w:val="es-ES" w:eastAsia="es-ES"/>
      <w14:ligatures w14:val="none"/>
    </w:rPr>
  </w:style>
  <w:style w:type="character" w:customStyle="1" w:styleId="Textoindependiente2Car">
    <w:name w:val="Texto independiente 2 Car"/>
    <w:basedOn w:val="Fuentedeprrafopredeter"/>
    <w:link w:val="Textoindependiente2"/>
    <w:uiPriority w:val="99"/>
    <w:rsid w:val="00C54A45"/>
    <w:rPr>
      <w:rFonts w:ascii="Times New Roman" w:eastAsia="Times New Roman" w:hAnsi="Times New Roman" w:cs="Times New Roman"/>
      <w:kern w:val="0"/>
      <w:sz w:val="20"/>
      <w:szCs w:val="20"/>
      <w:lang w:val="es-ES" w:eastAsia="es-ES"/>
      <w14:ligatures w14:val="none"/>
    </w:rPr>
  </w:style>
  <w:style w:type="paragraph" w:styleId="NormalWeb">
    <w:name w:val="Normal (Web)"/>
    <w:basedOn w:val="Normal"/>
    <w:uiPriority w:val="99"/>
    <w:unhideWhenUsed/>
    <w:rsid w:val="00C54A4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eop">
    <w:name w:val="eop"/>
    <w:basedOn w:val="Fuentedeprrafopredeter"/>
    <w:rsid w:val="003F43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515121">
      <w:bodyDiv w:val="1"/>
      <w:marLeft w:val="0"/>
      <w:marRight w:val="0"/>
      <w:marTop w:val="0"/>
      <w:marBottom w:val="0"/>
      <w:divBdr>
        <w:top w:val="none" w:sz="0" w:space="0" w:color="auto"/>
        <w:left w:val="none" w:sz="0" w:space="0" w:color="auto"/>
        <w:bottom w:val="none" w:sz="0" w:space="0" w:color="auto"/>
        <w:right w:val="none" w:sz="0" w:space="0" w:color="auto"/>
      </w:divBdr>
    </w:div>
    <w:div w:id="429932774">
      <w:bodyDiv w:val="1"/>
      <w:marLeft w:val="0"/>
      <w:marRight w:val="0"/>
      <w:marTop w:val="0"/>
      <w:marBottom w:val="0"/>
      <w:divBdr>
        <w:top w:val="none" w:sz="0" w:space="0" w:color="auto"/>
        <w:left w:val="none" w:sz="0" w:space="0" w:color="auto"/>
        <w:bottom w:val="none" w:sz="0" w:space="0" w:color="auto"/>
        <w:right w:val="none" w:sz="0" w:space="0" w:color="auto"/>
      </w:divBdr>
    </w:div>
    <w:div w:id="1056246663">
      <w:bodyDiv w:val="1"/>
      <w:marLeft w:val="0"/>
      <w:marRight w:val="0"/>
      <w:marTop w:val="0"/>
      <w:marBottom w:val="0"/>
      <w:divBdr>
        <w:top w:val="none" w:sz="0" w:space="0" w:color="auto"/>
        <w:left w:val="none" w:sz="0" w:space="0" w:color="auto"/>
        <w:bottom w:val="none" w:sz="0" w:space="0" w:color="auto"/>
        <w:right w:val="none" w:sz="0" w:space="0" w:color="auto"/>
      </w:divBdr>
    </w:div>
    <w:div w:id="189839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8e0611e-28bd-434a-a9a5-164c0380694f">
      <Terms xmlns="http://schemas.microsoft.com/office/infopath/2007/PartnerControls"/>
    </lcf76f155ced4ddcb4097134ff3c332f>
    <Usuario xmlns="38e0611e-28bd-434a-a9a5-164c0380694f">
      <UserInfo>
        <DisplayName/>
        <AccountId xsi:nil="true"/>
        <AccountType/>
      </UserInfo>
    </Usuario>
    <TaxCatchAll xmlns="69feec56-ea30-42ea-ad61-80319dd35cd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245BCDDCA79D14696F288B99A3D6C85" ma:contentTypeVersion="16" ma:contentTypeDescription="Crear nuevo documento." ma:contentTypeScope="" ma:versionID="210358678b329a52ecc2228f41c64c8e">
  <xsd:schema xmlns:xsd="http://www.w3.org/2001/XMLSchema" xmlns:xs="http://www.w3.org/2001/XMLSchema" xmlns:p="http://schemas.microsoft.com/office/2006/metadata/properties" xmlns:ns2="38e0611e-28bd-434a-a9a5-164c0380694f" xmlns:ns3="69feec56-ea30-42ea-ad61-80319dd35cd5" targetNamespace="http://schemas.microsoft.com/office/2006/metadata/properties" ma:root="true" ma:fieldsID="16aa543055d78369b512c1a3d8f84735" ns2:_="" ns3:_="">
    <xsd:import namespace="38e0611e-28bd-434a-a9a5-164c0380694f"/>
    <xsd:import namespace="69feec56-ea30-42ea-ad61-80319dd35c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Usu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0611e-28bd-434a-a9a5-164c03806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Usuario" ma:index="22" nillable="true" ma:displayName="Usuario" ma:format="Dropdown" ma:list="UserInfo" ma:SharePointGroup="0" ma:internalName="Usuari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9feec56-ea30-42ea-ad61-80319dd35cd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9" nillable="true" ma:displayName="Taxonomy Catch All Column" ma:hidden="true" ma:list="{d613848e-59f2-4017-ab09-737e65c76cb2}" ma:internalName="TaxCatchAll" ma:showField="CatchAllData" ma:web="69feec56-ea30-42ea-ad61-80319dd35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1C5428-BE4E-436A-A680-4583A376A02C}">
  <ds:schemaRefs>
    <ds:schemaRef ds:uri="http://schemas.microsoft.com/office/2006/metadata/properties"/>
    <ds:schemaRef ds:uri="http://schemas.microsoft.com/office/infopath/2007/PartnerControls"/>
    <ds:schemaRef ds:uri="38e0611e-28bd-434a-a9a5-164c0380694f"/>
    <ds:schemaRef ds:uri="69feec56-ea30-42ea-ad61-80319dd35cd5"/>
  </ds:schemaRefs>
</ds:datastoreItem>
</file>

<file path=customXml/itemProps2.xml><?xml version="1.0" encoding="utf-8"?>
<ds:datastoreItem xmlns:ds="http://schemas.openxmlformats.org/officeDocument/2006/customXml" ds:itemID="{6D8AB24B-50BE-42DB-A4DD-F1F0A71587D8}">
  <ds:schemaRefs>
    <ds:schemaRef ds:uri="http://schemas.microsoft.com/sharepoint/v3/contenttype/forms"/>
  </ds:schemaRefs>
</ds:datastoreItem>
</file>

<file path=customXml/itemProps3.xml><?xml version="1.0" encoding="utf-8"?>
<ds:datastoreItem xmlns:ds="http://schemas.openxmlformats.org/officeDocument/2006/customXml" ds:itemID="{0E8E3D1E-E10C-4B44-8310-B2EE1437D4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0611e-28bd-434a-a9a5-164c0380694f"/>
    <ds:schemaRef ds:uri="69feec56-ea30-42ea-ad61-80319dd35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803</Words>
  <Characters>4420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Juzgado 64 Administrativo Sección Tercera - Bogotá - Bogotá D.C.</dc:creator>
  <cp:keywords/>
  <dc:description/>
  <cp:lastModifiedBy>John Ceballos</cp:lastModifiedBy>
  <cp:revision>19</cp:revision>
  <dcterms:created xsi:type="dcterms:W3CDTF">2024-05-24T16:24:00Z</dcterms:created>
  <dcterms:modified xsi:type="dcterms:W3CDTF">2024-05-27T19:52:00Z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0x0101003245BCDDCA79D14696F288B99A3D6C85</vt:lpwstr>
  </property>
  <property fmtid="{D5CDD505-2E9C-101B-9397-08002B2CF9AE}" pid="3" name="MediaServiceImageTags">
    <vt:lpwstr/>
  </property>
</Properties>
</file>