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FBE79" w14:textId="6F248789" w:rsidR="008740B9" w:rsidRPr="00473014" w:rsidRDefault="008740B9" w:rsidP="00642FE2">
      <w:pPr>
        <w:tabs>
          <w:tab w:val="center" w:pos="3985"/>
        </w:tabs>
        <w:suppressAutoHyphens/>
        <w:spacing w:line="276" w:lineRule="auto"/>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3014">
        <w:rPr>
          <w:rFonts w:ascii="Century Gothic" w:hAnsi="Century Gothic" w:cs="Arial"/>
          <w:b/>
          <w:noProof/>
          <w:sz w:val="22"/>
          <w:szCs w:val="22"/>
          <w:lang w:val="en-US"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0DEC4431" wp14:editId="3C00BCA8">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721E48">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3014">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6BEAF402" w14:textId="77777777" w:rsidR="008740B9" w:rsidRPr="007960A1" w:rsidRDefault="008740B9" w:rsidP="007960A1">
      <w:pPr>
        <w:tabs>
          <w:tab w:val="left" w:pos="-720"/>
        </w:tabs>
        <w:suppressAutoHyphens/>
        <w:spacing w:line="276" w:lineRule="auto"/>
        <w:rPr>
          <w:rFonts w:ascii="Century Gothic" w:hAnsi="Century Gothic"/>
          <w:spacing w:val="-3"/>
          <w:sz w:val="23"/>
          <w:szCs w:val="23"/>
        </w:rPr>
      </w:pPr>
    </w:p>
    <w:p w14:paraId="2F9FD894" w14:textId="1E5A41F6" w:rsidR="008740B9" w:rsidRPr="007960A1" w:rsidRDefault="008740B9" w:rsidP="007960A1">
      <w:pPr>
        <w:suppressAutoHyphens/>
        <w:spacing w:line="276" w:lineRule="auto"/>
        <w:rPr>
          <w:rFonts w:ascii="Century Gothic" w:hAnsi="Century Gothic"/>
          <w:spacing w:val="-3"/>
          <w:sz w:val="23"/>
          <w:szCs w:val="23"/>
        </w:rPr>
      </w:pPr>
      <w:r w:rsidRPr="007960A1">
        <w:rPr>
          <w:rFonts w:ascii="Century Gothic" w:hAnsi="Century Gothic"/>
          <w:spacing w:val="-3"/>
          <w:sz w:val="23"/>
          <w:szCs w:val="23"/>
        </w:rPr>
        <w:t xml:space="preserve">Bogotá D.C, </w:t>
      </w:r>
      <w:r w:rsidR="009A57E6" w:rsidRPr="007960A1">
        <w:rPr>
          <w:rFonts w:ascii="Century Gothic" w:hAnsi="Century Gothic"/>
          <w:spacing w:val="-3"/>
          <w:sz w:val="23"/>
          <w:szCs w:val="23"/>
        </w:rPr>
        <w:t>Veintinueve</w:t>
      </w:r>
      <w:r w:rsidRPr="007960A1">
        <w:rPr>
          <w:rFonts w:ascii="Century Gothic" w:hAnsi="Century Gothic"/>
          <w:spacing w:val="-3"/>
          <w:sz w:val="23"/>
          <w:szCs w:val="23"/>
        </w:rPr>
        <w:t xml:space="preserve"> (</w:t>
      </w:r>
      <w:r w:rsidR="009A57E6" w:rsidRPr="007960A1">
        <w:rPr>
          <w:rFonts w:ascii="Century Gothic" w:hAnsi="Century Gothic"/>
          <w:spacing w:val="-3"/>
          <w:sz w:val="23"/>
          <w:szCs w:val="23"/>
        </w:rPr>
        <w:t>29</w:t>
      </w:r>
      <w:r w:rsidRPr="007960A1">
        <w:rPr>
          <w:rFonts w:ascii="Century Gothic" w:hAnsi="Century Gothic"/>
          <w:spacing w:val="-3"/>
          <w:sz w:val="23"/>
          <w:szCs w:val="23"/>
        </w:rPr>
        <w:t>) de Ma</w:t>
      </w:r>
      <w:r w:rsidR="009A57E6" w:rsidRPr="007960A1">
        <w:rPr>
          <w:rFonts w:ascii="Century Gothic" w:hAnsi="Century Gothic"/>
          <w:spacing w:val="-3"/>
          <w:sz w:val="23"/>
          <w:szCs w:val="23"/>
        </w:rPr>
        <w:t>yo</w:t>
      </w:r>
      <w:r w:rsidRPr="007960A1">
        <w:rPr>
          <w:rFonts w:ascii="Century Gothic" w:hAnsi="Century Gothic"/>
          <w:spacing w:val="-3"/>
          <w:sz w:val="23"/>
          <w:szCs w:val="23"/>
        </w:rPr>
        <w:t xml:space="preserve"> de dos mil veinticuatro (2024)</w:t>
      </w:r>
    </w:p>
    <w:p w14:paraId="22447651" w14:textId="77777777" w:rsidR="008740B9" w:rsidRPr="007960A1" w:rsidRDefault="008740B9" w:rsidP="007960A1">
      <w:pPr>
        <w:tabs>
          <w:tab w:val="left" w:pos="-720"/>
        </w:tabs>
        <w:suppressAutoHyphens/>
        <w:spacing w:line="276" w:lineRule="auto"/>
        <w:rPr>
          <w:rFonts w:ascii="Century Gothic" w:hAnsi="Century Gothic"/>
          <w:spacing w:val="-3"/>
          <w:sz w:val="23"/>
          <w:szCs w:val="23"/>
        </w:rPr>
      </w:pP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1"/>
        <w:gridCol w:w="6657"/>
      </w:tblGrid>
      <w:tr w:rsidR="008740B9" w:rsidRPr="007960A1" w14:paraId="5CFEF87C" w14:textId="77777777" w:rsidTr="00F7011D">
        <w:trPr>
          <w:jc w:val="center"/>
        </w:trPr>
        <w:tc>
          <w:tcPr>
            <w:tcW w:w="2131" w:type="dxa"/>
            <w:tcBorders>
              <w:top w:val="single" w:sz="4" w:space="0" w:color="auto"/>
              <w:left w:val="single" w:sz="4" w:space="0" w:color="auto"/>
              <w:bottom w:val="single" w:sz="4" w:space="0" w:color="auto"/>
              <w:right w:val="single" w:sz="4" w:space="0" w:color="auto"/>
            </w:tcBorders>
          </w:tcPr>
          <w:p w14:paraId="377BBF05" w14:textId="77777777"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 xml:space="preserve">Juez </w:t>
            </w:r>
          </w:p>
        </w:tc>
        <w:tc>
          <w:tcPr>
            <w:tcW w:w="6657" w:type="dxa"/>
            <w:tcBorders>
              <w:top w:val="single" w:sz="4" w:space="0" w:color="auto"/>
              <w:left w:val="single" w:sz="4" w:space="0" w:color="auto"/>
              <w:bottom w:val="single" w:sz="4" w:space="0" w:color="auto"/>
              <w:right w:val="single" w:sz="4" w:space="0" w:color="auto"/>
            </w:tcBorders>
          </w:tcPr>
          <w:p w14:paraId="215BE222" w14:textId="77777777" w:rsidR="008740B9" w:rsidRPr="007960A1" w:rsidRDefault="008740B9" w:rsidP="007960A1">
            <w:pPr>
              <w:tabs>
                <w:tab w:val="left" w:pos="-720"/>
              </w:tabs>
              <w:suppressAutoHyphens/>
              <w:spacing w:line="276" w:lineRule="auto"/>
              <w:jc w:val="both"/>
              <w:rPr>
                <w:rFonts w:ascii="Century Gothic" w:hAnsi="Century Gothic"/>
                <w:bCs/>
                <w:spacing w:val="-3"/>
                <w:sz w:val="23"/>
                <w:szCs w:val="23"/>
              </w:rPr>
            </w:pPr>
            <w:r w:rsidRPr="007960A1">
              <w:rPr>
                <w:rFonts w:ascii="Century Gothic" w:hAnsi="Century Gothic"/>
                <w:bCs/>
                <w:spacing w:val="-3"/>
                <w:sz w:val="23"/>
                <w:szCs w:val="23"/>
              </w:rPr>
              <w:t>John Alexander Ceballos Gaviria</w:t>
            </w:r>
          </w:p>
        </w:tc>
      </w:tr>
      <w:tr w:rsidR="008740B9" w:rsidRPr="007960A1" w14:paraId="5DAB5B3A" w14:textId="77777777" w:rsidTr="00F7011D">
        <w:trPr>
          <w:trHeight w:val="226"/>
          <w:jc w:val="center"/>
        </w:trPr>
        <w:tc>
          <w:tcPr>
            <w:tcW w:w="2131" w:type="dxa"/>
            <w:tcBorders>
              <w:top w:val="single" w:sz="4" w:space="0" w:color="auto"/>
              <w:left w:val="single" w:sz="4" w:space="0" w:color="auto"/>
              <w:bottom w:val="single" w:sz="4" w:space="0" w:color="auto"/>
              <w:right w:val="single" w:sz="4" w:space="0" w:color="auto"/>
            </w:tcBorders>
          </w:tcPr>
          <w:p w14:paraId="3C8F877C" w14:textId="77777777"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Medio de Control</w:t>
            </w:r>
          </w:p>
        </w:tc>
        <w:tc>
          <w:tcPr>
            <w:tcW w:w="6657" w:type="dxa"/>
            <w:tcBorders>
              <w:top w:val="single" w:sz="4" w:space="0" w:color="auto"/>
              <w:left w:val="single" w:sz="4" w:space="0" w:color="auto"/>
              <w:bottom w:val="single" w:sz="4" w:space="0" w:color="auto"/>
              <w:right w:val="single" w:sz="4" w:space="0" w:color="auto"/>
            </w:tcBorders>
          </w:tcPr>
          <w:p w14:paraId="694D831A" w14:textId="77777777" w:rsidR="008740B9" w:rsidRPr="007960A1" w:rsidRDefault="008740B9" w:rsidP="007960A1">
            <w:pPr>
              <w:tabs>
                <w:tab w:val="left" w:pos="-720"/>
              </w:tabs>
              <w:suppressAutoHyphens/>
              <w:spacing w:line="276" w:lineRule="auto"/>
              <w:jc w:val="both"/>
              <w:rPr>
                <w:rFonts w:ascii="Century Gothic" w:hAnsi="Century Gothic"/>
                <w:bCs/>
                <w:spacing w:val="-3"/>
                <w:sz w:val="23"/>
                <w:szCs w:val="23"/>
              </w:rPr>
            </w:pPr>
            <w:r w:rsidRPr="007960A1">
              <w:rPr>
                <w:rFonts w:ascii="Century Gothic" w:hAnsi="Century Gothic"/>
                <w:bCs/>
                <w:spacing w:val="-3"/>
                <w:sz w:val="23"/>
                <w:szCs w:val="23"/>
              </w:rPr>
              <w:t>Reparación Directa</w:t>
            </w:r>
          </w:p>
        </w:tc>
      </w:tr>
      <w:tr w:rsidR="008740B9" w:rsidRPr="007960A1" w14:paraId="69C6A068" w14:textId="77777777" w:rsidTr="00F7011D">
        <w:trPr>
          <w:jc w:val="center"/>
        </w:trPr>
        <w:tc>
          <w:tcPr>
            <w:tcW w:w="2131" w:type="dxa"/>
            <w:tcBorders>
              <w:top w:val="single" w:sz="4" w:space="0" w:color="auto"/>
              <w:left w:val="single" w:sz="4" w:space="0" w:color="auto"/>
              <w:bottom w:val="single" w:sz="4" w:space="0" w:color="auto"/>
              <w:right w:val="single" w:sz="4" w:space="0" w:color="auto"/>
            </w:tcBorders>
          </w:tcPr>
          <w:p w14:paraId="11D7B7A9" w14:textId="77777777"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Ref. Expediente</w:t>
            </w:r>
          </w:p>
        </w:tc>
        <w:tc>
          <w:tcPr>
            <w:tcW w:w="6657" w:type="dxa"/>
            <w:tcBorders>
              <w:top w:val="single" w:sz="4" w:space="0" w:color="auto"/>
              <w:left w:val="single" w:sz="4" w:space="0" w:color="auto"/>
              <w:bottom w:val="single" w:sz="4" w:space="0" w:color="auto"/>
              <w:right w:val="single" w:sz="4" w:space="0" w:color="auto"/>
            </w:tcBorders>
          </w:tcPr>
          <w:p w14:paraId="1BAD7DFA" w14:textId="6499BDA3"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110013343064-202</w:t>
            </w:r>
            <w:r w:rsidR="00E43AF8" w:rsidRPr="007960A1">
              <w:rPr>
                <w:rFonts w:ascii="Century Gothic" w:hAnsi="Century Gothic"/>
                <w:b/>
                <w:spacing w:val="-3"/>
                <w:sz w:val="23"/>
                <w:szCs w:val="23"/>
              </w:rPr>
              <w:t>2</w:t>
            </w:r>
            <w:r w:rsidRPr="007960A1">
              <w:rPr>
                <w:rFonts w:ascii="Century Gothic" w:hAnsi="Century Gothic"/>
                <w:b/>
                <w:spacing w:val="-3"/>
                <w:sz w:val="23"/>
                <w:szCs w:val="23"/>
              </w:rPr>
              <w:t>-002</w:t>
            </w:r>
            <w:r w:rsidR="00E43AF8" w:rsidRPr="007960A1">
              <w:rPr>
                <w:rFonts w:ascii="Century Gothic" w:hAnsi="Century Gothic"/>
                <w:b/>
                <w:spacing w:val="-3"/>
                <w:sz w:val="23"/>
                <w:szCs w:val="23"/>
              </w:rPr>
              <w:t>42</w:t>
            </w:r>
            <w:r w:rsidRPr="007960A1">
              <w:rPr>
                <w:rFonts w:ascii="Century Gothic" w:hAnsi="Century Gothic"/>
                <w:b/>
                <w:spacing w:val="-3"/>
                <w:sz w:val="23"/>
                <w:szCs w:val="23"/>
              </w:rPr>
              <w:t>-00</w:t>
            </w:r>
          </w:p>
        </w:tc>
      </w:tr>
      <w:tr w:rsidR="008740B9" w:rsidRPr="007960A1" w14:paraId="42F04F92" w14:textId="77777777" w:rsidTr="00790554">
        <w:trPr>
          <w:trHeight w:val="362"/>
          <w:jc w:val="center"/>
        </w:trPr>
        <w:tc>
          <w:tcPr>
            <w:tcW w:w="2131" w:type="dxa"/>
            <w:tcBorders>
              <w:top w:val="single" w:sz="4" w:space="0" w:color="auto"/>
              <w:left w:val="single" w:sz="4" w:space="0" w:color="auto"/>
              <w:bottom w:val="single" w:sz="4" w:space="0" w:color="auto"/>
              <w:right w:val="single" w:sz="4" w:space="0" w:color="auto"/>
            </w:tcBorders>
          </w:tcPr>
          <w:p w14:paraId="0404A5A7" w14:textId="77777777"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Demandante</w:t>
            </w:r>
          </w:p>
        </w:tc>
        <w:tc>
          <w:tcPr>
            <w:tcW w:w="6657" w:type="dxa"/>
            <w:tcBorders>
              <w:top w:val="single" w:sz="4" w:space="0" w:color="auto"/>
              <w:left w:val="single" w:sz="4" w:space="0" w:color="auto"/>
              <w:bottom w:val="single" w:sz="4" w:space="0" w:color="auto"/>
              <w:right w:val="single" w:sz="4" w:space="0" w:color="auto"/>
            </w:tcBorders>
          </w:tcPr>
          <w:p w14:paraId="4153B269" w14:textId="44B0A743" w:rsidR="008740B9" w:rsidRPr="007960A1" w:rsidRDefault="00024121" w:rsidP="007960A1">
            <w:pPr>
              <w:tabs>
                <w:tab w:val="left" w:pos="-720"/>
              </w:tabs>
              <w:suppressAutoHyphens/>
              <w:spacing w:line="276" w:lineRule="auto"/>
              <w:jc w:val="both"/>
              <w:rPr>
                <w:rFonts w:ascii="Century Gothic" w:hAnsi="Century Gothic"/>
                <w:bCs/>
                <w:spacing w:val="-3"/>
                <w:sz w:val="23"/>
                <w:szCs w:val="23"/>
              </w:rPr>
            </w:pPr>
            <w:proofErr w:type="spellStart"/>
            <w:r w:rsidRPr="007960A1">
              <w:rPr>
                <w:rFonts w:ascii="Century Gothic" w:hAnsi="Century Gothic"/>
                <w:bCs/>
                <w:spacing w:val="-3"/>
                <w:sz w:val="23"/>
                <w:szCs w:val="23"/>
              </w:rPr>
              <w:t>Redmaster</w:t>
            </w:r>
            <w:proofErr w:type="spellEnd"/>
            <w:r w:rsidRPr="007960A1">
              <w:rPr>
                <w:rFonts w:ascii="Century Gothic" w:hAnsi="Century Gothic"/>
                <w:bCs/>
                <w:spacing w:val="-3"/>
                <w:sz w:val="23"/>
                <w:szCs w:val="23"/>
              </w:rPr>
              <w:t xml:space="preserve"> Representaciones Limitada</w:t>
            </w:r>
          </w:p>
        </w:tc>
      </w:tr>
      <w:tr w:rsidR="008740B9" w:rsidRPr="007960A1" w14:paraId="119085B3" w14:textId="77777777" w:rsidTr="00F7011D">
        <w:trPr>
          <w:trHeight w:val="215"/>
          <w:jc w:val="center"/>
        </w:trPr>
        <w:tc>
          <w:tcPr>
            <w:tcW w:w="2131" w:type="dxa"/>
            <w:tcBorders>
              <w:top w:val="single" w:sz="4" w:space="0" w:color="auto"/>
              <w:left w:val="single" w:sz="4" w:space="0" w:color="auto"/>
              <w:bottom w:val="single" w:sz="4" w:space="0" w:color="auto"/>
              <w:right w:val="single" w:sz="4" w:space="0" w:color="auto"/>
            </w:tcBorders>
          </w:tcPr>
          <w:p w14:paraId="18295D52" w14:textId="77777777" w:rsidR="008740B9" w:rsidRPr="007960A1" w:rsidRDefault="008740B9" w:rsidP="007960A1">
            <w:pPr>
              <w:tabs>
                <w:tab w:val="left" w:pos="-720"/>
              </w:tabs>
              <w:suppressAutoHyphens/>
              <w:spacing w:line="276" w:lineRule="auto"/>
              <w:jc w:val="both"/>
              <w:rPr>
                <w:rFonts w:ascii="Century Gothic" w:hAnsi="Century Gothic"/>
                <w:b/>
                <w:spacing w:val="-3"/>
                <w:sz w:val="23"/>
                <w:szCs w:val="23"/>
              </w:rPr>
            </w:pPr>
            <w:r w:rsidRPr="007960A1">
              <w:rPr>
                <w:rFonts w:ascii="Century Gothic" w:hAnsi="Century Gothic"/>
                <w:b/>
                <w:spacing w:val="-3"/>
                <w:sz w:val="23"/>
                <w:szCs w:val="23"/>
              </w:rPr>
              <w:t>Demandado</w:t>
            </w:r>
          </w:p>
        </w:tc>
        <w:tc>
          <w:tcPr>
            <w:tcW w:w="6657" w:type="dxa"/>
            <w:tcBorders>
              <w:top w:val="single" w:sz="4" w:space="0" w:color="auto"/>
              <w:left w:val="single" w:sz="4" w:space="0" w:color="auto"/>
              <w:bottom w:val="single" w:sz="4" w:space="0" w:color="auto"/>
              <w:right w:val="single" w:sz="4" w:space="0" w:color="auto"/>
            </w:tcBorders>
          </w:tcPr>
          <w:p w14:paraId="05EDDEFF" w14:textId="6421EF51" w:rsidR="008740B9" w:rsidRPr="007960A1" w:rsidRDefault="00861EC1" w:rsidP="007960A1">
            <w:pPr>
              <w:tabs>
                <w:tab w:val="left" w:pos="-720"/>
              </w:tabs>
              <w:suppressAutoHyphens/>
              <w:spacing w:line="276" w:lineRule="auto"/>
              <w:jc w:val="both"/>
              <w:rPr>
                <w:rFonts w:ascii="Century Gothic" w:hAnsi="Century Gothic"/>
                <w:bCs/>
                <w:spacing w:val="-3"/>
                <w:sz w:val="23"/>
                <w:szCs w:val="23"/>
              </w:rPr>
            </w:pPr>
            <w:r w:rsidRPr="007960A1">
              <w:rPr>
                <w:rFonts w:ascii="Century Gothic" w:hAnsi="Century Gothic"/>
                <w:bCs/>
                <w:spacing w:val="-3"/>
                <w:sz w:val="23"/>
                <w:szCs w:val="23"/>
              </w:rPr>
              <w:t xml:space="preserve">Instituto Distrital de Recreación y Deporte – IDRD. </w:t>
            </w:r>
          </w:p>
        </w:tc>
      </w:tr>
    </w:tbl>
    <w:p w14:paraId="7065EC2E" w14:textId="77777777" w:rsidR="008740B9" w:rsidRPr="007960A1" w:rsidRDefault="008740B9" w:rsidP="007960A1">
      <w:pPr>
        <w:spacing w:line="276" w:lineRule="auto"/>
        <w:rPr>
          <w:rFonts w:ascii="Century Gothic" w:hAnsi="Century Gothic" w:cs="Arial"/>
          <w:sz w:val="23"/>
          <w:szCs w:val="23"/>
        </w:rPr>
      </w:pPr>
    </w:p>
    <w:p w14:paraId="11229DD8" w14:textId="77777777" w:rsidR="008740B9" w:rsidRPr="007960A1" w:rsidRDefault="008740B9" w:rsidP="007960A1">
      <w:pPr>
        <w:spacing w:line="276" w:lineRule="auto"/>
        <w:jc w:val="center"/>
        <w:rPr>
          <w:rFonts w:ascii="Century Gothic" w:hAnsi="Century Gothic" w:cs="Arial"/>
          <w:b/>
          <w:sz w:val="23"/>
          <w:szCs w:val="23"/>
        </w:rPr>
      </w:pPr>
      <w:r w:rsidRPr="007960A1">
        <w:rPr>
          <w:rFonts w:ascii="Century Gothic" w:hAnsi="Century Gothic" w:cs="Arial"/>
          <w:b/>
          <w:sz w:val="23"/>
          <w:szCs w:val="23"/>
        </w:rPr>
        <w:t>DECIDE EXCEPCIONES</w:t>
      </w:r>
    </w:p>
    <w:p w14:paraId="780E2821" w14:textId="77777777" w:rsidR="008740B9" w:rsidRPr="007960A1" w:rsidRDefault="008740B9" w:rsidP="007960A1">
      <w:pPr>
        <w:spacing w:line="276" w:lineRule="auto"/>
        <w:jc w:val="both"/>
        <w:rPr>
          <w:rFonts w:ascii="Century Gothic" w:hAnsi="Century Gothic" w:cs="Arial"/>
          <w:sz w:val="23"/>
          <w:szCs w:val="23"/>
          <w:lang w:val="es-CO"/>
        </w:rPr>
      </w:pPr>
    </w:p>
    <w:p w14:paraId="522670D3" w14:textId="77777777" w:rsidR="008740B9" w:rsidRPr="007960A1" w:rsidRDefault="008740B9" w:rsidP="007960A1">
      <w:pPr>
        <w:pStyle w:val="Prrafodelista"/>
        <w:numPr>
          <w:ilvl w:val="0"/>
          <w:numId w:val="2"/>
        </w:numPr>
        <w:spacing w:line="276" w:lineRule="auto"/>
        <w:jc w:val="both"/>
        <w:rPr>
          <w:rFonts w:ascii="Century Gothic" w:hAnsi="Century Gothic" w:cs="Arial"/>
          <w:b/>
          <w:bCs/>
          <w:sz w:val="23"/>
          <w:szCs w:val="23"/>
          <w:lang w:val="es-CO"/>
        </w:rPr>
      </w:pPr>
      <w:r w:rsidRPr="007960A1">
        <w:rPr>
          <w:rFonts w:ascii="Century Gothic" w:hAnsi="Century Gothic" w:cs="Arial"/>
          <w:b/>
          <w:bCs/>
          <w:sz w:val="23"/>
          <w:szCs w:val="23"/>
          <w:lang w:val="es-CO"/>
        </w:rPr>
        <w:t>Antecedentes</w:t>
      </w:r>
    </w:p>
    <w:p w14:paraId="27C32BCA" w14:textId="77777777" w:rsidR="008740B9" w:rsidRPr="007960A1" w:rsidRDefault="008740B9" w:rsidP="007960A1">
      <w:pPr>
        <w:spacing w:line="276" w:lineRule="auto"/>
        <w:jc w:val="both"/>
        <w:rPr>
          <w:rFonts w:ascii="Century Gothic" w:hAnsi="Century Gothic" w:cs="Arial"/>
          <w:b/>
          <w:bCs/>
          <w:sz w:val="23"/>
          <w:szCs w:val="23"/>
          <w:lang w:val="es-CO"/>
        </w:rPr>
      </w:pPr>
    </w:p>
    <w:p w14:paraId="0573B5C2" w14:textId="62DF451A" w:rsidR="008740B9" w:rsidRPr="007960A1" w:rsidRDefault="008740B9" w:rsidP="007960A1">
      <w:pPr>
        <w:spacing w:line="276" w:lineRule="auto"/>
        <w:jc w:val="both"/>
        <w:rPr>
          <w:rFonts w:ascii="Century Gothic" w:hAnsi="Century Gothic" w:cs="Arial"/>
          <w:sz w:val="23"/>
          <w:szCs w:val="23"/>
          <w:lang w:val="es-CO"/>
        </w:rPr>
      </w:pPr>
      <w:r w:rsidRPr="007960A1">
        <w:rPr>
          <w:rFonts w:ascii="Century Gothic" w:hAnsi="Century Gothic" w:cs="Arial"/>
          <w:sz w:val="23"/>
          <w:szCs w:val="23"/>
          <w:lang w:val="es-CO"/>
        </w:rPr>
        <w:t>La</w:t>
      </w:r>
      <w:r w:rsidR="00790554" w:rsidRPr="007960A1">
        <w:rPr>
          <w:rFonts w:ascii="Century Gothic" w:hAnsi="Century Gothic" w:cs="Arial"/>
          <w:sz w:val="23"/>
          <w:szCs w:val="23"/>
          <w:lang w:val="es-CO"/>
        </w:rPr>
        <w:t xml:space="preserve"> sociedad REDMASTER REPRESENTACIONES LIMITADA</w:t>
      </w:r>
      <w:r w:rsidRPr="007960A1">
        <w:rPr>
          <w:rFonts w:ascii="Century Gothic" w:hAnsi="Century Gothic" w:cs="Arial"/>
          <w:sz w:val="23"/>
          <w:szCs w:val="23"/>
          <w:lang w:val="es-CO"/>
        </w:rPr>
        <w:t xml:space="preserve">, pretenden </w:t>
      </w:r>
      <w:r w:rsidR="00790554" w:rsidRPr="007960A1">
        <w:rPr>
          <w:rFonts w:ascii="Century Gothic" w:hAnsi="Century Gothic" w:cs="Arial"/>
          <w:sz w:val="23"/>
          <w:szCs w:val="23"/>
          <w:lang w:val="es-CO"/>
        </w:rPr>
        <w:t xml:space="preserve">que el </w:t>
      </w:r>
      <w:r w:rsidR="00790554" w:rsidRPr="007960A1">
        <w:rPr>
          <w:rFonts w:ascii="Century Gothic" w:hAnsi="Century Gothic"/>
          <w:bCs/>
          <w:spacing w:val="-3"/>
          <w:sz w:val="23"/>
          <w:szCs w:val="23"/>
        </w:rPr>
        <w:t>Instituto Distrital de Recreación y Deporte – IDRD, reconozca y pague la suma de $105.305.784 más intereses en virtud del servicio prestado de mantenimiento preventivo y correctivo de los estanques, canales y fuentes; y la operación, reparación y mantenimiento de los equipos electromecánicos de los parques distritales i</w:t>
      </w:r>
      <w:r w:rsidR="00790554" w:rsidRPr="007960A1">
        <w:rPr>
          <w:rFonts w:ascii="Century Gothic" w:hAnsi="Century Gothic"/>
          <w:bCs/>
          <w:i/>
          <w:iCs/>
          <w:spacing w:val="-3"/>
          <w:sz w:val="23"/>
          <w:szCs w:val="23"/>
        </w:rPr>
        <w:t>) Nacional ii) ciudad montes iii) Renacimiento y iv)</w:t>
      </w:r>
      <w:r w:rsidR="00790554" w:rsidRPr="007960A1">
        <w:rPr>
          <w:rFonts w:ascii="Century Gothic" w:hAnsi="Century Gothic"/>
          <w:bCs/>
          <w:spacing w:val="-3"/>
          <w:sz w:val="23"/>
          <w:szCs w:val="23"/>
        </w:rPr>
        <w:t xml:space="preserve"> Tunal de la ciudad de Bogotá</w:t>
      </w:r>
      <w:r w:rsidR="0057642B" w:rsidRPr="007960A1">
        <w:rPr>
          <w:rFonts w:ascii="Century Gothic" w:hAnsi="Century Gothic"/>
          <w:bCs/>
          <w:spacing w:val="-3"/>
          <w:sz w:val="23"/>
          <w:szCs w:val="23"/>
        </w:rPr>
        <w:t>, realizado entre los meses de abril a julio de 2020.</w:t>
      </w:r>
    </w:p>
    <w:p w14:paraId="431090FE" w14:textId="77777777" w:rsidR="008740B9" w:rsidRPr="007960A1" w:rsidRDefault="008740B9" w:rsidP="007960A1">
      <w:pPr>
        <w:spacing w:line="276" w:lineRule="auto"/>
        <w:jc w:val="both"/>
        <w:rPr>
          <w:rFonts w:ascii="Century Gothic" w:hAnsi="Century Gothic" w:cs="Arial"/>
          <w:sz w:val="23"/>
          <w:szCs w:val="23"/>
          <w:lang w:val="es-CO"/>
        </w:rPr>
      </w:pPr>
    </w:p>
    <w:p w14:paraId="6D973EFB" w14:textId="77777777" w:rsidR="008740B9" w:rsidRPr="007960A1" w:rsidRDefault="008740B9" w:rsidP="007960A1">
      <w:pPr>
        <w:spacing w:line="276" w:lineRule="auto"/>
        <w:jc w:val="both"/>
        <w:rPr>
          <w:rFonts w:ascii="Century Gothic" w:hAnsi="Century Gothic" w:cs="Arial"/>
          <w:sz w:val="23"/>
          <w:szCs w:val="23"/>
          <w:lang w:val="es-CO"/>
        </w:rPr>
      </w:pPr>
      <w:r w:rsidRPr="007960A1">
        <w:rPr>
          <w:rFonts w:ascii="Century Gothic" w:hAnsi="Century Gothic" w:cs="Arial"/>
          <w:sz w:val="23"/>
          <w:szCs w:val="23"/>
          <w:lang w:val="es-CO"/>
        </w:rPr>
        <w:t>Una vez admitida la demanda se surtió el siguiente trámite procesal.</w:t>
      </w:r>
    </w:p>
    <w:p w14:paraId="5E5813CD" w14:textId="77777777" w:rsidR="008740B9" w:rsidRPr="007960A1" w:rsidRDefault="008740B9" w:rsidP="007960A1">
      <w:pPr>
        <w:spacing w:line="276" w:lineRule="auto"/>
        <w:jc w:val="both"/>
        <w:rPr>
          <w:rFonts w:ascii="Century Gothic" w:hAnsi="Century Gothic" w:cs="Arial"/>
          <w:sz w:val="23"/>
          <w:szCs w:val="23"/>
          <w:lang w:val="es-CO"/>
        </w:rPr>
      </w:pPr>
    </w:p>
    <w:p w14:paraId="73FC799C" w14:textId="1240A98E" w:rsidR="008740B9" w:rsidRPr="007960A1" w:rsidRDefault="008740B9" w:rsidP="007960A1">
      <w:pPr>
        <w:pStyle w:val="Prrafodelista"/>
        <w:numPr>
          <w:ilvl w:val="0"/>
          <w:numId w:val="1"/>
        </w:numPr>
        <w:spacing w:line="276" w:lineRule="auto"/>
        <w:jc w:val="both"/>
        <w:rPr>
          <w:rFonts w:ascii="Century Gothic" w:hAnsi="Century Gothic" w:cs="Arial"/>
          <w:sz w:val="23"/>
          <w:szCs w:val="23"/>
        </w:rPr>
      </w:pPr>
      <w:bookmarkStart w:id="0" w:name="_Int_fyvmlMIa"/>
      <w:r w:rsidRPr="007960A1">
        <w:rPr>
          <w:rFonts w:ascii="Century Gothic" w:hAnsi="Century Gothic"/>
          <w:spacing w:val="-3"/>
          <w:sz w:val="23"/>
          <w:szCs w:val="23"/>
        </w:rPr>
        <w:t>La demandada fue debidamente notificada el 0</w:t>
      </w:r>
      <w:r w:rsidR="007A559A" w:rsidRPr="007960A1">
        <w:rPr>
          <w:rFonts w:ascii="Century Gothic" w:hAnsi="Century Gothic"/>
          <w:spacing w:val="-3"/>
          <w:sz w:val="23"/>
          <w:szCs w:val="23"/>
        </w:rPr>
        <w:t>7</w:t>
      </w:r>
      <w:r w:rsidRPr="007960A1">
        <w:rPr>
          <w:rFonts w:ascii="Century Gothic" w:hAnsi="Century Gothic"/>
          <w:spacing w:val="-3"/>
          <w:sz w:val="23"/>
          <w:szCs w:val="23"/>
        </w:rPr>
        <w:t xml:space="preserve"> de febrero de 2023.</w:t>
      </w:r>
      <w:bookmarkEnd w:id="0"/>
    </w:p>
    <w:p w14:paraId="37D24338" w14:textId="77777777" w:rsidR="008740B9" w:rsidRPr="007960A1" w:rsidRDefault="008740B9" w:rsidP="007960A1">
      <w:pPr>
        <w:pStyle w:val="Prrafodelista"/>
        <w:spacing w:line="276" w:lineRule="auto"/>
        <w:jc w:val="both"/>
        <w:rPr>
          <w:rFonts w:ascii="Century Gothic" w:hAnsi="Century Gothic" w:cs="Arial"/>
          <w:sz w:val="23"/>
          <w:szCs w:val="23"/>
        </w:rPr>
      </w:pPr>
    </w:p>
    <w:p w14:paraId="18698467" w14:textId="3FEE0269" w:rsidR="008740B9" w:rsidRPr="007960A1" w:rsidRDefault="008740B9" w:rsidP="007960A1">
      <w:pPr>
        <w:pStyle w:val="Prrafodelista"/>
        <w:numPr>
          <w:ilvl w:val="0"/>
          <w:numId w:val="1"/>
        </w:numPr>
        <w:spacing w:line="276" w:lineRule="auto"/>
        <w:jc w:val="both"/>
        <w:rPr>
          <w:rFonts w:ascii="Century Gothic" w:hAnsi="Century Gothic" w:cs="Arial"/>
          <w:sz w:val="23"/>
          <w:szCs w:val="23"/>
        </w:rPr>
      </w:pPr>
      <w:r w:rsidRPr="007960A1">
        <w:rPr>
          <w:rFonts w:ascii="Century Gothic" w:hAnsi="Century Gothic" w:cs="Arial"/>
          <w:sz w:val="23"/>
          <w:szCs w:val="23"/>
        </w:rPr>
        <w:t xml:space="preserve">El término del traslado para la contestación de la demanda transcurrió entre el </w:t>
      </w:r>
      <w:r w:rsidR="007A559A" w:rsidRPr="007960A1">
        <w:rPr>
          <w:rFonts w:ascii="Century Gothic" w:hAnsi="Century Gothic" w:cs="Arial"/>
          <w:sz w:val="23"/>
          <w:szCs w:val="23"/>
        </w:rPr>
        <w:t>10</w:t>
      </w:r>
      <w:r w:rsidRPr="007960A1">
        <w:rPr>
          <w:rFonts w:ascii="Century Gothic" w:hAnsi="Century Gothic" w:cs="Arial"/>
          <w:sz w:val="23"/>
          <w:szCs w:val="23"/>
        </w:rPr>
        <w:t xml:space="preserve"> de febrero de 2023 y el 2</w:t>
      </w:r>
      <w:r w:rsidR="007A559A" w:rsidRPr="007960A1">
        <w:rPr>
          <w:rFonts w:ascii="Century Gothic" w:hAnsi="Century Gothic" w:cs="Arial"/>
          <w:sz w:val="23"/>
          <w:szCs w:val="23"/>
        </w:rPr>
        <w:t>4</w:t>
      </w:r>
      <w:r w:rsidRPr="007960A1">
        <w:rPr>
          <w:rFonts w:ascii="Century Gothic" w:hAnsi="Century Gothic" w:cs="Arial"/>
          <w:sz w:val="23"/>
          <w:szCs w:val="23"/>
        </w:rPr>
        <w:t xml:space="preserve"> de marzo de 2023.</w:t>
      </w:r>
    </w:p>
    <w:p w14:paraId="23091AB8" w14:textId="77777777" w:rsidR="008740B9" w:rsidRPr="007960A1" w:rsidRDefault="008740B9" w:rsidP="007960A1">
      <w:pPr>
        <w:pStyle w:val="Prrafodelista"/>
        <w:spacing w:line="276" w:lineRule="auto"/>
        <w:rPr>
          <w:rFonts w:ascii="Century Gothic" w:hAnsi="Century Gothic" w:cs="Arial"/>
          <w:sz w:val="23"/>
          <w:szCs w:val="23"/>
        </w:rPr>
      </w:pPr>
    </w:p>
    <w:p w14:paraId="2F52BA45" w14:textId="6031E8A8" w:rsidR="008740B9" w:rsidRPr="007960A1" w:rsidRDefault="008740B9" w:rsidP="007960A1">
      <w:pPr>
        <w:pStyle w:val="Prrafodelista"/>
        <w:numPr>
          <w:ilvl w:val="0"/>
          <w:numId w:val="1"/>
        </w:numPr>
        <w:spacing w:line="276" w:lineRule="auto"/>
        <w:jc w:val="both"/>
        <w:rPr>
          <w:rFonts w:ascii="Century Gothic" w:hAnsi="Century Gothic" w:cs="Arial"/>
          <w:sz w:val="23"/>
          <w:szCs w:val="23"/>
        </w:rPr>
      </w:pPr>
      <w:r w:rsidRPr="007960A1">
        <w:rPr>
          <w:rFonts w:ascii="Century Gothic" w:hAnsi="Century Gothic" w:cs="Arial"/>
          <w:sz w:val="23"/>
          <w:szCs w:val="23"/>
        </w:rPr>
        <w:t xml:space="preserve">La demandada </w:t>
      </w:r>
      <w:r w:rsidR="00386185" w:rsidRPr="007960A1">
        <w:rPr>
          <w:rFonts w:ascii="Century Gothic" w:hAnsi="Century Gothic"/>
          <w:bCs/>
          <w:spacing w:val="-3"/>
          <w:sz w:val="23"/>
          <w:szCs w:val="23"/>
        </w:rPr>
        <w:t>Instituto Distrital de Recreación y Deporte – IDRD</w:t>
      </w:r>
      <w:r w:rsidR="00386185" w:rsidRPr="007960A1">
        <w:rPr>
          <w:rFonts w:ascii="Century Gothic" w:hAnsi="Century Gothic" w:cs="Arial"/>
          <w:sz w:val="23"/>
          <w:szCs w:val="23"/>
        </w:rPr>
        <w:t xml:space="preserve">, </w:t>
      </w:r>
      <w:r w:rsidR="00386185" w:rsidRPr="007960A1">
        <w:rPr>
          <w:rFonts w:ascii="Century Gothic" w:hAnsi="Century Gothic" w:cs="Arial"/>
          <w:sz w:val="23"/>
          <w:szCs w:val="23"/>
          <w:lang w:val="es-CO"/>
        </w:rPr>
        <w:t>presentó</w:t>
      </w:r>
      <w:r w:rsidRPr="007960A1">
        <w:rPr>
          <w:rFonts w:ascii="Century Gothic" w:hAnsi="Century Gothic" w:cs="Arial"/>
          <w:sz w:val="23"/>
          <w:szCs w:val="23"/>
        </w:rPr>
        <w:t xml:space="preserve"> escrito de contestación el </w:t>
      </w:r>
      <w:r w:rsidR="00386185" w:rsidRPr="007960A1">
        <w:rPr>
          <w:rFonts w:ascii="Century Gothic" w:hAnsi="Century Gothic" w:cs="Arial"/>
          <w:sz w:val="23"/>
          <w:szCs w:val="23"/>
        </w:rPr>
        <w:t>24</w:t>
      </w:r>
      <w:r w:rsidRPr="007960A1">
        <w:rPr>
          <w:rFonts w:ascii="Century Gothic" w:hAnsi="Century Gothic" w:cs="Arial"/>
          <w:sz w:val="23"/>
          <w:szCs w:val="23"/>
        </w:rPr>
        <w:t xml:space="preserve"> de marzo de 2023, con la que propuso excepción de </w:t>
      </w:r>
      <w:r w:rsidR="00386185" w:rsidRPr="007960A1">
        <w:rPr>
          <w:rFonts w:ascii="Century Gothic" w:hAnsi="Century Gothic" w:cs="Arial"/>
          <w:sz w:val="23"/>
          <w:szCs w:val="23"/>
        </w:rPr>
        <w:t>inepta demanda</w:t>
      </w:r>
      <w:r w:rsidR="00751F64" w:rsidRPr="007960A1">
        <w:rPr>
          <w:rFonts w:ascii="Century Gothic" w:hAnsi="Century Gothic" w:cs="Arial"/>
          <w:sz w:val="23"/>
          <w:szCs w:val="23"/>
        </w:rPr>
        <w:t xml:space="preserve">, con constancia de envío a la parte actora. </w:t>
      </w:r>
    </w:p>
    <w:p w14:paraId="7C210A78" w14:textId="77777777" w:rsidR="008740B9" w:rsidRPr="007960A1" w:rsidRDefault="008740B9" w:rsidP="007960A1">
      <w:pPr>
        <w:spacing w:line="276" w:lineRule="auto"/>
        <w:jc w:val="both"/>
        <w:rPr>
          <w:rFonts w:ascii="Century Gothic" w:hAnsi="Century Gothic" w:cs="Arial"/>
          <w:sz w:val="23"/>
          <w:szCs w:val="23"/>
        </w:rPr>
      </w:pPr>
    </w:p>
    <w:p w14:paraId="1A9BA73D" w14:textId="148A06C4" w:rsidR="008740B9" w:rsidRPr="007960A1" w:rsidRDefault="008740B9" w:rsidP="007960A1">
      <w:pPr>
        <w:pStyle w:val="Prrafodelista"/>
        <w:numPr>
          <w:ilvl w:val="0"/>
          <w:numId w:val="1"/>
        </w:numPr>
        <w:spacing w:line="276" w:lineRule="auto"/>
        <w:jc w:val="both"/>
        <w:rPr>
          <w:rFonts w:ascii="Century Gothic" w:hAnsi="Century Gothic" w:cs="Arial"/>
          <w:sz w:val="23"/>
          <w:szCs w:val="23"/>
        </w:rPr>
      </w:pPr>
      <w:r w:rsidRPr="007960A1">
        <w:rPr>
          <w:rFonts w:ascii="Century Gothic" w:hAnsi="Century Gothic" w:cs="Arial"/>
          <w:sz w:val="23"/>
          <w:szCs w:val="23"/>
        </w:rPr>
        <w:t xml:space="preserve">La parte actora </w:t>
      </w:r>
      <w:r w:rsidR="00751F64" w:rsidRPr="007960A1">
        <w:rPr>
          <w:rFonts w:ascii="Century Gothic" w:hAnsi="Century Gothic" w:cs="Arial"/>
          <w:sz w:val="23"/>
          <w:szCs w:val="23"/>
        </w:rPr>
        <w:t xml:space="preserve">guardó silencio. </w:t>
      </w:r>
    </w:p>
    <w:p w14:paraId="606B9C8F" w14:textId="77777777" w:rsidR="008740B9" w:rsidRPr="007960A1" w:rsidRDefault="008740B9" w:rsidP="007960A1">
      <w:pPr>
        <w:spacing w:line="276" w:lineRule="auto"/>
        <w:jc w:val="both"/>
        <w:rPr>
          <w:rFonts w:ascii="Century Gothic" w:hAnsi="Century Gothic" w:cs="Arial"/>
          <w:sz w:val="23"/>
          <w:szCs w:val="23"/>
        </w:rPr>
      </w:pPr>
    </w:p>
    <w:p w14:paraId="1B620C24" w14:textId="77777777" w:rsidR="008740B9" w:rsidRPr="007960A1" w:rsidRDefault="008740B9" w:rsidP="007960A1">
      <w:pPr>
        <w:pStyle w:val="Textoindependiente2"/>
        <w:numPr>
          <w:ilvl w:val="0"/>
          <w:numId w:val="2"/>
        </w:numPr>
        <w:spacing w:after="0" w:line="276" w:lineRule="auto"/>
        <w:jc w:val="both"/>
        <w:rPr>
          <w:rFonts w:ascii="Century Gothic" w:hAnsi="Century Gothic" w:cs="Arial"/>
          <w:b/>
          <w:bCs/>
          <w:sz w:val="23"/>
          <w:szCs w:val="23"/>
        </w:rPr>
      </w:pPr>
      <w:r w:rsidRPr="007960A1">
        <w:rPr>
          <w:rFonts w:ascii="Century Gothic" w:hAnsi="Century Gothic" w:cs="Arial"/>
          <w:b/>
          <w:bCs/>
          <w:sz w:val="23"/>
          <w:szCs w:val="23"/>
        </w:rPr>
        <w:t>Objeto del pronunciamiento</w:t>
      </w:r>
    </w:p>
    <w:p w14:paraId="1B789407"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7BD386F0" w14:textId="368E4236" w:rsidR="008740B9" w:rsidRPr="007960A1" w:rsidRDefault="008740B9" w:rsidP="007960A1">
      <w:pPr>
        <w:spacing w:line="276" w:lineRule="auto"/>
        <w:jc w:val="both"/>
        <w:rPr>
          <w:rFonts w:ascii="Century Gothic" w:hAnsi="Century Gothic" w:cs="Arial"/>
          <w:sz w:val="23"/>
          <w:szCs w:val="23"/>
          <w:lang w:val="es-CO"/>
        </w:rPr>
      </w:pPr>
      <w:r w:rsidRPr="007960A1">
        <w:rPr>
          <w:rFonts w:ascii="Century Gothic" w:hAnsi="Century Gothic" w:cs="Arial"/>
          <w:sz w:val="23"/>
          <w:szCs w:val="23"/>
          <w:lang w:val="es-CO"/>
        </w:rPr>
        <w:t xml:space="preserve">Se procede a decidir la </w:t>
      </w:r>
      <w:r w:rsidR="0080674F" w:rsidRPr="007960A1">
        <w:rPr>
          <w:rFonts w:ascii="Century Gothic" w:hAnsi="Century Gothic" w:cs="Arial"/>
          <w:sz w:val="23"/>
          <w:szCs w:val="23"/>
          <w:lang w:val="es-CO"/>
        </w:rPr>
        <w:t>excepción</w:t>
      </w:r>
      <w:r w:rsidRPr="007960A1">
        <w:rPr>
          <w:rFonts w:ascii="Century Gothic" w:hAnsi="Century Gothic" w:cs="Arial"/>
          <w:sz w:val="23"/>
          <w:szCs w:val="23"/>
          <w:lang w:val="es-CO"/>
        </w:rPr>
        <w:t xml:space="preserve"> previa propuesta por la demandada y previo a ello, se hará pronunciamiento sobre la contestación de la demanda y el poder aportado para la representación de la demandada. </w:t>
      </w:r>
    </w:p>
    <w:p w14:paraId="7CECA071"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1CD4079D" w14:textId="77777777" w:rsidR="008740B9" w:rsidRPr="007960A1" w:rsidRDefault="008740B9" w:rsidP="007960A1">
      <w:pPr>
        <w:pStyle w:val="Textoindependiente2"/>
        <w:numPr>
          <w:ilvl w:val="0"/>
          <w:numId w:val="2"/>
        </w:numPr>
        <w:spacing w:after="0" w:line="276" w:lineRule="auto"/>
        <w:jc w:val="both"/>
        <w:rPr>
          <w:rFonts w:ascii="Century Gothic" w:hAnsi="Century Gothic" w:cs="Arial"/>
          <w:b/>
          <w:bCs/>
          <w:sz w:val="23"/>
          <w:szCs w:val="23"/>
        </w:rPr>
      </w:pPr>
      <w:r w:rsidRPr="007960A1">
        <w:rPr>
          <w:rFonts w:ascii="Century Gothic" w:hAnsi="Century Gothic" w:cs="Arial"/>
          <w:b/>
          <w:bCs/>
          <w:sz w:val="23"/>
          <w:szCs w:val="23"/>
        </w:rPr>
        <w:t>Consideraciones</w:t>
      </w:r>
    </w:p>
    <w:p w14:paraId="0D34CF8E" w14:textId="77777777" w:rsidR="008740B9" w:rsidRPr="007960A1" w:rsidRDefault="008740B9" w:rsidP="007960A1">
      <w:pPr>
        <w:pStyle w:val="Textoindependiente2"/>
        <w:spacing w:after="0" w:line="276" w:lineRule="auto"/>
        <w:jc w:val="both"/>
        <w:rPr>
          <w:rFonts w:ascii="Century Gothic" w:hAnsi="Century Gothic" w:cs="Arial"/>
          <w:b/>
          <w:bCs/>
          <w:sz w:val="23"/>
          <w:szCs w:val="23"/>
        </w:rPr>
      </w:pPr>
    </w:p>
    <w:p w14:paraId="3E0B32EF" w14:textId="77777777" w:rsidR="008740B9" w:rsidRPr="007960A1" w:rsidRDefault="008740B9" w:rsidP="007960A1">
      <w:pPr>
        <w:pStyle w:val="Textoindependiente2"/>
        <w:numPr>
          <w:ilvl w:val="1"/>
          <w:numId w:val="2"/>
        </w:numPr>
        <w:spacing w:after="0" w:line="276" w:lineRule="auto"/>
        <w:jc w:val="both"/>
        <w:rPr>
          <w:rFonts w:ascii="Century Gothic" w:hAnsi="Century Gothic" w:cs="Arial"/>
          <w:b/>
          <w:bCs/>
          <w:sz w:val="23"/>
          <w:szCs w:val="23"/>
        </w:rPr>
      </w:pPr>
      <w:r w:rsidRPr="007960A1">
        <w:rPr>
          <w:rFonts w:ascii="Century Gothic" w:hAnsi="Century Gothic" w:cs="Arial"/>
          <w:b/>
          <w:bCs/>
          <w:sz w:val="23"/>
          <w:szCs w:val="23"/>
        </w:rPr>
        <w:t>Sobre la contestación de la demanda.</w:t>
      </w:r>
    </w:p>
    <w:p w14:paraId="4EADC514"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7B6E6A53" w14:textId="54FE5AF7" w:rsidR="008740B9" w:rsidRPr="007960A1" w:rsidRDefault="008740B9" w:rsidP="007960A1">
      <w:pPr>
        <w:spacing w:line="276" w:lineRule="auto"/>
        <w:ind w:right="45"/>
        <w:jc w:val="both"/>
        <w:textAlignment w:val="baseline"/>
        <w:rPr>
          <w:rFonts w:ascii="Century Gothic" w:eastAsia="Calibri" w:hAnsi="Century Gothic"/>
          <w:sz w:val="23"/>
          <w:szCs w:val="23"/>
        </w:rPr>
      </w:pPr>
      <w:r w:rsidRPr="007960A1">
        <w:rPr>
          <w:rFonts w:ascii="Century Gothic" w:hAnsi="Century Gothic" w:cs="Arial"/>
          <w:sz w:val="23"/>
          <w:szCs w:val="23"/>
        </w:rPr>
        <w:lastRenderedPageBreak/>
        <w:t>Analizados los escritos de contestación de la demandada y los anexos allegados se reconocerá personería a</w:t>
      </w:r>
      <w:r w:rsidR="003A03DD" w:rsidRPr="007960A1">
        <w:rPr>
          <w:rFonts w:ascii="Century Gothic" w:hAnsi="Century Gothic" w:cs="Arial"/>
          <w:sz w:val="23"/>
          <w:szCs w:val="23"/>
        </w:rPr>
        <w:t xml:space="preserve">l apoderado </w:t>
      </w:r>
      <w:r w:rsidR="001011E8" w:rsidRPr="007960A1">
        <w:rPr>
          <w:rFonts w:ascii="Century Gothic" w:hAnsi="Century Gothic" w:cs="Arial"/>
          <w:sz w:val="23"/>
          <w:szCs w:val="23"/>
        </w:rPr>
        <w:t xml:space="preserve">del </w:t>
      </w:r>
      <w:r w:rsidR="001011E8" w:rsidRPr="007960A1">
        <w:rPr>
          <w:rFonts w:ascii="Century Gothic" w:hAnsi="Century Gothic" w:cs="Arial"/>
          <w:sz w:val="23"/>
          <w:szCs w:val="23"/>
          <w:lang w:val="es-CO"/>
        </w:rPr>
        <w:t>Instituto</w:t>
      </w:r>
      <w:r w:rsidR="003A03DD" w:rsidRPr="007960A1">
        <w:rPr>
          <w:rFonts w:ascii="Century Gothic" w:hAnsi="Century Gothic"/>
          <w:bCs/>
          <w:spacing w:val="-3"/>
          <w:sz w:val="23"/>
          <w:szCs w:val="23"/>
        </w:rPr>
        <w:t xml:space="preserve"> Distrital de Recreación y Deporte – IDRD.</w:t>
      </w:r>
    </w:p>
    <w:p w14:paraId="55F1FF17"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3FD408D2" w14:textId="77777777" w:rsidR="008740B9" w:rsidRPr="007960A1" w:rsidRDefault="008740B9" w:rsidP="007960A1">
      <w:pPr>
        <w:pStyle w:val="Textoindependiente2"/>
        <w:spacing w:after="0" w:line="276" w:lineRule="auto"/>
        <w:jc w:val="both"/>
        <w:rPr>
          <w:rFonts w:ascii="Century Gothic" w:hAnsi="Century Gothic" w:cs="Arial"/>
          <w:sz w:val="23"/>
          <w:szCs w:val="23"/>
        </w:rPr>
      </w:pPr>
      <w:r w:rsidRPr="007960A1">
        <w:rPr>
          <w:rFonts w:ascii="Century Gothic" w:hAnsi="Century Gothic" w:cs="Arial"/>
          <w:sz w:val="23"/>
          <w:szCs w:val="23"/>
        </w:rPr>
        <w:t>Lo anterior, por haber aportado los poderes con el lleno de los requisitos del artículo 74 del C.G.P.  y la ley 2213 de 2022.</w:t>
      </w:r>
    </w:p>
    <w:p w14:paraId="4463369B"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2D32BBBD" w14:textId="77777777" w:rsidR="008740B9" w:rsidRPr="007960A1" w:rsidRDefault="008740B9" w:rsidP="007960A1">
      <w:pPr>
        <w:pStyle w:val="Textoindependiente2"/>
        <w:spacing w:after="0" w:line="276" w:lineRule="auto"/>
        <w:jc w:val="both"/>
        <w:rPr>
          <w:rFonts w:ascii="Century Gothic" w:hAnsi="Century Gothic" w:cs="Arial"/>
          <w:sz w:val="23"/>
          <w:szCs w:val="23"/>
        </w:rPr>
      </w:pPr>
    </w:p>
    <w:p w14:paraId="0E591CED" w14:textId="57718070" w:rsidR="008740B9" w:rsidRPr="007960A1" w:rsidRDefault="008740B9" w:rsidP="007960A1">
      <w:pPr>
        <w:pStyle w:val="Prrafodelista"/>
        <w:numPr>
          <w:ilvl w:val="1"/>
          <w:numId w:val="2"/>
        </w:numPr>
        <w:spacing w:line="276" w:lineRule="auto"/>
        <w:jc w:val="both"/>
        <w:textAlignment w:val="baseline"/>
        <w:rPr>
          <w:rFonts w:ascii="Century Gothic" w:hAnsi="Century Gothic" w:cs="Arial"/>
          <w:b/>
          <w:bCs/>
          <w:sz w:val="23"/>
          <w:szCs w:val="23"/>
        </w:rPr>
      </w:pPr>
      <w:r w:rsidRPr="007960A1">
        <w:rPr>
          <w:rFonts w:ascii="Century Gothic" w:hAnsi="Century Gothic" w:cs="Arial"/>
          <w:b/>
          <w:bCs/>
          <w:sz w:val="23"/>
          <w:szCs w:val="23"/>
        </w:rPr>
        <w:t xml:space="preserve">Decisión de excepción previa de </w:t>
      </w:r>
      <w:r w:rsidR="003A03DD" w:rsidRPr="007960A1">
        <w:rPr>
          <w:rFonts w:ascii="Century Gothic" w:hAnsi="Century Gothic" w:cs="Arial"/>
          <w:b/>
          <w:bCs/>
          <w:i/>
          <w:iCs/>
          <w:sz w:val="23"/>
          <w:szCs w:val="23"/>
        </w:rPr>
        <w:t>“Ineptitud Sustantiva de la Demanda”</w:t>
      </w:r>
      <w:r w:rsidR="003A03DD" w:rsidRPr="007960A1">
        <w:rPr>
          <w:rFonts w:ascii="Century Gothic" w:hAnsi="Century Gothic" w:cs="Arial"/>
          <w:b/>
          <w:bCs/>
          <w:sz w:val="23"/>
          <w:szCs w:val="23"/>
        </w:rPr>
        <w:t xml:space="preserve"> </w:t>
      </w:r>
    </w:p>
    <w:p w14:paraId="0BB76CB8" w14:textId="77777777" w:rsidR="008740B9" w:rsidRPr="007960A1" w:rsidRDefault="008740B9" w:rsidP="007960A1">
      <w:pPr>
        <w:pStyle w:val="Prrafodelista"/>
        <w:spacing w:line="276" w:lineRule="auto"/>
        <w:ind w:left="1080"/>
        <w:jc w:val="both"/>
        <w:textAlignment w:val="baseline"/>
        <w:rPr>
          <w:rFonts w:ascii="Century Gothic" w:hAnsi="Century Gothic" w:cs="Arial"/>
          <w:b/>
          <w:bCs/>
          <w:sz w:val="23"/>
          <w:szCs w:val="23"/>
        </w:rPr>
      </w:pPr>
    </w:p>
    <w:p w14:paraId="16D2804D" w14:textId="181A7EF9" w:rsidR="008740B9" w:rsidRPr="007960A1" w:rsidRDefault="008740B9" w:rsidP="007960A1">
      <w:pPr>
        <w:spacing w:line="276" w:lineRule="auto"/>
        <w:jc w:val="both"/>
        <w:textAlignment w:val="baseline"/>
        <w:rPr>
          <w:rFonts w:ascii="Century Gothic" w:hAnsi="Century Gothic" w:cs="Arial"/>
          <w:sz w:val="23"/>
          <w:szCs w:val="23"/>
        </w:rPr>
      </w:pPr>
      <w:bookmarkStart w:id="1" w:name="_Int_6zs3VdkO"/>
      <w:r w:rsidRPr="007960A1">
        <w:rPr>
          <w:rFonts w:ascii="Century Gothic" w:hAnsi="Century Gothic" w:cs="Arial"/>
          <w:sz w:val="23"/>
          <w:szCs w:val="23"/>
        </w:rPr>
        <w:t xml:space="preserve">La parte demandada </w:t>
      </w:r>
      <w:bookmarkEnd w:id="1"/>
      <w:r w:rsidR="00CF349E" w:rsidRPr="007960A1">
        <w:rPr>
          <w:rFonts w:ascii="Century Gothic" w:hAnsi="Century Gothic" w:cs="Arial"/>
          <w:sz w:val="23"/>
          <w:szCs w:val="23"/>
        </w:rPr>
        <w:t xml:space="preserve">indicó que en la etapa prejudicial el actor no formuló el medio de control de reparación directa con fundamento en un enriquecimiento sin causa, si no, como controversias contractuales. </w:t>
      </w:r>
    </w:p>
    <w:p w14:paraId="681656AE" w14:textId="77777777" w:rsidR="00CF349E" w:rsidRPr="007960A1" w:rsidRDefault="00CF349E" w:rsidP="007960A1">
      <w:pPr>
        <w:spacing w:line="276" w:lineRule="auto"/>
        <w:jc w:val="both"/>
        <w:textAlignment w:val="baseline"/>
        <w:rPr>
          <w:rFonts w:ascii="Century Gothic" w:hAnsi="Century Gothic" w:cs="Arial"/>
          <w:sz w:val="23"/>
          <w:szCs w:val="23"/>
        </w:rPr>
      </w:pPr>
    </w:p>
    <w:p w14:paraId="3B39AA37" w14:textId="27CFA9FA" w:rsidR="00CF349E" w:rsidRPr="007960A1" w:rsidRDefault="00664E8A" w:rsidP="007960A1">
      <w:pPr>
        <w:spacing w:line="276" w:lineRule="auto"/>
        <w:jc w:val="both"/>
        <w:rPr>
          <w:rFonts w:ascii="Century Gothic" w:hAnsi="Century Gothic"/>
          <w:sz w:val="23"/>
          <w:szCs w:val="23"/>
          <w:lang w:val="es-MX"/>
        </w:rPr>
      </w:pPr>
      <w:r w:rsidRPr="007960A1">
        <w:rPr>
          <w:rFonts w:ascii="Century Gothic" w:hAnsi="Century Gothic"/>
          <w:sz w:val="23"/>
          <w:szCs w:val="23"/>
          <w:lang w:val="es-MX"/>
        </w:rPr>
        <w:t xml:space="preserve">Que en la etapa prejudicial el demandante argumentó que lo adeudado está con cargo al contrato de prestación de servicios No.2732 del 16 de abril de 2019, lo cual no fue reconocido por la entidad, luego en el entendido de que ese contrato ya no </w:t>
      </w:r>
      <w:r w:rsidR="00AE72A7" w:rsidRPr="007960A1">
        <w:rPr>
          <w:rFonts w:ascii="Century Gothic" w:hAnsi="Century Gothic"/>
          <w:sz w:val="23"/>
          <w:szCs w:val="23"/>
          <w:lang w:val="es-MX"/>
        </w:rPr>
        <w:t>existe, se</w:t>
      </w:r>
      <w:r w:rsidRPr="007960A1">
        <w:rPr>
          <w:rFonts w:ascii="Century Gothic" w:hAnsi="Century Gothic"/>
          <w:sz w:val="23"/>
          <w:szCs w:val="23"/>
          <w:lang w:val="es-MX"/>
        </w:rPr>
        <w:t xml:space="preserve"> terminó el plazo de ejecución y se liquidó por mutuo acuerdo, el medio de control aquí presentado no cumplen con los requisitos de la acción in rem verso.</w:t>
      </w:r>
    </w:p>
    <w:p w14:paraId="2490B8F4" w14:textId="77777777" w:rsidR="008740B9" w:rsidRPr="007960A1" w:rsidRDefault="008740B9" w:rsidP="007960A1">
      <w:pPr>
        <w:spacing w:line="276" w:lineRule="auto"/>
        <w:jc w:val="both"/>
        <w:textAlignment w:val="baseline"/>
        <w:rPr>
          <w:rFonts w:ascii="Century Gothic" w:hAnsi="Century Gothic" w:cs="Arial"/>
          <w:sz w:val="23"/>
          <w:szCs w:val="23"/>
        </w:rPr>
      </w:pPr>
    </w:p>
    <w:p w14:paraId="58E5C472" w14:textId="6EB60BC8" w:rsidR="008740B9" w:rsidRPr="007960A1" w:rsidRDefault="008740B9" w:rsidP="007960A1">
      <w:pPr>
        <w:spacing w:line="276" w:lineRule="auto"/>
        <w:jc w:val="both"/>
        <w:textAlignment w:val="baseline"/>
        <w:rPr>
          <w:rFonts w:ascii="Century Gothic" w:hAnsi="Century Gothic" w:cs="Arial"/>
          <w:sz w:val="23"/>
          <w:szCs w:val="23"/>
        </w:rPr>
      </w:pPr>
      <w:r w:rsidRPr="007960A1">
        <w:rPr>
          <w:rFonts w:ascii="Century Gothic" w:hAnsi="Century Gothic" w:cs="Arial"/>
          <w:sz w:val="23"/>
          <w:szCs w:val="23"/>
        </w:rPr>
        <w:t xml:space="preserve">Aseguró que </w:t>
      </w:r>
      <w:r w:rsidR="007E7942" w:rsidRPr="007960A1">
        <w:rPr>
          <w:rFonts w:ascii="Century Gothic" w:hAnsi="Century Gothic" w:cs="Arial"/>
          <w:sz w:val="23"/>
          <w:szCs w:val="23"/>
        </w:rPr>
        <w:t xml:space="preserve">a la fecha el IDRD se encuentra a paz y salvo respecto del contrato </w:t>
      </w:r>
      <w:r w:rsidR="007E7942" w:rsidRPr="007960A1">
        <w:rPr>
          <w:rFonts w:ascii="Century Gothic" w:hAnsi="Century Gothic"/>
          <w:sz w:val="23"/>
          <w:szCs w:val="23"/>
          <w:lang w:val="es-MX"/>
        </w:rPr>
        <w:t xml:space="preserve">de prestación de servicios No.2732 del 16 de abril de 2019 y que en la liquidación del contrato no se dejó ninguna salvedad. </w:t>
      </w:r>
    </w:p>
    <w:p w14:paraId="21202CE2" w14:textId="77777777" w:rsidR="008740B9" w:rsidRPr="007960A1" w:rsidRDefault="008740B9" w:rsidP="007960A1">
      <w:pPr>
        <w:spacing w:line="276" w:lineRule="auto"/>
        <w:jc w:val="both"/>
        <w:textAlignment w:val="baseline"/>
        <w:rPr>
          <w:rFonts w:ascii="Century Gothic" w:hAnsi="Century Gothic" w:cs="Arial"/>
          <w:b/>
          <w:bCs/>
          <w:sz w:val="23"/>
          <w:szCs w:val="23"/>
        </w:rPr>
      </w:pPr>
    </w:p>
    <w:p w14:paraId="6A66A999" w14:textId="77777777" w:rsidR="008740B9" w:rsidRPr="007960A1" w:rsidRDefault="008740B9" w:rsidP="007960A1">
      <w:pPr>
        <w:spacing w:line="276" w:lineRule="auto"/>
        <w:jc w:val="both"/>
        <w:textAlignment w:val="baseline"/>
        <w:rPr>
          <w:rFonts w:ascii="Century Gothic" w:hAnsi="Century Gothic" w:cs="Arial"/>
          <w:sz w:val="23"/>
          <w:szCs w:val="23"/>
        </w:rPr>
      </w:pPr>
      <w:r w:rsidRPr="007960A1">
        <w:rPr>
          <w:rFonts w:ascii="Century Gothic" w:hAnsi="Century Gothic" w:cs="Arial"/>
          <w:sz w:val="23"/>
          <w:szCs w:val="23"/>
        </w:rPr>
        <w:t xml:space="preserve">Revisados los argumentos, se negará la excepción por las siguientes razones: </w:t>
      </w:r>
    </w:p>
    <w:p w14:paraId="7F854811" w14:textId="77777777" w:rsidR="008740B9" w:rsidRPr="007960A1" w:rsidRDefault="008740B9" w:rsidP="007960A1">
      <w:pPr>
        <w:spacing w:line="276" w:lineRule="auto"/>
        <w:jc w:val="both"/>
        <w:textAlignment w:val="baseline"/>
        <w:rPr>
          <w:rFonts w:ascii="Century Gothic" w:hAnsi="Century Gothic" w:cs="Arial"/>
          <w:sz w:val="23"/>
          <w:szCs w:val="23"/>
        </w:rPr>
      </w:pPr>
    </w:p>
    <w:p w14:paraId="1DD7F961" w14:textId="091C4131" w:rsidR="00127345" w:rsidRPr="007960A1" w:rsidRDefault="00127345" w:rsidP="007960A1">
      <w:pPr>
        <w:pStyle w:val="Textoindependiente2"/>
        <w:spacing w:after="0" w:line="276" w:lineRule="auto"/>
        <w:jc w:val="both"/>
        <w:rPr>
          <w:rFonts w:ascii="Century Gothic" w:hAnsi="Century Gothic" w:cs="Arial"/>
          <w:bCs/>
          <w:sz w:val="23"/>
          <w:szCs w:val="23"/>
        </w:rPr>
      </w:pPr>
      <w:r w:rsidRPr="007960A1">
        <w:rPr>
          <w:rFonts w:ascii="Century Gothic" w:hAnsi="Century Gothic" w:cs="Arial"/>
          <w:bCs/>
          <w:sz w:val="23"/>
          <w:szCs w:val="23"/>
        </w:rPr>
        <w:t xml:space="preserve">Esta excepción se formuló como previa; sin embargo, no se observa que los argumentos ataquen directamente las formalidades de la demanda reguladas en el art. 162 de la Ley 1437 de 2011, por el contrario, la demandada está es </w:t>
      </w:r>
      <w:proofErr w:type="gramStart"/>
      <w:r w:rsidRPr="007960A1">
        <w:rPr>
          <w:rFonts w:ascii="Century Gothic" w:hAnsi="Century Gothic" w:cs="Arial"/>
          <w:bCs/>
          <w:sz w:val="23"/>
          <w:szCs w:val="23"/>
        </w:rPr>
        <w:t>atacando</w:t>
      </w:r>
      <w:proofErr w:type="gramEnd"/>
      <w:r w:rsidRPr="007960A1">
        <w:rPr>
          <w:rFonts w:ascii="Century Gothic" w:hAnsi="Century Gothic" w:cs="Arial"/>
          <w:bCs/>
          <w:sz w:val="23"/>
          <w:szCs w:val="23"/>
        </w:rPr>
        <w:t xml:space="preserve"> de fondo el derecho que alega el demandante tener, bajo la acción </w:t>
      </w:r>
      <w:r w:rsidRPr="007960A1">
        <w:rPr>
          <w:rFonts w:ascii="Century Gothic" w:hAnsi="Century Gothic"/>
          <w:sz w:val="23"/>
          <w:szCs w:val="23"/>
          <w:lang w:val="es-MX"/>
        </w:rPr>
        <w:t>in rem verso.</w:t>
      </w:r>
    </w:p>
    <w:p w14:paraId="0186C37A" w14:textId="77777777" w:rsidR="00127345" w:rsidRPr="007960A1" w:rsidRDefault="00127345" w:rsidP="007960A1">
      <w:pPr>
        <w:pStyle w:val="Textoindependiente2"/>
        <w:spacing w:after="0" w:line="276" w:lineRule="auto"/>
        <w:jc w:val="both"/>
        <w:rPr>
          <w:rFonts w:ascii="Century Gothic" w:hAnsi="Century Gothic" w:cs="Arial"/>
          <w:bCs/>
          <w:sz w:val="23"/>
          <w:szCs w:val="23"/>
        </w:rPr>
      </w:pPr>
    </w:p>
    <w:p w14:paraId="18662D42" w14:textId="77777777" w:rsidR="00152A37" w:rsidRPr="007960A1" w:rsidRDefault="00127345" w:rsidP="007960A1">
      <w:pPr>
        <w:spacing w:line="276" w:lineRule="auto"/>
        <w:jc w:val="both"/>
        <w:textAlignment w:val="baseline"/>
        <w:rPr>
          <w:rFonts w:ascii="Century Gothic" w:hAnsi="Century Gothic" w:cs="Segoe UI"/>
          <w:sz w:val="23"/>
          <w:szCs w:val="23"/>
          <w:lang w:eastAsia="en-US"/>
        </w:rPr>
      </w:pPr>
      <w:r w:rsidRPr="007960A1">
        <w:rPr>
          <w:rFonts w:ascii="Century Gothic" w:hAnsi="Century Gothic" w:cs="Segoe UI"/>
          <w:sz w:val="23"/>
          <w:szCs w:val="23"/>
          <w:lang w:eastAsia="en-US"/>
        </w:rPr>
        <w:t>En ese orden no se tendrá dicha excepción como previa</w:t>
      </w:r>
      <w:r w:rsidR="00152A37" w:rsidRPr="007960A1">
        <w:rPr>
          <w:rFonts w:ascii="Century Gothic" w:hAnsi="Century Gothic" w:cs="Segoe UI"/>
          <w:sz w:val="23"/>
          <w:szCs w:val="23"/>
          <w:lang w:eastAsia="en-US"/>
        </w:rPr>
        <w:t xml:space="preserve"> y se estudiará los argumentos expuestos como una excepción de mérito. </w:t>
      </w:r>
    </w:p>
    <w:p w14:paraId="28517471" w14:textId="77777777" w:rsidR="008740B9" w:rsidRPr="007960A1" w:rsidRDefault="008740B9" w:rsidP="007960A1">
      <w:pPr>
        <w:pStyle w:val="Textoindependiente2"/>
        <w:spacing w:after="0" w:line="276" w:lineRule="auto"/>
        <w:jc w:val="both"/>
        <w:rPr>
          <w:rFonts w:ascii="Century Gothic" w:hAnsi="Century Gothic" w:cs="Arial"/>
          <w:b/>
          <w:bCs/>
          <w:sz w:val="23"/>
          <w:szCs w:val="23"/>
        </w:rPr>
      </w:pPr>
    </w:p>
    <w:p w14:paraId="57ECCC5F" w14:textId="77777777" w:rsidR="008740B9" w:rsidRPr="007960A1" w:rsidRDefault="008740B9" w:rsidP="007960A1">
      <w:pPr>
        <w:pStyle w:val="Textoindependiente2"/>
        <w:spacing w:after="0" w:line="276" w:lineRule="auto"/>
        <w:jc w:val="both"/>
        <w:rPr>
          <w:rFonts w:ascii="Century Gothic" w:hAnsi="Century Gothic"/>
          <w:sz w:val="23"/>
          <w:szCs w:val="23"/>
          <w:lang w:val="es-CO"/>
        </w:rPr>
      </w:pPr>
      <w:r w:rsidRPr="007960A1">
        <w:rPr>
          <w:rFonts w:ascii="Century Gothic" w:hAnsi="Century Gothic"/>
          <w:sz w:val="23"/>
          <w:szCs w:val="23"/>
          <w:lang w:val="es-CO"/>
        </w:rPr>
        <w:t xml:space="preserve">En consecuencia, el </w:t>
      </w:r>
      <w:r w:rsidRPr="007960A1">
        <w:rPr>
          <w:rFonts w:ascii="Century Gothic" w:hAnsi="Century Gothic"/>
          <w:b/>
          <w:bCs/>
          <w:sz w:val="23"/>
          <w:szCs w:val="23"/>
          <w:lang w:val="es-CO"/>
        </w:rPr>
        <w:t>JUZGADO SESENTA Y CUATRO (64) ADMINISTRATIVO DE ORALIDAD DEL CIRCUITO JUDICIAL DE BOGOTÁ D.C.</w:t>
      </w:r>
      <w:r w:rsidRPr="007960A1">
        <w:rPr>
          <w:rFonts w:ascii="Century Gothic" w:hAnsi="Century Gothic"/>
          <w:sz w:val="23"/>
          <w:szCs w:val="23"/>
          <w:lang w:val="es-CO"/>
        </w:rPr>
        <w:t>,</w:t>
      </w:r>
    </w:p>
    <w:p w14:paraId="326930A1" w14:textId="77777777" w:rsidR="008740B9" w:rsidRPr="007960A1" w:rsidRDefault="008740B9" w:rsidP="007960A1">
      <w:pPr>
        <w:pStyle w:val="Textoindependiente2"/>
        <w:spacing w:after="0" w:line="276" w:lineRule="auto"/>
        <w:jc w:val="both"/>
        <w:rPr>
          <w:rFonts w:ascii="Century Gothic" w:hAnsi="Century Gothic"/>
          <w:sz w:val="23"/>
          <w:szCs w:val="23"/>
          <w:lang w:val="es-CO"/>
        </w:rPr>
      </w:pPr>
    </w:p>
    <w:p w14:paraId="087B5B58" w14:textId="77777777" w:rsidR="008740B9" w:rsidRPr="007960A1" w:rsidRDefault="008740B9" w:rsidP="007960A1">
      <w:pPr>
        <w:pStyle w:val="paragraph"/>
        <w:spacing w:before="0" w:beforeAutospacing="0" w:after="0" w:afterAutospacing="0" w:line="276" w:lineRule="auto"/>
        <w:ind w:right="45"/>
        <w:jc w:val="center"/>
        <w:textAlignment w:val="baseline"/>
        <w:rPr>
          <w:rStyle w:val="eop"/>
          <w:rFonts w:ascii="Century Gothic" w:eastAsiaTheme="majorEastAsia" w:hAnsi="Century Gothic" w:cs="Segoe UI"/>
          <w:sz w:val="23"/>
          <w:szCs w:val="23"/>
        </w:rPr>
      </w:pPr>
      <w:r w:rsidRPr="007960A1">
        <w:rPr>
          <w:rStyle w:val="normaltextrun"/>
          <w:rFonts w:ascii="Century Gothic" w:eastAsiaTheme="majorEastAsia" w:hAnsi="Century Gothic" w:cs="Segoe UI"/>
          <w:b/>
          <w:bCs/>
          <w:sz w:val="23"/>
          <w:szCs w:val="23"/>
        </w:rPr>
        <w:t>RESUELVE:</w:t>
      </w:r>
      <w:r w:rsidRPr="007960A1">
        <w:rPr>
          <w:rStyle w:val="eop"/>
          <w:rFonts w:ascii="Century Gothic" w:eastAsiaTheme="majorEastAsia" w:hAnsi="Century Gothic" w:cs="Segoe UI"/>
          <w:sz w:val="23"/>
          <w:szCs w:val="23"/>
        </w:rPr>
        <w:t> </w:t>
      </w:r>
    </w:p>
    <w:p w14:paraId="7F6C040D" w14:textId="77777777" w:rsidR="008740B9" w:rsidRPr="007960A1" w:rsidRDefault="008740B9" w:rsidP="007960A1">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6DE452B1" w14:textId="530A3E2F" w:rsidR="008740B9" w:rsidRPr="007960A1" w:rsidRDefault="008740B9" w:rsidP="007960A1">
      <w:pPr>
        <w:spacing w:line="276" w:lineRule="auto"/>
        <w:ind w:right="45"/>
        <w:jc w:val="both"/>
        <w:textAlignment w:val="baseline"/>
        <w:rPr>
          <w:rFonts w:ascii="Century Gothic" w:eastAsia="Calibri" w:hAnsi="Century Gothic"/>
          <w:sz w:val="23"/>
          <w:szCs w:val="23"/>
        </w:rPr>
      </w:pPr>
      <w:r w:rsidRPr="007960A1">
        <w:rPr>
          <w:rFonts w:ascii="Century Gothic" w:hAnsi="Century Gothic" w:cs="Arial"/>
          <w:b/>
          <w:bCs/>
          <w:sz w:val="23"/>
          <w:szCs w:val="23"/>
          <w:lang w:val="es-CO"/>
        </w:rPr>
        <w:t xml:space="preserve">PRIMERO: </w:t>
      </w:r>
      <w:r w:rsidRPr="007960A1">
        <w:rPr>
          <w:rFonts w:ascii="Arial" w:hAnsi="Arial" w:cs="Arial"/>
          <w:b/>
          <w:bCs/>
          <w:sz w:val="23"/>
          <w:szCs w:val="23"/>
          <w:lang w:val="es-CO"/>
        </w:rPr>
        <w:t>​</w:t>
      </w:r>
      <w:r w:rsidRPr="007960A1">
        <w:rPr>
          <w:rFonts w:ascii="Century Gothic" w:hAnsi="Century Gothic"/>
          <w:sz w:val="23"/>
          <w:szCs w:val="23"/>
        </w:rPr>
        <w:tab/>
      </w:r>
      <w:r w:rsidRPr="007960A1">
        <w:rPr>
          <w:rFonts w:ascii="Century Gothic" w:hAnsi="Century Gothic" w:cs="Arial"/>
          <w:b/>
          <w:bCs/>
          <w:sz w:val="23"/>
          <w:szCs w:val="23"/>
          <w:lang w:val="es-CO"/>
        </w:rPr>
        <w:t xml:space="preserve">TENER </w:t>
      </w:r>
      <w:r w:rsidRPr="007960A1">
        <w:rPr>
          <w:rFonts w:ascii="Century Gothic" w:hAnsi="Century Gothic" w:cs="Arial"/>
          <w:sz w:val="23"/>
          <w:szCs w:val="23"/>
          <w:lang w:val="es-CO"/>
        </w:rPr>
        <w:t>por contestada la demanda dentro del término legal por parte de</w:t>
      </w:r>
      <w:r w:rsidR="00152A37" w:rsidRPr="007960A1">
        <w:rPr>
          <w:rFonts w:ascii="Century Gothic" w:hAnsi="Century Gothic" w:cs="Arial"/>
          <w:sz w:val="23"/>
          <w:szCs w:val="23"/>
          <w:lang w:val="es-CO"/>
        </w:rPr>
        <w:t xml:space="preserve">l </w:t>
      </w:r>
      <w:r w:rsidR="00152A37" w:rsidRPr="007960A1">
        <w:rPr>
          <w:rFonts w:ascii="Century Gothic" w:hAnsi="Century Gothic"/>
          <w:bCs/>
          <w:spacing w:val="-3"/>
          <w:sz w:val="23"/>
          <w:szCs w:val="23"/>
        </w:rPr>
        <w:t>Instituto Distrital de Recreación y Deporte – IDRD.</w:t>
      </w:r>
    </w:p>
    <w:p w14:paraId="6B4546C3" w14:textId="77777777" w:rsidR="008740B9" w:rsidRPr="007960A1" w:rsidRDefault="008740B9" w:rsidP="007960A1">
      <w:pPr>
        <w:spacing w:line="276" w:lineRule="auto"/>
        <w:ind w:right="45"/>
        <w:jc w:val="both"/>
        <w:textAlignment w:val="baseline"/>
        <w:rPr>
          <w:rFonts w:ascii="Century Gothic" w:eastAsia="Calibri" w:hAnsi="Century Gothic"/>
          <w:sz w:val="23"/>
          <w:szCs w:val="23"/>
        </w:rPr>
      </w:pPr>
    </w:p>
    <w:p w14:paraId="631C5273" w14:textId="7EF55742" w:rsidR="003A03DD" w:rsidRPr="007960A1" w:rsidRDefault="008740B9" w:rsidP="007960A1">
      <w:pPr>
        <w:spacing w:line="276" w:lineRule="auto"/>
        <w:jc w:val="both"/>
        <w:textAlignment w:val="baseline"/>
        <w:rPr>
          <w:rFonts w:ascii="Century Gothic" w:hAnsi="Century Gothic" w:cs="Arial"/>
          <w:b/>
          <w:bCs/>
          <w:i/>
          <w:sz w:val="23"/>
          <w:szCs w:val="23"/>
        </w:rPr>
      </w:pPr>
      <w:r w:rsidRPr="007960A1">
        <w:rPr>
          <w:rFonts w:ascii="Century Gothic" w:hAnsi="Century Gothic" w:cs="Arial"/>
          <w:b/>
          <w:bCs/>
          <w:sz w:val="23"/>
          <w:szCs w:val="23"/>
          <w:lang w:val="es-CO"/>
        </w:rPr>
        <w:t>SEGUNDO:</w:t>
      </w:r>
      <w:r w:rsidRPr="007960A1">
        <w:rPr>
          <w:rFonts w:ascii="Century Gothic" w:hAnsi="Century Gothic" w:cs="Arial"/>
          <w:b/>
          <w:bCs/>
          <w:sz w:val="23"/>
          <w:szCs w:val="23"/>
          <w:lang w:val="es-CO"/>
        </w:rPr>
        <w:tab/>
      </w:r>
      <w:r w:rsidRPr="007960A1">
        <w:rPr>
          <w:rFonts w:ascii="Century Gothic" w:hAnsi="Century Gothic" w:cs="Arial"/>
          <w:sz w:val="23"/>
          <w:szCs w:val="23"/>
          <w:lang w:val="es-CO"/>
        </w:rPr>
        <w:t xml:space="preserve"> </w:t>
      </w:r>
      <w:r w:rsidR="003A03DD" w:rsidRPr="007960A1">
        <w:rPr>
          <w:rFonts w:ascii="Century Gothic" w:hAnsi="Century Gothic" w:cs="Arial"/>
          <w:b/>
          <w:bCs/>
          <w:sz w:val="23"/>
          <w:szCs w:val="23"/>
          <w:lang w:val="es-CO"/>
        </w:rPr>
        <w:t>DECLARAR</w:t>
      </w:r>
      <w:r w:rsidR="003A03DD" w:rsidRPr="007960A1">
        <w:rPr>
          <w:rFonts w:ascii="Century Gothic" w:hAnsi="Century Gothic" w:cs="Arial"/>
          <w:sz w:val="23"/>
          <w:szCs w:val="23"/>
          <w:lang w:val="es-CO"/>
        </w:rPr>
        <w:t xml:space="preserve"> no probada </w:t>
      </w:r>
      <w:r w:rsidR="00A31E17" w:rsidRPr="007960A1">
        <w:rPr>
          <w:rFonts w:ascii="Century Gothic" w:hAnsi="Century Gothic" w:cs="Arial"/>
          <w:sz w:val="23"/>
          <w:szCs w:val="23"/>
          <w:lang w:val="es-CO"/>
        </w:rPr>
        <w:t>la excepción</w:t>
      </w:r>
      <w:r w:rsidR="003A03DD" w:rsidRPr="007960A1">
        <w:rPr>
          <w:rFonts w:ascii="Century Gothic" w:hAnsi="Century Gothic" w:cs="Arial"/>
          <w:sz w:val="23"/>
          <w:szCs w:val="23"/>
          <w:lang w:val="es-CO"/>
        </w:rPr>
        <w:t xml:space="preserve"> de </w:t>
      </w:r>
      <w:r w:rsidR="003A03DD" w:rsidRPr="007960A1">
        <w:rPr>
          <w:rFonts w:ascii="Century Gothic" w:hAnsi="Century Gothic" w:cs="Arial"/>
          <w:sz w:val="23"/>
          <w:szCs w:val="23"/>
        </w:rPr>
        <w:t>“</w:t>
      </w:r>
      <w:r w:rsidR="00A31E17" w:rsidRPr="007960A1">
        <w:rPr>
          <w:rFonts w:ascii="Century Gothic" w:hAnsi="Century Gothic" w:cs="Arial"/>
          <w:sz w:val="23"/>
          <w:szCs w:val="23"/>
        </w:rPr>
        <w:t xml:space="preserve">ineptitud sustantiva de la demanda” </w:t>
      </w:r>
      <w:r w:rsidR="003A03DD" w:rsidRPr="007960A1">
        <w:rPr>
          <w:rFonts w:ascii="Century Gothic" w:hAnsi="Century Gothic" w:cs="Arial"/>
          <w:sz w:val="23"/>
          <w:szCs w:val="23"/>
        </w:rPr>
        <w:t>conforme a lo indicado en la parte motiva.</w:t>
      </w:r>
    </w:p>
    <w:p w14:paraId="51301951" w14:textId="77777777" w:rsidR="008740B9" w:rsidRPr="007960A1" w:rsidRDefault="008740B9" w:rsidP="007960A1">
      <w:pPr>
        <w:spacing w:line="276" w:lineRule="auto"/>
        <w:ind w:right="45"/>
        <w:jc w:val="both"/>
        <w:textAlignment w:val="baseline"/>
        <w:rPr>
          <w:rFonts w:ascii="Century Gothic" w:hAnsi="Century Gothic" w:cs="Arial"/>
          <w:b/>
          <w:bCs/>
          <w:sz w:val="23"/>
          <w:szCs w:val="23"/>
          <w:lang w:val="es-CO"/>
        </w:rPr>
      </w:pPr>
    </w:p>
    <w:p w14:paraId="18612066" w14:textId="6BE0C473" w:rsidR="003A03DD" w:rsidRPr="007960A1" w:rsidRDefault="008740B9" w:rsidP="007960A1">
      <w:pPr>
        <w:spacing w:line="276" w:lineRule="auto"/>
        <w:ind w:right="45"/>
        <w:jc w:val="both"/>
        <w:textAlignment w:val="baseline"/>
        <w:rPr>
          <w:rFonts w:ascii="Century Gothic" w:hAnsi="Century Gothic" w:cs="Arial"/>
          <w:b/>
          <w:bCs/>
          <w:sz w:val="23"/>
          <w:szCs w:val="23"/>
          <w:lang w:val="es-CO"/>
        </w:rPr>
      </w:pPr>
      <w:r w:rsidRPr="007960A1">
        <w:rPr>
          <w:rFonts w:ascii="Century Gothic" w:hAnsi="Century Gothic" w:cs="Arial"/>
          <w:b/>
          <w:bCs/>
          <w:sz w:val="23"/>
          <w:szCs w:val="23"/>
          <w:lang w:val="es-CO"/>
        </w:rPr>
        <w:t>TERCERO:</w:t>
      </w:r>
      <w:r w:rsidRPr="007960A1">
        <w:rPr>
          <w:rFonts w:ascii="Century Gothic" w:hAnsi="Century Gothic" w:cs="Arial"/>
          <w:b/>
          <w:bCs/>
          <w:sz w:val="23"/>
          <w:szCs w:val="23"/>
          <w:lang w:val="es-CO"/>
        </w:rPr>
        <w:tab/>
      </w:r>
      <w:r w:rsidR="003A03DD" w:rsidRPr="007960A1">
        <w:rPr>
          <w:rFonts w:ascii="Century Gothic" w:hAnsi="Century Gothic" w:cs="Arial"/>
          <w:sz w:val="23"/>
          <w:szCs w:val="23"/>
          <w:lang w:val="es-CO"/>
        </w:rPr>
        <w:t xml:space="preserve"> </w:t>
      </w:r>
      <w:r w:rsidR="00A31E17" w:rsidRPr="007960A1">
        <w:rPr>
          <w:rFonts w:ascii="Century Gothic" w:hAnsi="Century Gothic" w:cs="Segoe UI"/>
          <w:b/>
          <w:bCs/>
          <w:sz w:val="23"/>
          <w:szCs w:val="23"/>
          <w:lang w:val="es-CO" w:eastAsia="es-CO"/>
        </w:rPr>
        <w:t>RECONOCER PERSONERÍA</w:t>
      </w:r>
      <w:r w:rsidR="00A31E17" w:rsidRPr="007960A1">
        <w:rPr>
          <w:rFonts w:ascii="Century Gothic" w:hAnsi="Century Gothic" w:cs="Segoe UI"/>
          <w:sz w:val="23"/>
          <w:szCs w:val="23"/>
          <w:lang w:val="es-CO" w:eastAsia="es-CO"/>
        </w:rPr>
        <w:t xml:space="preserve"> </w:t>
      </w:r>
      <w:r w:rsidR="00A31E17" w:rsidRPr="007960A1">
        <w:rPr>
          <w:rFonts w:ascii="Century Gothic" w:hAnsi="Century Gothic" w:cs="Arial"/>
          <w:sz w:val="23"/>
          <w:szCs w:val="23"/>
        </w:rPr>
        <w:t xml:space="preserve">a la abogada Eliana Patricia Quintero García para actuar como apoderada sustituta de la parte demandante, </w:t>
      </w:r>
      <w:r w:rsidR="00A31E17" w:rsidRPr="007960A1">
        <w:rPr>
          <w:rFonts w:ascii="Century Gothic" w:hAnsi="Century Gothic" w:cs="Arial"/>
          <w:sz w:val="23"/>
          <w:szCs w:val="23"/>
          <w:lang w:val="es-CO"/>
        </w:rPr>
        <w:t>en los términos de la sustitución de poder allegado al expediente.</w:t>
      </w:r>
    </w:p>
    <w:p w14:paraId="13D44B24" w14:textId="77777777" w:rsidR="008740B9" w:rsidRPr="007960A1" w:rsidRDefault="008740B9" w:rsidP="007960A1">
      <w:pPr>
        <w:spacing w:line="276" w:lineRule="auto"/>
        <w:ind w:right="45"/>
        <w:jc w:val="both"/>
        <w:textAlignment w:val="baseline"/>
        <w:rPr>
          <w:rFonts w:ascii="Century Gothic" w:hAnsi="Century Gothic" w:cs="Segoe UI"/>
          <w:b/>
          <w:bCs/>
          <w:sz w:val="23"/>
          <w:szCs w:val="23"/>
          <w:lang w:val="es-CO" w:eastAsia="es-CO"/>
        </w:rPr>
      </w:pPr>
    </w:p>
    <w:p w14:paraId="73DCF894" w14:textId="6653AF52" w:rsidR="008740B9" w:rsidRPr="007960A1" w:rsidRDefault="008740B9" w:rsidP="007960A1">
      <w:pPr>
        <w:spacing w:line="276" w:lineRule="auto"/>
        <w:ind w:right="45"/>
        <w:jc w:val="both"/>
        <w:textAlignment w:val="baseline"/>
        <w:rPr>
          <w:rFonts w:ascii="Century Gothic" w:hAnsi="Century Gothic" w:cs="Arial"/>
          <w:b/>
          <w:bCs/>
          <w:sz w:val="23"/>
          <w:szCs w:val="23"/>
          <w:lang w:val="es-CO"/>
        </w:rPr>
      </w:pPr>
      <w:r w:rsidRPr="007960A1">
        <w:rPr>
          <w:rFonts w:ascii="Century Gothic" w:hAnsi="Century Gothic" w:cs="Segoe UI"/>
          <w:b/>
          <w:bCs/>
          <w:sz w:val="23"/>
          <w:szCs w:val="23"/>
          <w:lang w:eastAsia="es-CO"/>
        </w:rPr>
        <w:t>CUARTO:</w:t>
      </w:r>
      <w:r w:rsidRPr="007960A1">
        <w:rPr>
          <w:rFonts w:ascii="Century Gothic" w:hAnsi="Century Gothic"/>
          <w:sz w:val="23"/>
          <w:szCs w:val="23"/>
        </w:rPr>
        <w:tab/>
      </w:r>
      <w:r w:rsidRPr="007960A1">
        <w:rPr>
          <w:rFonts w:ascii="Century Gothic" w:hAnsi="Century Gothic" w:cs="Arial"/>
          <w:sz w:val="23"/>
          <w:szCs w:val="23"/>
          <w:lang w:val="es-CO"/>
        </w:rPr>
        <w:t xml:space="preserve"> </w:t>
      </w:r>
      <w:r w:rsidR="00A31E17" w:rsidRPr="007960A1">
        <w:rPr>
          <w:rFonts w:ascii="Century Gothic" w:hAnsi="Century Gothic" w:cs="Segoe UI"/>
          <w:b/>
          <w:bCs/>
          <w:sz w:val="23"/>
          <w:szCs w:val="23"/>
          <w:lang w:val="es-CO" w:eastAsia="es-CO"/>
        </w:rPr>
        <w:t>RECONOCER PERSONERÍA</w:t>
      </w:r>
      <w:r w:rsidR="00A31E17" w:rsidRPr="007960A1">
        <w:rPr>
          <w:rFonts w:ascii="Century Gothic" w:hAnsi="Century Gothic" w:cs="Segoe UI"/>
          <w:sz w:val="23"/>
          <w:szCs w:val="23"/>
          <w:lang w:val="es-CO" w:eastAsia="es-CO"/>
        </w:rPr>
        <w:t xml:space="preserve"> </w:t>
      </w:r>
      <w:r w:rsidR="00A31E17" w:rsidRPr="007960A1">
        <w:rPr>
          <w:rFonts w:ascii="Century Gothic" w:hAnsi="Century Gothic" w:cs="Arial"/>
          <w:sz w:val="23"/>
          <w:szCs w:val="23"/>
        </w:rPr>
        <w:t xml:space="preserve">al abogado Ernesto Ramírez Avellaneda para actuar como apoderado del </w:t>
      </w:r>
      <w:r w:rsidR="00A31E17" w:rsidRPr="007960A1">
        <w:rPr>
          <w:rFonts w:ascii="Century Gothic" w:hAnsi="Century Gothic"/>
          <w:bCs/>
          <w:spacing w:val="-3"/>
          <w:sz w:val="23"/>
          <w:szCs w:val="23"/>
        </w:rPr>
        <w:t>Instituto Distrital de Recreación y Deporte – IDRD</w:t>
      </w:r>
      <w:r w:rsidR="00A31E17" w:rsidRPr="007960A1">
        <w:rPr>
          <w:rFonts w:ascii="Century Gothic" w:hAnsi="Century Gothic" w:cs="Arial"/>
          <w:sz w:val="23"/>
          <w:szCs w:val="23"/>
          <w:lang w:val="es-CO"/>
        </w:rPr>
        <w:t xml:space="preserve"> en los términos del poder allegado al expediente.</w:t>
      </w:r>
    </w:p>
    <w:p w14:paraId="7F394238" w14:textId="77777777" w:rsidR="008740B9" w:rsidRPr="007960A1" w:rsidRDefault="008740B9" w:rsidP="007960A1">
      <w:pPr>
        <w:spacing w:line="276" w:lineRule="auto"/>
        <w:ind w:right="45"/>
        <w:jc w:val="both"/>
        <w:textAlignment w:val="baseline"/>
        <w:rPr>
          <w:rFonts w:ascii="Century Gothic" w:hAnsi="Century Gothic"/>
          <w:b/>
          <w:sz w:val="23"/>
          <w:szCs w:val="23"/>
        </w:rPr>
      </w:pPr>
    </w:p>
    <w:p w14:paraId="7F36D92D" w14:textId="1D280ABE" w:rsidR="00A31E17" w:rsidRPr="007960A1" w:rsidRDefault="003A03DD" w:rsidP="007960A1">
      <w:pPr>
        <w:spacing w:line="276" w:lineRule="auto"/>
        <w:ind w:right="45"/>
        <w:jc w:val="both"/>
        <w:textAlignment w:val="baseline"/>
        <w:rPr>
          <w:rFonts w:ascii="Century Gothic" w:hAnsi="Century Gothic"/>
          <w:b/>
          <w:sz w:val="23"/>
          <w:szCs w:val="23"/>
        </w:rPr>
      </w:pPr>
      <w:r w:rsidRPr="007960A1">
        <w:rPr>
          <w:rFonts w:ascii="Century Gothic" w:hAnsi="Century Gothic"/>
          <w:b/>
          <w:bCs/>
          <w:sz w:val="23"/>
          <w:szCs w:val="23"/>
        </w:rPr>
        <w:t>QUINTO</w:t>
      </w:r>
      <w:r w:rsidR="008740B9" w:rsidRPr="007960A1">
        <w:rPr>
          <w:rFonts w:ascii="Century Gothic" w:hAnsi="Century Gothic"/>
          <w:b/>
          <w:bCs/>
          <w:sz w:val="23"/>
          <w:szCs w:val="23"/>
        </w:rPr>
        <w:t xml:space="preserve">: </w:t>
      </w:r>
      <w:r w:rsidR="008740B9" w:rsidRPr="007960A1">
        <w:rPr>
          <w:rFonts w:ascii="Century Gothic" w:hAnsi="Century Gothic"/>
          <w:b/>
          <w:sz w:val="23"/>
          <w:szCs w:val="23"/>
        </w:rPr>
        <w:tab/>
      </w:r>
      <w:r w:rsidR="00A31E17" w:rsidRPr="007960A1">
        <w:rPr>
          <w:rFonts w:ascii="Century Gothic" w:hAnsi="Century Gothic"/>
          <w:sz w:val="23"/>
          <w:szCs w:val="23"/>
        </w:rPr>
        <w:t xml:space="preserve">Ejecutoriada la presente decisión, </w:t>
      </w:r>
      <w:r w:rsidR="00A31E17" w:rsidRPr="007960A1">
        <w:rPr>
          <w:rFonts w:ascii="Century Gothic" w:hAnsi="Century Gothic"/>
          <w:b/>
          <w:bCs/>
          <w:sz w:val="23"/>
          <w:szCs w:val="23"/>
        </w:rPr>
        <w:t xml:space="preserve">INGRESAR </w:t>
      </w:r>
      <w:r w:rsidR="00A31E17" w:rsidRPr="007960A1">
        <w:rPr>
          <w:rFonts w:ascii="Century Gothic" w:hAnsi="Century Gothic"/>
          <w:sz w:val="23"/>
          <w:szCs w:val="23"/>
        </w:rPr>
        <w:t>el expediente de manera inmediata para continuar con la actuación procesal correspondiente.</w:t>
      </w:r>
    </w:p>
    <w:p w14:paraId="23B69D5A" w14:textId="77777777" w:rsidR="00A31E17" w:rsidRPr="007960A1" w:rsidRDefault="00A31E17" w:rsidP="007960A1">
      <w:pPr>
        <w:spacing w:line="276" w:lineRule="auto"/>
        <w:ind w:right="45"/>
        <w:jc w:val="both"/>
        <w:textAlignment w:val="baseline"/>
        <w:rPr>
          <w:rFonts w:ascii="Century Gothic" w:hAnsi="Century Gothic"/>
          <w:b/>
          <w:sz w:val="23"/>
          <w:szCs w:val="23"/>
        </w:rPr>
      </w:pPr>
    </w:p>
    <w:p w14:paraId="7FF87621" w14:textId="2898513D" w:rsidR="008740B9" w:rsidRPr="007960A1" w:rsidRDefault="00A31E17" w:rsidP="007960A1">
      <w:pPr>
        <w:spacing w:line="276" w:lineRule="auto"/>
        <w:ind w:right="45"/>
        <w:jc w:val="both"/>
        <w:textAlignment w:val="baseline"/>
        <w:rPr>
          <w:rFonts w:ascii="Century Gothic" w:hAnsi="Century Gothic"/>
          <w:b/>
          <w:sz w:val="23"/>
          <w:szCs w:val="23"/>
        </w:rPr>
      </w:pPr>
      <w:r w:rsidRPr="007960A1">
        <w:rPr>
          <w:rFonts w:ascii="Century Gothic" w:hAnsi="Century Gothic"/>
          <w:b/>
          <w:sz w:val="23"/>
          <w:szCs w:val="23"/>
        </w:rPr>
        <w:t xml:space="preserve">SEXTO:       </w:t>
      </w:r>
      <w:r w:rsidR="008740B9" w:rsidRPr="007960A1">
        <w:rPr>
          <w:rFonts w:ascii="Century Gothic" w:hAnsi="Century Gothic"/>
          <w:b/>
          <w:bCs/>
          <w:color w:val="000000"/>
          <w:sz w:val="23"/>
          <w:szCs w:val="23"/>
          <w:shd w:val="clear" w:color="auto" w:fill="FFFFFF"/>
        </w:rPr>
        <w:t>NOTIFICAR</w:t>
      </w:r>
      <w:r w:rsidR="008740B9" w:rsidRPr="007960A1">
        <w:rPr>
          <w:rFonts w:ascii="Century Gothic" w:eastAsia="Century Gothic" w:hAnsi="Century Gothic" w:cs="Century Gothic"/>
          <w:b/>
          <w:bCs/>
          <w:sz w:val="23"/>
          <w:szCs w:val="23"/>
          <w:lang w:eastAsia="es-CO"/>
        </w:rPr>
        <w:t xml:space="preserve"> </w:t>
      </w:r>
      <w:r w:rsidR="008740B9" w:rsidRPr="007960A1">
        <w:rPr>
          <w:rFonts w:ascii="Century Gothic" w:eastAsia="Century Gothic" w:hAnsi="Century Gothic" w:cs="Century Gothic"/>
          <w:sz w:val="23"/>
          <w:szCs w:val="23"/>
          <w:lang w:eastAsia="es-CO"/>
        </w:rPr>
        <w:t>por secretaría la presente decisión a las partes y al Ministerio Público conformidad con lo dispuesto en el artículo 201 de la Ley 1437 de 2011, a los correos electrónicos</w:t>
      </w:r>
      <w:r w:rsidR="00AF72A7" w:rsidRPr="007960A1">
        <w:rPr>
          <w:rFonts w:ascii="Century Gothic" w:eastAsia="Century Gothic" w:hAnsi="Century Gothic" w:cs="Century Gothic"/>
          <w:sz w:val="23"/>
          <w:szCs w:val="23"/>
          <w:lang w:eastAsia="es-CO"/>
        </w:rPr>
        <w:t xml:space="preserve"> de SAMAI.</w:t>
      </w:r>
    </w:p>
    <w:p w14:paraId="79D8C5C6" w14:textId="77777777" w:rsidR="008740B9" w:rsidRPr="007960A1" w:rsidRDefault="008740B9" w:rsidP="007960A1">
      <w:pPr>
        <w:tabs>
          <w:tab w:val="left" w:pos="0"/>
        </w:tabs>
        <w:spacing w:line="276" w:lineRule="auto"/>
        <w:jc w:val="both"/>
        <w:rPr>
          <w:rFonts w:ascii="Century Gothic" w:hAnsi="Century Gothic" w:cs="Arial"/>
          <w:b/>
          <w:bCs/>
          <w:sz w:val="23"/>
          <w:szCs w:val="23"/>
        </w:rPr>
      </w:pPr>
    </w:p>
    <w:p w14:paraId="0C282B74" w14:textId="77777777" w:rsidR="008740B9" w:rsidRPr="007960A1" w:rsidRDefault="008740B9" w:rsidP="007960A1">
      <w:pPr>
        <w:tabs>
          <w:tab w:val="left" w:pos="0"/>
        </w:tabs>
        <w:spacing w:line="276" w:lineRule="auto"/>
        <w:jc w:val="both"/>
        <w:rPr>
          <w:rFonts w:ascii="Century Gothic" w:hAnsi="Century Gothic" w:cs="Arial"/>
          <w:b/>
          <w:bCs/>
          <w:sz w:val="23"/>
          <w:szCs w:val="23"/>
        </w:rPr>
      </w:pPr>
      <w:r w:rsidRPr="007960A1">
        <w:rPr>
          <w:rFonts w:ascii="Century Gothic" w:hAnsi="Century Gothic" w:cs="Arial"/>
          <w:b/>
          <w:bCs/>
          <w:sz w:val="23"/>
          <w:szCs w:val="23"/>
        </w:rPr>
        <w:t>NOTIFÍQUESE Y CÚMPLASE</w:t>
      </w:r>
    </w:p>
    <w:p w14:paraId="7C17B19E" w14:textId="77777777" w:rsidR="008740B9" w:rsidRPr="007960A1" w:rsidRDefault="008740B9" w:rsidP="007960A1">
      <w:pPr>
        <w:tabs>
          <w:tab w:val="left" w:pos="0"/>
        </w:tabs>
        <w:spacing w:line="276" w:lineRule="auto"/>
        <w:jc w:val="both"/>
        <w:rPr>
          <w:rFonts w:ascii="Century Gothic" w:hAnsi="Century Gothic" w:cs="Arial"/>
          <w:b/>
          <w:sz w:val="23"/>
          <w:szCs w:val="23"/>
        </w:rPr>
      </w:pPr>
    </w:p>
    <w:p w14:paraId="3405E83F" w14:textId="77777777" w:rsidR="008740B9" w:rsidRPr="007960A1" w:rsidRDefault="008740B9" w:rsidP="007960A1">
      <w:pPr>
        <w:tabs>
          <w:tab w:val="left" w:pos="3720"/>
        </w:tabs>
        <w:spacing w:line="276" w:lineRule="auto"/>
        <w:rPr>
          <w:rFonts w:ascii="Century Gothic" w:hAnsi="Century Gothic" w:cs="Arial"/>
          <w:b/>
          <w:bCs/>
          <w:sz w:val="23"/>
          <w:szCs w:val="23"/>
        </w:rPr>
      </w:pPr>
    </w:p>
    <w:p w14:paraId="12884F40" w14:textId="77777777" w:rsidR="007B12CB" w:rsidRPr="007960A1" w:rsidRDefault="007B12CB" w:rsidP="007960A1">
      <w:pPr>
        <w:tabs>
          <w:tab w:val="left" w:pos="3720"/>
        </w:tabs>
        <w:spacing w:line="276" w:lineRule="auto"/>
        <w:rPr>
          <w:rFonts w:ascii="Century Gothic" w:hAnsi="Century Gothic" w:cs="Arial"/>
          <w:b/>
          <w:bCs/>
          <w:sz w:val="23"/>
          <w:szCs w:val="23"/>
        </w:rPr>
      </w:pPr>
    </w:p>
    <w:p w14:paraId="61AB7773" w14:textId="77777777" w:rsidR="008740B9" w:rsidRPr="007960A1" w:rsidRDefault="008740B9" w:rsidP="007960A1">
      <w:pPr>
        <w:tabs>
          <w:tab w:val="left" w:pos="3720"/>
        </w:tabs>
        <w:spacing w:line="276" w:lineRule="auto"/>
        <w:ind w:firstLine="708"/>
        <w:jc w:val="center"/>
        <w:rPr>
          <w:rFonts w:ascii="Century Gothic" w:hAnsi="Century Gothic" w:cs="Arial"/>
          <w:b/>
          <w:bCs/>
          <w:sz w:val="23"/>
          <w:szCs w:val="23"/>
        </w:rPr>
      </w:pPr>
      <w:r w:rsidRPr="007960A1">
        <w:rPr>
          <w:rFonts w:ascii="Century Gothic" w:hAnsi="Century Gothic" w:cs="Arial"/>
          <w:b/>
          <w:bCs/>
          <w:sz w:val="23"/>
          <w:szCs w:val="23"/>
        </w:rPr>
        <w:t>John Alexander Ceballos Gaviria</w:t>
      </w:r>
    </w:p>
    <w:p w14:paraId="0A126A52" w14:textId="77777777" w:rsidR="008740B9" w:rsidRPr="007960A1" w:rsidRDefault="008740B9" w:rsidP="007960A1">
      <w:pPr>
        <w:spacing w:line="276" w:lineRule="auto"/>
        <w:jc w:val="center"/>
        <w:rPr>
          <w:rFonts w:ascii="Century Gothic" w:hAnsi="Century Gothic" w:cs="Arial"/>
          <w:b/>
          <w:sz w:val="23"/>
          <w:szCs w:val="23"/>
        </w:rPr>
      </w:pPr>
      <w:r w:rsidRPr="007960A1">
        <w:rPr>
          <w:rFonts w:ascii="Century Gothic" w:hAnsi="Century Gothic" w:cs="Arial"/>
          <w:b/>
          <w:sz w:val="23"/>
          <w:szCs w:val="23"/>
        </w:rPr>
        <w:t>JUEZ</w:t>
      </w:r>
    </w:p>
    <w:p w14:paraId="7F8582B5" w14:textId="77777777" w:rsidR="008740B9" w:rsidRPr="00473014" w:rsidRDefault="008740B9" w:rsidP="00642FE2">
      <w:pPr>
        <w:spacing w:line="276" w:lineRule="auto"/>
        <w:rPr>
          <w:rFonts w:ascii="Century Gothic" w:hAnsi="Century Gothic" w:cs="Arial"/>
          <w:sz w:val="22"/>
          <w:szCs w:val="22"/>
        </w:rPr>
      </w:pPr>
    </w:p>
    <w:p w14:paraId="3FF45F6D" w14:textId="77777777" w:rsidR="008740B9" w:rsidRPr="00E70A07" w:rsidRDefault="008740B9" w:rsidP="00642FE2">
      <w:pPr>
        <w:spacing w:line="276" w:lineRule="auto"/>
        <w:rPr>
          <w:rFonts w:ascii="Century Gothic" w:hAnsi="Century Gothic"/>
          <w:sz w:val="16"/>
          <w:szCs w:val="16"/>
        </w:rPr>
      </w:pPr>
      <w:r w:rsidRPr="00E70A07">
        <w:rPr>
          <w:rFonts w:ascii="Century Gothic" w:hAnsi="Century Gothic" w:cs="Arial"/>
          <w:sz w:val="16"/>
          <w:szCs w:val="16"/>
        </w:rPr>
        <w:t xml:space="preserve">AS </w:t>
      </w:r>
    </w:p>
    <w:p w14:paraId="1CFDB43D" w14:textId="77777777" w:rsidR="008740B9" w:rsidRPr="00473014" w:rsidRDefault="008740B9" w:rsidP="00642FE2">
      <w:pPr>
        <w:spacing w:line="276" w:lineRule="auto"/>
        <w:rPr>
          <w:rFonts w:ascii="Century Gothic" w:hAnsi="Century Gothic"/>
          <w:sz w:val="22"/>
          <w:szCs w:val="22"/>
        </w:rPr>
      </w:pPr>
    </w:p>
    <w:p w14:paraId="4BF84141" w14:textId="77777777" w:rsidR="008740B9" w:rsidRDefault="008740B9" w:rsidP="00642FE2">
      <w:pPr>
        <w:spacing w:line="276" w:lineRule="auto"/>
      </w:pPr>
    </w:p>
    <w:p w14:paraId="1794AE6C" w14:textId="77777777" w:rsidR="003D23AF" w:rsidRDefault="003D23AF" w:rsidP="00642FE2">
      <w:pPr>
        <w:spacing w:line="276" w:lineRule="auto"/>
      </w:pPr>
    </w:p>
    <w:sectPr w:rsidR="003D23AF" w:rsidSect="008740B9">
      <w:pgSz w:w="12240" w:h="18720" w:code="14"/>
      <w:pgMar w:top="1417" w:right="1701" w:bottom="1417" w:left="1701" w:header="709" w:footer="709" w:gutter="0"/>
      <w:paperSrc w:first="1" w:other="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D3DF3"/>
    <w:multiLevelType w:val="hybridMultilevel"/>
    <w:tmpl w:val="6E6A4192"/>
    <w:lvl w:ilvl="0" w:tplc="240A0019">
      <w:start w:val="1"/>
      <w:numFmt w:val="lowerLetter"/>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1FA2AAF"/>
    <w:multiLevelType w:val="multilevel"/>
    <w:tmpl w:val="68FCF20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9F61406"/>
    <w:multiLevelType w:val="multilevel"/>
    <w:tmpl w:val="8AF43F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952247451">
    <w:abstractNumId w:val="0"/>
  </w:num>
  <w:num w:numId="2" w16cid:durableId="1410231655">
    <w:abstractNumId w:val="2"/>
  </w:num>
  <w:num w:numId="3" w16cid:durableId="576788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88"/>
    <w:rsid w:val="00024121"/>
    <w:rsid w:val="001011E8"/>
    <w:rsid w:val="00127345"/>
    <w:rsid w:val="00152A37"/>
    <w:rsid w:val="00210203"/>
    <w:rsid w:val="00302FA1"/>
    <w:rsid w:val="003858BF"/>
    <w:rsid w:val="00386185"/>
    <w:rsid w:val="003864D4"/>
    <w:rsid w:val="003A03DD"/>
    <w:rsid w:val="003D23AF"/>
    <w:rsid w:val="0057642B"/>
    <w:rsid w:val="005975F3"/>
    <w:rsid w:val="005B21EC"/>
    <w:rsid w:val="00642FE2"/>
    <w:rsid w:val="00664E8A"/>
    <w:rsid w:val="006949D6"/>
    <w:rsid w:val="00721E48"/>
    <w:rsid w:val="00751F64"/>
    <w:rsid w:val="00756413"/>
    <w:rsid w:val="00790554"/>
    <w:rsid w:val="007960A1"/>
    <w:rsid w:val="007A559A"/>
    <w:rsid w:val="007B12CB"/>
    <w:rsid w:val="007E7942"/>
    <w:rsid w:val="0080674F"/>
    <w:rsid w:val="00853FA2"/>
    <w:rsid w:val="00861EC1"/>
    <w:rsid w:val="008740B9"/>
    <w:rsid w:val="009A57E6"/>
    <w:rsid w:val="009F23CF"/>
    <w:rsid w:val="00A31E17"/>
    <w:rsid w:val="00AE72A7"/>
    <w:rsid w:val="00AF1F06"/>
    <w:rsid w:val="00AF72A7"/>
    <w:rsid w:val="00CA4CDC"/>
    <w:rsid w:val="00CF349E"/>
    <w:rsid w:val="00E43AF8"/>
    <w:rsid w:val="00E509A3"/>
    <w:rsid w:val="00F35B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85667"/>
  <w15:chartTrackingRefBased/>
  <w15:docId w15:val="{60178206-05A0-40B7-ABF1-98DA8BF7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0B9"/>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F35B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35B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35B8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35B8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35B8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35B88"/>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35B88"/>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35B88"/>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35B88"/>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5B8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35B8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35B8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35B8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35B8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35B8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35B8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35B8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35B88"/>
    <w:rPr>
      <w:rFonts w:eastAsiaTheme="majorEastAsia" w:cstheme="majorBidi"/>
      <w:color w:val="272727" w:themeColor="text1" w:themeTint="D8"/>
    </w:rPr>
  </w:style>
  <w:style w:type="paragraph" w:styleId="Ttulo">
    <w:name w:val="Title"/>
    <w:basedOn w:val="Normal"/>
    <w:next w:val="Normal"/>
    <w:link w:val="TtuloCar"/>
    <w:uiPriority w:val="10"/>
    <w:qFormat/>
    <w:rsid w:val="00F35B88"/>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35B8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35B8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35B8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35B88"/>
    <w:pPr>
      <w:spacing w:before="160"/>
      <w:jc w:val="center"/>
    </w:pPr>
    <w:rPr>
      <w:i/>
      <w:iCs/>
      <w:color w:val="404040" w:themeColor="text1" w:themeTint="BF"/>
    </w:rPr>
  </w:style>
  <w:style w:type="character" w:customStyle="1" w:styleId="CitaCar">
    <w:name w:val="Cita Car"/>
    <w:basedOn w:val="Fuentedeprrafopredeter"/>
    <w:link w:val="Cita"/>
    <w:uiPriority w:val="29"/>
    <w:rsid w:val="00F35B88"/>
    <w:rPr>
      <w:i/>
      <w:iCs/>
      <w:color w:val="404040" w:themeColor="text1" w:themeTint="BF"/>
    </w:rPr>
  </w:style>
  <w:style w:type="paragraph" w:styleId="Prrafodelista">
    <w:name w:val="List Paragraph"/>
    <w:basedOn w:val="Normal"/>
    <w:uiPriority w:val="34"/>
    <w:qFormat/>
    <w:rsid w:val="00F35B88"/>
    <w:pPr>
      <w:ind w:left="720"/>
      <w:contextualSpacing/>
    </w:pPr>
  </w:style>
  <w:style w:type="character" w:styleId="nfasisintenso">
    <w:name w:val="Intense Emphasis"/>
    <w:basedOn w:val="Fuentedeprrafopredeter"/>
    <w:uiPriority w:val="21"/>
    <w:qFormat/>
    <w:rsid w:val="00F35B88"/>
    <w:rPr>
      <w:i/>
      <w:iCs/>
      <w:color w:val="0F4761" w:themeColor="accent1" w:themeShade="BF"/>
    </w:rPr>
  </w:style>
  <w:style w:type="paragraph" w:styleId="Citadestacada">
    <w:name w:val="Intense Quote"/>
    <w:basedOn w:val="Normal"/>
    <w:next w:val="Normal"/>
    <w:link w:val="CitadestacadaCar"/>
    <w:uiPriority w:val="30"/>
    <w:qFormat/>
    <w:rsid w:val="00F35B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35B88"/>
    <w:rPr>
      <w:i/>
      <w:iCs/>
      <w:color w:val="0F4761" w:themeColor="accent1" w:themeShade="BF"/>
    </w:rPr>
  </w:style>
  <w:style w:type="character" w:styleId="Referenciaintensa">
    <w:name w:val="Intense Reference"/>
    <w:basedOn w:val="Fuentedeprrafopredeter"/>
    <w:uiPriority w:val="32"/>
    <w:qFormat/>
    <w:rsid w:val="00F35B88"/>
    <w:rPr>
      <w:b/>
      <w:bCs/>
      <w:smallCaps/>
      <w:color w:val="0F4761" w:themeColor="accent1" w:themeShade="BF"/>
      <w:spacing w:val="5"/>
    </w:rPr>
  </w:style>
  <w:style w:type="paragraph" w:styleId="Textoindependiente2">
    <w:name w:val="Body Text 2"/>
    <w:basedOn w:val="Normal"/>
    <w:link w:val="Textoindependiente2Car"/>
    <w:uiPriority w:val="99"/>
    <w:unhideWhenUsed/>
    <w:rsid w:val="008740B9"/>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8740B9"/>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8740B9"/>
    <w:pPr>
      <w:spacing w:before="100" w:beforeAutospacing="1" w:after="100" w:afterAutospacing="1"/>
    </w:pPr>
    <w:rPr>
      <w:lang w:val="es-CO" w:eastAsia="es-CO"/>
    </w:rPr>
  </w:style>
  <w:style w:type="character" w:customStyle="1" w:styleId="normaltextrun">
    <w:name w:val="normaltextrun"/>
    <w:basedOn w:val="Fuentedeprrafopredeter"/>
    <w:rsid w:val="008740B9"/>
  </w:style>
  <w:style w:type="character" w:customStyle="1" w:styleId="eop">
    <w:name w:val="eop"/>
    <w:basedOn w:val="Fuentedeprrafopredeter"/>
    <w:rsid w:val="008740B9"/>
  </w:style>
  <w:style w:type="character" w:styleId="Hipervnculo">
    <w:name w:val="Hyperlink"/>
    <w:basedOn w:val="Fuentedeprrafopredeter"/>
    <w:uiPriority w:val="99"/>
    <w:unhideWhenUsed/>
    <w:rsid w:val="008740B9"/>
    <w:rPr>
      <w:color w:val="467886" w:themeColor="hyperlink"/>
      <w:u w:val="single"/>
    </w:rPr>
  </w:style>
  <w:style w:type="table" w:styleId="Tablaconcuadrcula">
    <w:name w:val="Table Grid"/>
    <w:basedOn w:val="Tablanormal"/>
    <w:uiPriority w:val="39"/>
    <w:rsid w:val="008740B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uentedeprrafopredeter"/>
    <w:rsid w:val="00874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A1D2D2-93C9-49A3-AEA5-ACE5E376A4E6}">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F1C56A74-E0E9-46D7-A8C7-2B23C8B0A712}">
  <ds:schemaRefs>
    <ds:schemaRef ds:uri="http://schemas.microsoft.com/sharepoint/v3/contenttype/forms"/>
  </ds:schemaRefs>
</ds:datastoreItem>
</file>

<file path=customXml/itemProps3.xml><?xml version="1.0" encoding="utf-8"?>
<ds:datastoreItem xmlns:ds="http://schemas.openxmlformats.org/officeDocument/2006/customXml" ds:itemID="{9D471ACC-14A0-469A-814C-C9D618A2F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725</Words>
  <Characters>3989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John Ceballos</cp:lastModifiedBy>
  <cp:revision>37</cp:revision>
  <dcterms:created xsi:type="dcterms:W3CDTF">2024-05-27T16:06:00Z</dcterms:created>
  <dcterms:modified xsi:type="dcterms:W3CDTF">2024-05-27T20:46:00Z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