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DB75" w14:textId="77777777" w:rsidR="00FC6E07" w:rsidRPr="00EA7EEF" w:rsidRDefault="00FC6E07" w:rsidP="00FC6E07">
      <w:pPr>
        <w:tabs>
          <w:tab w:val="center" w:pos="3985"/>
        </w:tabs>
        <w:suppressAutoHyphens/>
        <w:spacing w:after="0" w:line="240" w:lineRule="auto"/>
        <w:jc w:val="center"/>
        <w:rPr>
          <w:rFonts w:ascii="Century Gothic" w:eastAsia="Times New Roman" w:hAnsi="Century Gothic" w:cs="Arial"/>
          <w:b/>
          <w:lang w:val="es-ES" w:eastAsia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7EEF">
        <w:rPr>
          <w:noProof/>
        </w:rPr>
        <w:drawing>
          <wp:anchor distT="0" distB="0" distL="114300" distR="114300" simplePos="0" relativeHeight="251659264" behindDoc="0" locked="0" layoutInCell="1" allowOverlap="1" wp14:anchorId="1FDC2C43" wp14:editId="5C9AD6E3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7EEF">
        <w:rPr>
          <w:rFonts w:ascii="Century Gothic" w:eastAsia="Times New Roman" w:hAnsi="Century Gothic" w:cs="Arial"/>
          <w:b/>
          <w:lang w:val="es-MX" w:eastAsia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41C7D28C" w14:textId="77777777" w:rsidR="00FC6E07" w:rsidRPr="00EA7EEF" w:rsidRDefault="00FC6E07" w:rsidP="00FC6E07">
      <w:pPr>
        <w:tabs>
          <w:tab w:val="center" w:pos="3985"/>
        </w:tabs>
        <w:suppressAutoHyphens/>
        <w:spacing w:after="0" w:line="240" w:lineRule="auto"/>
        <w:jc w:val="center"/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7EEF">
        <w:rPr>
          <w:rFonts w:ascii="Century Gothic" w:eastAsia="Times New Roman" w:hAnsi="Century Gothic" w:cs="Arial"/>
          <w:lang w:val="es-ES_tradnl" w:eastAsia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A7EEF"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7EEF"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7EEF"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7EEF"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29E523CC" w14:textId="1399D7AE" w:rsidR="00FC6E07" w:rsidRPr="00EA7EEF" w:rsidRDefault="00FC6E07" w:rsidP="007C4524">
      <w:pPr>
        <w:tabs>
          <w:tab w:val="center" w:pos="3985"/>
        </w:tabs>
        <w:suppressAutoHyphens/>
        <w:spacing w:after="0" w:line="276" w:lineRule="auto"/>
        <w:rPr>
          <w:rFonts w:ascii="Century Gothic" w:eastAsia="Times New Roman" w:hAnsi="Century Gothic" w:cs="Arial"/>
          <w:lang w:val="es-ES" w:eastAsia="es-ES"/>
        </w:rPr>
      </w:pPr>
      <w:r w:rsidRPr="00EA7EEF">
        <w:rPr>
          <w:rFonts w:ascii="Century Gothic" w:eastAsia="Times New Roman" w:hAnsi="Century Gothic" w:cs="Arial"/>
          <w:lang w:val="es-ES" w:eastAsia="es-ES"/>
        </w:rPr>
        <w:t>Bogotá D.C., Veinti</w:t>
      </w:r>
      <w:r w:rsidR="00530F0D">
        <w:rPr>
          <w:rFonts w:ascii="Century Gothic" w:eastAsia="Times New Roman" w:hAnsi="Century Gothic" w:cs="Arial"/>
          <w:lang w:val="es-ES" w:eastAsia="es-ES"/>
        </w:rPr>
        <w:t>nueve</w:t>
      </w:r>
      <w:r w:rsidRPr="00EA7EEF">
        <w:rPr>
          <w:rFonts w:ascii="Century Gothic" w:eastAsia="Times New Roman" w:hAnsi="Century Gothic" w:cs="Arial"/>
          <w:lang w:val="es-ES" w:eastAsia="es-ES"/>
        </w:rPr>
        <w:t xml:space="preserve"> (2</w:t>
      </w:r>
      <w:r w:rsidR="00530F0D">
        <w:rPr>
          <w:rFonts w:ascii="Century Gothic" w:eastAsia="Times New Roman" w:hAnsi="Century Gothic" w:cs="Arial"/>
          <w:lang w:val="es-ES" w:eastAsia="es-ES"/>
        </w:rPr>
        <w:t>9</w:t>
      </w:r>
      <w:r w:rsidRPr="00EA7EEF">
        <w:rPr>
          <w:rFonts w:ascii="Century Gothic" w:eastAsia="Times New Roman" w:hAnsi="Century Gothic" w:cs="Arial"/>
          <w:lang w:val="es-ES" w:eastAsia="es-ES"/>
        </w:rPr>
        <w:t>) de Mayo de dos mil veinticuatro (2024).</w:t>
      </w:r>
    </w:p>
    <w:p w14:paraId="569B01E7" w14:textId="77777777" w:rsidR="00FC6E07" w:rsidRPr="00EA7EEF" w:rsidRDefault="00FC6E07" w:rsidP="007C4524">
      <w:pPr>
        <w:tabs>
          <w:tab w:val="center" w:pos="3985"/>
        </w:tabs>
        <w:suppressAutoHyphens/>
        <w:spacing w:after="0" w:line="276" w:lineRule="auto"/>
        <w:rPr>
          <w:rFonts w:ascii="Century Gothic" w:eastAsia="Times New Roman" w:hAnsi="Century Gothic" w:cs="Arial"/>
          <w:b/>
          <w:spacing w:val="-4"/>
          <w:lang w:val="es-ES_tradnl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</w:tblGrid>
      <w:tr w:rsidR="00FC6E07" w:rsidRPr="00EA7EEF" w14:paraId="3E5598ED" w14:textId="77777777" w:rsidTr="00270BFE">
        <w:trPr>
          <w:trHeight w:val="7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EEFC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Juez: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FAE3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lang w:val="es-ES" w:eastAsia="es-ES"/>
              </w:rPr>
              <w:t>John Alexander Ceballos Gaviria</w:t>
            </w:r>
          </w:p>
        </w:tc>
      </w:tr>
      <w:tr w:rsidR="00FC6E07" w:rsidRPr="00EA7EEF" w14:paraId="72DEDDEF" w14:textId="77777777" w:rsidTr="00270BFE">
        <w:trPr>
          <w:trHeight w:val="7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9A5B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Medio de control: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823B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lang w:val="es-ES" w:eastAsia="es-ES"/>
              </w:rPr>
              <w:t>Reparacion Directa</w:t>
            </w:r>
          </w:p>
        </w:tc>
      </w:tr>
      <w:tr w:rsidR="00FC6E07" w:rsidRPr="00EA7EEF" w14:paraId="23F8BFF4" w14:textId="77777777" w:rsidTr="00270BFE">
        <w:trPr>
          <w:trHeight w:val="7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051F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Radicación no.: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544C" w14:textId="6884B984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110013343064-2019-00</w:t>
            </w:r>
            <w:r w:rsidR="007D33F1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172</w:t>
            </w: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-00</w:t>
            </w:r>
          </w:p>
        </w:tc>
      </w:tr>
      <w:tr w:rsidR="00FC6E07" w:rsidRPr="00A0121E" w14:paraId="74FD96CA" w14:textId="77777777" w:rsidTr="00270BFE">
        <w:trPr>
          <w:trHeight w:val="7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AD0A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Demandante: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115B" w14:textId="0904B042" w:rsidR="00FC6E07" w:rsidRPr="00EA7EEF" w:rsidRDefault="007D33F1" w:rsidP="007C4524">
            <w:pPr>
              <w:tabs>
                <w:tab w:val="left" w:pos="4215"/>
              </w:tabs>
              <w:spacing w:after="0" w:line="276" w:lineRule="auto"/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</w:pPr>
            <w:r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  <w:t xml:space="preserve">Evencio González Espinosa y Otros. </w:t>
            </w:r>
          </w:p>
        </w:tc>
      </w:tr>
      <w:tr w:rsidR="00FC6E07" w:rsidRPr="00A0121E" w14:paraId="536E3942" w14:textId="77777777" w:rsidTr="00270BFE">
        <w:trPr>
          <w:trHeight w:val="25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F34" w14:textId="77777777" w:rsidR="00FC6E07" w:rsidRPr="00EA7EEF" w:rsidRDefault="00FC6E07" w:rsidP="007C4524">
            <w:pPr>
              <w:spacing w:after="0" w:line="276" w:lineRule="auto"/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</w:pPr>
            <w:r w:rsidRPr="00EA7EEF">
              <w:rPr>
                <w:rFonts w:ascii="Century Gothic" w:eastAsia="Times New Roman" w:hAnsi="Century Gothic" w:cs="Times New Roman"/>
                <w:b/>
                <w:bCs/>
                <w:lang w:val="es-ES" w:eastAsia="es-ES"/>
              </w:rPr>
              <w:t>Demandado: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466A" w14:textId="3385D6E6" w:rsidR="00FC6E07" w:rsidRPr="00EA7EEF" w:rsidRDefault="007D33F1" w:rsidP="007C4524">
            <w:pPr>
              <w:tabs>
                <w:tab w:val="left" w:pos="4215"/>
              </w:tabs>
              <w:spacing w:after="0" w:line="276" w:lineRule="auto"/>
              <w:jc w:val="both"/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</w:pPr>
            <w:r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  <w:t xml:space="preserve">Nación – </w:t>
            </w:r>
            <w:r w:rsidR="00A0121E"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  <w:t>Fiscalía</w:t>
            </w:r>
            <w:r>
              <w:rPr>
                <w:rFonts w:ascii="Century Gothic" w:eastAsia="Times New Roman" w:hAnsi="Century Gothic" w:cs="Times New Roman"/>
                <w:color w:val="000000"/>
                <w:lang w:val="es-ES" w:eastAsia="es-ES"/>
              </w:rPr>
              <w:t xml:space="preserve"> General de la Nación. </w:t>
            </w:r>
          </w:p>
        </w:tc>
      </w:tr>
    </w:tbl>
    <w:p w14:paraId="3ABAD1FF" w14:textId="77777777" w:rsidR="00FC6E07" w:rsidRDefault="00FC6E07" w:rsidP="007C4524">
      <w:pPr>
        <w:tabs>
          <w:tab w:val="left" w:pos="142"/>
          <w:tab w:val="left" w:pos="6615"/>
        </w:tabs>
        <w:spacing w:after="0" w:line="276" w:lineRule="auto"/>
        <w:ind w:right="-84"/>
        <w:rPr>
          <w:rFonts w:ascii="Century Gothic" w:eastAsia="Times New Roman" w:hAnsi="Century Gothic" w:cs="Arial"/>
          <w:b/>
          <w:bCs/>
          <w:color w:val="000000" w:themeColor="text1"/>
          <w:u w:val="single"/>
          <w:lang w:val="es-ES" w:eastAsia="es-ES"/>
        </w:rPr>
      </w:pPr>
    </w:p>
    <w:p w14:paraId="6370105D" w14:textId="77777777" w:rsidR="007C4524" w:rsidRPr="00EA7EEF" w:rsidRDefault="007C4524" w:rsidP="007C4524">
      <w:pPr>
        <w:tabs>
          <w:tab w:val="left" w:pos="142"/>
          <w:tab w:val="left" w:pos="6615"/>
        </w:tabs>
        <w:spacing w:after="0" w:line="276" w:lineRule="auto"/>
        <w:ind w:right="-84"/>
        <w:rPr>
          <w:rFonts w:ascii="Century Gothic" w:eastAsia="Times New Roman" w:hAnsi="Century Gothic" w:cs="Arial"/>
          <w:b/>
          <w:bCs/>
          <w:color w:val="000000" w:themeColor="text1"/>
          <w:u w:val="single"/>
          <w:lang w:val="es-ES" w:eastAsia="es-ES"/>
        </w:rPr>
      </w:pPr>
    </w:p>
    <w:p w14:paraId="2C16EFB1" w14:textId="71D7867B" w:rsidR="00FC6E07" w:rsidRPr="00EA7EEF" w:rsidRDefault="00792A49" w:rsidP="007C4524">
      <w:pPr>
        <w:tabs>
          <w:tab w:val="left" w:pos="142"/>
          <w:tab w:val="left" w:pos="6615"/>
        </w:tabs>
        <w:spacing w:after="0" w:line="276" w:lineRule="auto"/>
        <w:ind w:left="283" w:right="-84"/>
        <w:jc w:val="center"/>
        <w:rPr>
          <w:rFonts w:ascii="Century Gothic" w:eastAsia="Times New Roman" w:hAnsi="Century Gothic" w:cs="Arial"/>
          <w:b/>
          <w:bCs/>
          <w:color w:val="000000" w:themeColor="text1"/>
          <w:u w:val="single"/>
          <w:lang w:val="es-ES" w:eastAsia="es-ES"/>
        </w:rPr>
      </w:pPr>
      <w:r>
        <w:rPr>
          <w:rFonts w:ascii="Century Gothic" w:eastAsia="Times New Roman" w:hAnsi="Century Gothic" w:cs="Arial"/>
          <w:b/>
          <w:bCs/>
          <w:color w:val="000000" w:themeColor="text1"/>
          <w:u w:val="single"/>
          <w:lang w:val="es-ES" w:eastAsia="es-ES"/>
        </w:rPr>
        <w:t>REQUIERE PARTE ACTORA</w:t>
      </w:r>
    </w:p>
    <w:p w14:paraId="6D5BD9AC" w14:textId="77777777" w:rsidR="00FC6E07" w:rsidRPr="00EA7EEF" w:rsidRDefault="00FC6E07" w:rsidP="007C4524">
      <w:pPr>
        <w:spacing w:after="0" w:line="276" w:lineRule="auto"/>
        <w:jc w:val="both"/>
        <w:rPr>
          <w:rFonts w:ascii="Century Gothic" w:eastAsia="Times New Roman" w:hAnsi="Century Gothic" w:cs="Arial"/>
          <w:lang w:val="es-ES" w:eastAsia="es-ES"/>
        </w:rPr>
      </w:pPr>
    </w:p>
    <w:p w14:paraId="77BA8967" w14:textId="4059FD08" w:rsidR="00FC6E07" w:rsidRPr="00EA7EEF" w:rsidRDefault="007D5C31" w:rsidP="007C4524">
      <w:pPr>
        <w:spacing w:after="0" w:line="276" w:lineRule="auto"/>
        <w:jc w:val="both"/>
        <w:rPr>
          <w:rFonts w:ascii="Century Gothic" w:hAnsi="Century Gothic"/>
          <w:lang w:val="es-CO"/>
        </w:rPr>
      </w:pPr>
      <w:r>
        <w:rPr>
          <w:rFonts w:ascii="Century Gothic" w:eastAsia="Times New Roman" w:hAnsi="Century Gothic" w:cs="Arial"/>
          <w:lang w:val="es-ES" w:eastAsia="es-ES"/>
        </w:rPr>
        <w:t xml:space="preserve">Por </w:t>
      </w:r>
      <w:r w:rsidR="003A4776">
        <w:rPr>
          <w:rFonts w:ascii="Century Gothic" w:eastAsia="Times New Roman" w:hAnsi="Century Gothic" w:cs="Arial"/>
          <w:lang w:val="es-ES" w:eastAsia="es-ES"/>
        </w:rPr>
        <w:t>auto del 14 de octubre de 2022</w:t>
      </w:r>
      <w:r w:rsidR="00FC6E07" w:rsidRPr="00EA7EEF">
        <w:rPr>
          <w:rFonts w:ascii="Century Gothic" w:eastAsia="Times New Roman" w:hAnsi="Century Gothic" w:cs="Arial"/>
          <w:lang w:val="es-ES" w:eastAsia="es-ES"/>
        </w:rPr>
        <w:t xml:space="preserve">, se </w:t>
      </w:r>
      <w:r w:rsidR="003A4776" w:rsidRPr="00EA7EEF">
        <w:rPr>
          <w:rFonts w:ascii="Century Gothic" w:eastAsia="Times New Roman" w:hAnsi="Century Gothic" w:cs="Arial"/>
          <w:lang w:val="es-ES" w:eastAsia="es-ES"/>
        </w:rPr>
        <w:t>dispuso a</w:t>
      </w:r>
      <w:r w:rsidR="003A4776">
        <w:rPr>
          <w:rFonts w:ascii="Century Gothic" w:eastAsia="Times New Roman" w:hAnsi="Century Gothic" w:cs="Arial"/>
          <w:lang w:val="es-ES" w:eastAsia="es-ES"/>
        </w:rPr>
        <w:t xml:space="preserve"> requerir al Centro de Servicios de los Juzgados Penales Especializados de Florencia, para que remitiera con destino a este proceso copia digitalizada del expediente penal 2010-0148-00 procesado: Evencio González Espinosa, identificado con C.C. No.96.353.109 por el Delito: Concierto para delinquir. </w:t>
      </w:r>
    </w:p>
    <w:p w14:paraId="7B222C93" w14:textId="77777777" w:rsidR="003A4776" w:rsidRPr="00EA7EEF" w:rsidRDefault="003A4776" w:rsidP="007C4524">
      <w:pPr>
        <w:spacing w:after="0" w:line="276" w:lineRule="auto"/>
        <w:jc w:val="both"/>
        <w:rPr>
          <w:lang w:val="es-CO"/>
        </w:rPr>
      </w:pPr>
    </w:p>
    <w:p w14:paraId="4B2A8856" w14:textId="4B17BFAB" w:rsidR="00FC6E07" w:rsidRDefault="00FC6E07" w:rsidP="007C4524">
      <w:pPr>
        <w:spacing w:after="0" w:line="276" w:lineRule="auto"/>
        <w:jc w:val="both"/>
        <w:rPr>
          <w:rFonts w:ascii="Century Gothic" w:hAnsi="Century Gothic"/>
          <w:lang w:val="es-CO"/>
        </w:rPr>
      </w:pPr>
      <w:r w:rsidRPr="00EA7EEF">
        <w:rPr>
          <w:rFonts w:ascii="Century Gothic" w:hAnsi="Century Gothic"/>
          <w:lang w:val="es-CO"/>
        </w:rPr>
        <w:t>En cumplimiento de lo anterior, el apoderado de la parte demanda</w:t>
      </w:r>
      <w:r w:rsidR="003A4776">
        <w:rPr>
          <w:rFonts w:ascii="Century Gothic" w:hAnsi="Century Gothic"/>
          <w:lang w:val="es-CO"/>
        </w:rPr>
        <w:t xml:space="preserve">nte allegó constancia del trámite dado para la obtención de la prueba. </w:t>
      </w:r>
    </w:p>
    <w:p w14:paraId="2ECF03C3" w14:textId="77777777" w:rsidR="003A4776" w:rsidRDefault="003A4776" w:rsidP="007C4524">
      <w:pPr>
        <w:spacing w:after="0" w:line="276" w:lineRule="auto"/>
        <w:jc w:val="both"/>
        <w:rPr>
          <w:rFonts w:ascii="Century Gothic" w:hAnsi="Century Gothic"/>
          <w:lang w:val="es-CO"/>
        </w:rPr>
      </w:pPr>
    </w:p>
    <w:p w14:paraId="64EFE940" w14:textId="3AB5A5B9" w:rsidR="00A83FFD" w:rsidRPr="00EA7EEF" w:rsidRDefault="003A4776" w:rsidP="007C4524">
      <w:pPr>
        <w:spacing w:after="0" w:line="276" w:lineRule="auto"/>
        <w:jc w:val="both"/>
        <w:rPr>
          <w:rFonts w:ascii="Century Gothic" w:hAnsi="Century Gothic"/>
          <w:lang w:val="es-CO"/>
        </w:rPr>
      </w:pPr>
      <w:r>
        <w:rPr>
          <w:rFonts w:ascii="Century Gothic" w:hAnsi="Century Gothic"/>
          <w:lang w:val="es-CO"/>
        </w:rPr>
        <w:t xml:space="preserve">El Juzgado Primero Penal del Circuito Especializado de Florencia – Caquetá, emitió respuesta en el que indicó la ubicación del expediente y las razones por las cuales no se </w:t>
      </w:r>
      <w:r w:rsidR="00A83FFD">
        <w:rPr>
          <w:rFonts w:ascii="Century Gothic" w:hAnsi="Century Gothic"/>
          <w:lang w:val="es-CO"/>
        </w:rPr>
        <w:t xml:space="preserve">puede remitir de manera digital, aclarando que el expediente está a disposición de la parte demandante. </w:t>
      </w:r>
    </w:p>
    <w:p w14:paraId="17EE19CA" w14:textId="77777777" w:rsidR="00FC6E07" w:rsidRPr="00AF0DA0" w:rsidRDefault="00FC6E07" w:rsidP="007C4524">
      <w:pPr>
        <w:spacing w:after="0" w:line="276" w:lineRule="auto"/>
        <w:jc w:val="both"/>
        <w:rPr>
          <w:rFonts w:ascii="Century Gothic" w:hAnsi="Century Gothic"/>
          <w:bCs/>
          <w:lang w:val="es-CO"/>
        </w:rPr>
      </w:pPr>
    </w:p>
    <w:p w14:paraId="0642009C" w14:textId="3FDE6F7B" w:rsidR="00AE576D" w:rsidRPr="00AC062A" w:rsidRDefault="00AF0DA0" w:rsidP="007C4524">
      <w:pPr>
        <w:spacing w:after="0" w:line="276" w:lineRule="auto"/>
        <w:jc w:val="both"/>
        <w:rPr>
          <w:rFonts w:ascii="Century Gothic" w:eastAsia="Times New Roman" w:hAnsi="Century Gothic" w:cs="Segoe UI"/>
          <w:bCs/>
          <w:lang w:val="es-CO" w:eastAsia="es-CO"/>
        </w:rPr>
      </w:pPr>
      <w:r w:rsidRPr="00AF0DA0">
        <w:rPr>
          <w:rFonts w:ascii="Century Gothic" w:eastAsia="Times New Roman" w:hAnsi="Century Gothic" w:cs="Segoe UI"/>
          <w:bCs/>
          <w:lang w:val="es-CO" w:eastAsia="es-CO"/>
        </w:rPr>
        <w:t xml:space="preserve">El </w:t>
      </w:r>
      <w:r>
        <w:rPr>
          <w:rFonts w:ascii="Century Gothic" w:eastAsia="Times New Roman" w:hAnsi="Century Gothic" w:cs="Segoe UI"/>
          <w:bCs/>
          <w:lang w:val="es-CO" w:eastAsia="es-CO"/>
        </w:rPr>
        <w:t xml:space="preserve">apoderado de la parte </w:t>
      </w:r>
      <w:r w:rsidRPr="00AF0DA0">
        <w:rPr>
          <w:rFonts w:ascii="Century Gothic" w:eastAsia="Times New Roman" w:hAnsi="Century Gothic" w:cs="Segoe UI"/>
          <w:bCs/>
          <w:lang w:val="es-CO" w:eastAsia="es-CO"/>
        </w:rPr>
        <w:t>demandante</w:t>
      </w:r>
      <w:r>
        <w:rPr>
          <w:rFonts w:ascii="Century Gothic" w:eastAsia="Times New Roman" w:hAnsi="Century Gothic" w:cs="Segoe UI"/>
          <w:b/>
          <w:lang w:val="es-CO" w:eastAsia="es-CO"/>
        </w:rPr>
        <w:t xml:space="preserve"> </w:t>
      </w:r>
      <w:r w:rsidRPr="00AF0DA0">
        <w:rPr>
          <w:rFonts w:ascii="Century Gothic" w:eastAsia="Times New Roman" w:hAnsi="Century Gothic" w:cs="Segoe UI"/>
          <w:bCs/>
          <w:lang w:val="es-CO" w:eastAsia="es-CO"/>
        </w:rPr>
        <w:t xml:space="preserve">de manera </w:t>
      </w:r>
      <w:r w:rsidR="00AC062A" w:rsidRPr="00AF0DA0">
        <w:rPr>
          <w:rFonts w:ascii="Century Gothic" w:eastAsia="Times New Roman" w:hAnsi="Century Gothic" w:cs="Segoe UI"/>
          <w:bCs/>
          <w:lang w:val="es-CO" w:eastAsia="es-CO"/>
        </w:rPr>
        <w:t>posterior</w:t>
      </w:r>
      <w:r>
        <w:rPr>
          <w:rFonts w:ascii="Century Gothic" w:eastAsia="Times New Roman" w:hAnsi="Century Gothic" w:cs="Segoe UI"/>
          <w:b/>
          <w:lang w:val="es-CO" w:eastAsia="es-CO"/>
        </w:rPr>
        <w:t xml:space="preserve"> </w:t>
      </w:r>
      <w:r w:rsidR="00AC062A" w:rsidRPr="00AC062A">
        <w:rPr>
          <w:rFonts w:ascii="Century Gothic" w:eastAsia="Times New Roman" w:hAnsi="Century Gothic" w:cs="Segoe UI"/>
          <w:bCs/>
          <w:lang w:val="es-CO" w:eastAsia="es-CO"/>
        </w:rPr>
        <w:t>presentó memorial aclaratorio respecto del expediente</w:t>
      </w:r>
      <w:r w:rsidR="00AC062A">
        <w:rPr>
          <w:rFonts w:ascii="Century Gothic" w:eastAsia="Times New Roman" w:hAnsi="Century Gothic" w:cs="Segoe UI"/>
          <w:bCs/>
          <w:lang w:val="es-CO" w:eastAsia="es-CO"/>
        </w:rPr>
        <w:t>;</w:t>
      </w:r>
      <w:r w:rsidR="00AC062A" w:rsidRPr="00AC062A">
        <w:rPr>
          <w:rFonts w:ascii="Century Gothic" w:eastAsia="Times New Roman" w:hAnsi="Century Gothic" w:cs="Segoe UI"/>
          <w:bCs/>
          <w:lang w:val="es-CO" w:eastAsia="es-CO"/>
        </w:rPr>
        <w:t xml:space="preserve"> sin embargo, no lo aportó.</w:t>
      </w:r>
      <w:r w:rsidR="00AC062A">
        <w:rPr>
          <w:rFonts w:ascii="Century Gothic" w:eastAsia="Times New Roman" w:hAnsi="Century Gothic" w:cs="Segoe UI"/>
          <w:b/>
          <w:lang w:val="es-CO" w:eastAsia="es-CO"/>
        </w:rPr>
        <w:t xml:space="preserve">  </w:t>
      </w:r>
      <w:r w:rsidR="00AC062A" w:rsidRPr="00AC062A">
        <w:rPr>
          <w:rFonts w:ascii="Century Gothic" w:eastAsia="Times New Roman" w:hAnsi="Century Gothic" w:cs="Segoe UI"/>
          <w:bCs/>
          <w:lang w:val="es-CO" w:eastAsia="es-CO"/>
        </w:rPr>
        <w:t>En ese orden,</w:t>
      </w:r>
      <w:r w:rsidR="00AC062A">
        <w:rPr>
          <w:rFonts w:ascii="Century Gothic" w:eastAsia="Times New Roman" w:hAnsi="Century Gothic" w:cs="Segoe UI"/>
          <w:b/>
          <w:lang w:val="es-CO" w:eastAsia="es-CO"/>
        </w:rPr>
        <w:t xml:space="preserve"> </w:t>
      </w:r>
      <w:r w:rsidR="00AC062A">
        <w:rPr>
          <w:rFonts w:ascii="Century Gothic" w:eastAsia="Times New Roman" w:hAnsi="Century Gothic" w:cs="Segoe UI"/>
          <w:bCs/>
          <w:lang w:val="es-CO" w:eastAsia="es-CO"/>
        </w:rPr>
        <w:t>se le requiere para que en el término de veinte (20) días, aporte copia digital del expediente solicitado</w:t>
      </w:r>
      <w:r w:rsidR="00AE576D">
        <w:rPr>
          <w:rFonts w:ascii="Century Gothic" w:eastAsia="Times New Roman" w:hAnsi="Century Gothic" w:cs="Segoe UI"/>
          <w:bCs/>
          <w:lang w:val="es-CO" w:eastAsia="es-CO"/>
        </w:rPr>
        <w:t xml:space="preserve"> a fin de poder incorporarlo al expediente y poder cerrar etapa probatoria. </w:t>
      </w:r>
    </w:p>
    <w:p w14:paraId="51F0781B" w14:textId="77777777" w:rsidR="00FC6E07" w:rsidRPr="00EA7EEF" w:rsidRDefault="00FC6E07" w:rsidP="007C4524">
      <w:pPr>
        <w:spacing w:after="0" w:line="276" w:lineRule="auto"/>
        <w:jc w:val="both"/>
        <w:textAlignment w:val="baseline"/>
        <w:rPr>
          <w:rFonts w:ascii="Century Gothic" w:eastAsia="Times New Roman" w:hAnsi="Century Gothic" w:cs="Segoe UI"/>
          <w:lang w:val="es-CO" w:eastAsia="es-CO"/>
        </w:rPr>
      </w:pPr>
    </w:p>
    <w:p w14:paraId="113C8811" w14:textId="77777777" w:rsidR="00FC6E07" w:rsidRPr="00EA7EEF" w:rsidRDefault="00FC6E07" w:rsidP="007C4524">
      <w:pPr>
        <w:spacing w:after="0" w:line="276" w:lineRule="auto"/>
        <w:jc w:val="both"/>
        <w:textAlignment w:val="baseline"/>
        <w:rPr>
          <w:rFonts w:ascii="Century Gothic" w:eastAsia="Times New Roman" w:hAnsi="Century Gothic" w:cs="Arial"/>
          <w:b/>
          <w:bCs/>
          <w:spacing w:val="-3"/>
          <w:lang w:val="es-CO" w:eastAsia="es-CO"/>
        </w:rPr>
      </w:pPr>
      <w:r w:rsidRPr="00EA7EEF">
        <w:rPr>
          <w:rFonts w:ascii="Century Gothic" w:eastAsia="Times New Roman" w:hAnsi="Century Gothic" w:cs="Segoe UI"/>
          <w:color w:val="000000"/>
          <w:lang w:val="es-CO" w:eastAsia="es-CO"/>
        </w:rPr>
        <w:t>En</w:t>
      </w:r>
      <w:r w:rsidRPr="00EA7EEF">
        <w:rPr>
          <w:rFonts w:ascii="Century Gothic" w:eastAsia="Times New Roman" w:hAnsi="Century Gothic" w:cs="Arial"/>
          <w:spacing w:val="-3"/>
          <w:lang w:val="es-CO" w:eastAsia="es-CO"/>
        </w:rPr>
        <w:t xml:space="preserve"> consecuencia, el </w:t>
      </w:r>
      <w:r w:rsidRPr="00EA7EEF">
        <w:rPr>
          <w:rFonts w:ascii="Century Gothic" w:eastAsia="Times New Roman" w:hAnsi="Century Gothic" w:cs="Arial"/>
          <w:b/>
          <w:bCs/>
          <w:spacing w:val="-3"/>
          <w:lang w:val="es-CO" w:eastAsia="es-CO"/>
        </w:rPr>
        <w:t xml:space="preserve">JUZGADO SESENTA Y CUATRO (64) ADMINISTRATIVO DE ORALIDAD DEL CIRCUITO JUDICIAL DE BOGOTÁ D.C.,  </w:t>
      </w:r>
    </w:p>
    <w:p w14:paraId="5A3CA900" w14:textId="77777777" w:rsidR="00FC6E07" w:rsidRDefault="00FC6E07" w:rsidP="007C4524">
      <w:pPr>
        <w:spacing w:after="0" w:line="276" w:lineRule="auto"/>
        <w:jc w:val="center"/>
        <w:textAlignment w:val="baseline"/>
        <w:rPr>
          <w:rFonts w:ascii="Century Gothic" w:eastAsia="Times New Roman" w:hAnsi="Century Gothic" w:cs="Arial"/>
          <w:b/>
          <w:bCs/>
          <w:spacing w:val="-3"/>
          <w:lang w:val="es-CO" w:eastAsia="es-CO"/>
        </w:rPr>
      </w:pPr>
    </w:p>
    <w:p w14:paraId="2DD87169" w14:textId="77777777" w:rsidR="007C4524" w:rsidRDefault="007C4524" w:rsidP="007C4524">
      <w:pPr>
        <w:spacing w:after="0" w:line="276" w:lineRule="auto"/>
        <w:jc w:val="center"/>
        <w:textAlignment w:val="baseline"/>
        <w:rPr>
          <w:rFonts w:ascii="Century Gothic" w:eastAsia="Times New Roman" w:hAnsi="Century Gothic" w:cs="Arial"/>
          <w:b/>
          <w:bCs/>
          <w:spacing w:val="-3"/>
          <w:lang w:val="es-CO" w:eastAsia="es-CO"/>
        </w:rPr>
      </w:pPr>
    </w:p>
    <w:p w14:paraId="477E83DB" w14:textId="77777777" w:rsidR="007C4524" w:rsidRDefault="007C4524" w:rsidP="007C4524">
      <w:pPr>
        <w:spacing w:after="0" w:line="276" w:lineRule="auto"/>
        <w:jc w:val="center"/>
        <w:textAlignment w:val="baseline"/>
        <w:rPr>
          <w:rFonts w:ascii="Century Gothic" w:eastAsia="Times New Roman" w:hAnsi="Century Gothic" w:cs="Arial"/>
          <w:b/>
          <w:bCs/>
          <w:spacing w:val="-3"/>
          <w:lang w:val="es-CO" w:eastAsia="es-CO"/>
        </w:rPr>
      </w:pPr>
    </w:p>
    <w:p w14:paraId="0674C800" w14:textId="77777777" w:rsidR="007C4524" w:rsidRPr="00EA7EEF" w:rsidRDefault="007C4524" w:rsidP="007C4524">
      <w:pPr>
        <w:spacing w:after="0" w:line="276" w:lineRule="auto"/>
        <w:jc w:val="center"/>
        <w:textAlignment w:val="baseline"/>
        <w:rPr>
          <w:rFonts w:ascii="Century Gothic" w:eastAsia="Times New Roman" w:hAnsi="Century Gothic" w:cs="Arial"/>
          <w:b/>
          <w:bCs/>
          <w:spacing w:val="-3"/>
          <w:lang w:val="es-CO" w:eastAsia="es-CO"/>
        </w:rPr>
      </w:pPr>
    </w:p>
    <w:p w14:paraId="381C6DE0" w14:textId="77777777" w:rsidR="007C4524" w:rsidRDefault="00FC6E07" w:rsidP="007C4524">
      <w:pPr>
        <w:tabs>
          <w:tab w:val="left" w:pos="885"/>
        </w:tabs>
        <w:spacing w:after="0" w:line="276" w:lineRule="auto"/>
        <w:ind w:right="-91"/>
        <w:jc w:val="center"/>
        <w:rPr>
          <w:rFonts w:ascii="Century Gothic" w:eastAsia="Times New Roman" w:hAnsi="Century Gothic" w:cs="Arial"/>
          <w:b/>
          <w:bCs/>
          <w:lang w:val="es-ES_tradnl" w:eastAsia="es-ES"/>
        </w:rPr>
      </w:pPr>
      <w:r w:rsidRPr="00EA7EEF">
        <w:rPr>
          <w:rFonts w:ascii="Century Gothic" w:eastAsia="Times New Roman" w:hAnsi="Century Gothic" w:cs="Arial"/>
          <w:b/>
          <w:bCs/>
          <w:lang w:val="es-ES_tradnl" w:eastAsia="es-ES"/>
        </w:rPr>
        <w:t>RESUELVE:</w:t>
      </w:r>
    </w:p>
    <w:p w14:paraId="10C6EC08" w14:textId="3349FA84" w:rsidR="00FC6E07" w:rsidRPr="00EA7EEF" w:rsidRDefault="00FC6E07" w:rsidP="007C4524">
      <w:pPr>
        <w:tabs>
          <w:tab w:val="left" w:pos="885"/>
        </w:tabs>
        <w:spacing w:after="0" w:line="276" w:lineRule="auto"/>
        <w:ind w:right="-91"/>
        <w:jc w:val="center"/>
        <w:rPr>
          <w:rFonts w:ascii="Century Gothic" w:eastAsia="Times New Roman" w:hAnsi="Century Gothic" w:cs="Arial"/>
          <w:b/>
          <w:bCs/>
          <w:lang w:val="es-ES_tradnl" w:eastAsia="es-ES"/>
        </w:rPr>
      </w:pPr>
      <w:r w:rsidRPr="00EA7EEF">
        <w:rPr>
          <w:rFonts w:ascii="Century Gothic" w:eastAsia="Times New Roman" w:hAnsi="Century Gothic" w:cs="Arial"/>
          <w:b/>
          <w:lang w:val="es-ES_tradnl" w:eastAsia="es-ES"/>
        </w:rPr>
        <w:tab/>
      </w:r>
    </w:p>
    <w:p w14:paraId="143C44D1" w14:textId="78A50BE9" w:rsidR="00FC6E07" w:rsidRDefault="00FC6E07" w:rsidP="007C4524">
      <w:pPr>
        <w:spacing w:after="0" w:line="276" w:lineRule="auto"/>
        <w:jc w:val="both"/>
        <w:rPr>
          <w:rFonts w:ascii="Century Gothic" w:eastAsia="Times New Roman" w:hAnsi="Century Gothic" w:cs="Segoe UI"/>
          <w:bCs/>
          <w:lang w:val="es-CO" w:eastAsia="es-CO"/>
        </w:rPr>
      </w:pPr>
      <w:r w:rsidRPr="00EA7EEF">
        <w:rPr>
          <w:rFonts w:ascii="Century Gothic" w:eastAsia="Times New Roman" w:hAnsi="Century Gothic" w:cs="Times New Roman"/>
          <w:b/>
          <w:bCs/>
          <w:lang w:val="es-ES" w:eastAsia="es-ES"/>
        </w:rPr>
        <w:lastRenderedPageBreak/>
        <w:t>PRIMERO.</w:t>
      </w:r>
      <w:r w:rsidRPr="00EA7EEF">
        <w:rPr>
          <w:lang w:val="es-CO"/>
        </w:rPr>
        <w:tab/>
      </w:r>
      <w:r w:rsidR="006024E6" w:rsidRPr="006024E6">
        <w:rPr>
          <w:rFonts w:ascii="Century Gothic" w:hAnsi="Century Gothic"/>
          <w:b/>
          <w:bCs/>
          <w:lang w:val="es-CO"/>
        </w:rPr>
        <w:t xml:space="preserve">REQUERIR </w:t>
      </w:r>
      <w:r w:rsidR="00AE576D" w:rsidRPr="00AE576D">
        <w:rPr>
          <w:rFonts w:ascii="Century Gothic" w:hAnsi="Century Gothic"/>
          <w:lang w:val="es-CO"/>
        </w:rPr>
        <w:t xml:space="preserve">a la parte actora, </w:t>
      </w:r>
      <w:r w:rsidR="00AE576D" w:rsidRPr="00AE576D">
        <w:rPr>
          <w:rFonts w:ascii="Century Gothic" w:eastAsia="Times New Roman" w:hAnsi="Century Gothic" w:cs="Segoe UI"/>
          <w:bCs/>
          <w:lang w:val="es-CO" w:eastAsia="es-CO"/>
        </w:rPr>
        <w:t>para que en el término de veinte (20) días, aporte copia digital del expediente</w:t>
      </w:r>
      <w:r w:rsidR="00AE576D">
        <w:rPr>
          <w:rFonts w:ascii="Century Gothic" w:eastAsia="Times New Roman" w:hAnsi="Century Gothic" w:cs="Segoe UI"/>
          <w:bCs/>
          <w:lang w:val="es-CO" w:eastAsia="es-CO"/>
        </w:rPr>
        <w:t xml:space="preserve"> requerido, </w:t>
      </w:r>
      <w:r w:rsidR="00AE576D" w:rsidRPr="00AE576D">
        <w:rPr>
          <w:rFonts w:ascii="Century Gothic" w:eastAsia="Times New Roman" w:hAnsi="Century Gothic" w:cs="Segoe UI"/>
          <w:bCs/>
          <w:lang w:val="es-CO" w:eastAsia="es-CO"/>
        </w:rPr>
        <w:t xml:space="preserve">a fin de poder incorporarlo al expediente y poder cerrar etapa probatoria. </w:t>
      </w:r>
    </w:p>
    <w:p w14:paraId="58BE70B5" w14:textId="77777777" w:rsidR="00AE576D" w:rsidRDefault="00AE576D" w:rsidP="007C4524">
      <w:pPr>
        <w:spacing w:after="0" w:line="276" w:lineRule="auto"/>
        <w:jc w:val="both"/>
        <w:rPr>
          <w:rFonts w:ascii="Century Gothic" w:eastAsia="Times New Roman" w:hAnsi="Century Gothic" w:cs="Segoe UI"/>
          <w:bCs/>
          <w:lang w:val="es-CO" w:eastAsia="es-CO"/>
        </w:rPr>
      </w:pPr>
    </w:p>
    <w:p w14:paraId="40A0BDB0" w14:textId="20110C64" w:rsidR="00AE576D" w:rsidRPr="00AE576D" w:rsidRDefault="00AE576D" w:rsidP="007C4524">
      <w:pPr>
        <w:spacing w:after="0" w:line="276" w:lineRule="auto"/>
        <w:jc w:val="both"/>
        <w:rPr>
          <w:rFonts w:ascii="Century Gothic" w:eastAsia="Times New Roman" w:hAnsi="Century Gothic" w:cs="Segoe UI"/>
          <w:bCs/>
          <w:lang w:val="es-CO" w:eastAsia="es-CO"/>
        </w:rPr>
      </w:pPr>
      <w:r>
        <w:rPr>
          <w:rFonts w:ascii="Century Gothic" w:eastAsia="Times New Roman" w:hAnsi="Century Gothic" w:cs="Segoe UI"/>
          <w:bCs/>
          <w:lang w:val="es-CO" w:eastAsia="es-CO"/>
        </w:rPr>
        <w:t xml:space="preserve">Se advierte que deberá remitir copia del expediente a la parte demandada, de conformidad con el </w:t>
      </w:r>
      <w:r w:rsidR="00A71122">
        <w:rPr>
          <w:rFonts w:ascii="Century Gothic" w:eastAsia="Times New Roman" w:hAnsi="Century Gothic" w:cs="Segoe UI"/>
          <w:bCs/>
          <w:lang w:val="es-CO" w:eastAsia="es-CO"/>
        </w:rPr>
        <w:t>parágrafo del artículo</w:t>
      </w:r>
      <w:r>
        <w:rPr>
          <w:rFonts w:ascii="Century Gothic" w:eastAsia="Times New Roman" w:hAnsi="Century Gothic" w:cs="Segoe UI"/>
          <w:bCs/>
          <w:lang w:val="es-CO" w:eastAsia="es-CO"/>
        </w:rPr>
        <w:t xml:space="preserve"> 9 de la ley 2213 de 2022. </w:t>
      </w:r>
    </w:p>
    <w:p w14:paraId="1CE60B15" w14:textId="77777777" w:rsidR="00FC6E07" w:rsidRPr="00EA7EEF" w:rsidRDefault="00FC6E07" w:rsidP="007C4524">
      <w:pPr>
        <w:spacing w:after="0" w:line="276" w:lineRule="auto"/>
        <w:jc w:val="both"/>
        <w:rPr>
          <w:rFonts w:ascii="Century Gothic" w:hAnsi="Century Gothic" w:cs="Segoe UI"/>
          <w:b/>
          <w:bCs/>
          <w:lang w:val="es-CO" w:eastAsia="es-CO"/>
        </w:rPr>
      </w:pPr>
    </w:p>
    <w:p w14:paraId="4043E6CA" w14:textId="59740270" w:rsidR="00FC6E07" w:rsidRPr="00EA7EEF" w:rsidRDefault="00A83FFD" w:rsidP="007C4524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ES"/>
        </w:rPr>
      </w:pPr>
      <w:r>
        <w:rPr>
          <w:rFonts w:ascii="Century Gothic" w:hAnsi="Century Gothic" w:cs="Segoe UI"/>
          <w:b/>
          <w:bCs/>
          <w:lang w:val="es-CO" w:eastAsia="es-CO"/>
        </w:rPr>
        <w:t>SEGUNDO</w:t>
      </w:r>
      <w:r w:rsidR="00FC6E07" w:rsidRPr="00EA7EEF">
        <w:rPr>
          <w:rFonts w:ascii="Century Gothic" w:hAnsi="Century Gothic" w:cs="Segoe UI"/>
          <w:b/>
          <w:bCs/>
          <w:lang w:val="es-CO" w:eastAsia="es-CO"/>
        </w:rPr>
        <w:t xml:space="preserve">.     NOTIFICAR </w:t>
      </w:r>
      <w:r w:rsidR="00FC6E07" w:rsidRPr="00EA7EEF">
        <w:rPr>
          <w:rFonts w:ascii="Century Gothic" w:hAnsi="Century Gothic" w:cs="Segoe UI"/>
          <w:lang w:val="es-CO" w:eastAsia="es-CO"/>
        </w:rPr>
        <w:t xml:space="preserve">por secretaría la presente decisión a las partes y al Ministerio Público conformidad con lo dispuesto en el artículo 201 de la Ley 1437 de 2011 y </w:t>
      </w:r>
      <w:r w:rsidR="00FC6E07" w:rsidRPr="00EA7EEF">
        <w:rPr>
          <w:rFonts w:ascii="Century Gothic" w:hAnsi="Century Gothic" w:cs="Segoe UI"/>
          <w:b/>
          <w:bCs/>
          <w:lang w:val="es-CO" w:eastAsia="es-CO"/>
        </w:rPr>
        <w:t>COMUNICAR</w:t>
      </w:r>
      <w:r w:rsidR="00FC6E07" w:rsidRPr="00EA7EEF">
        <w:rPr>
          <w:rFonts w:ascii="Century Gothic" w:hAnsi="Century Gothic" w:cs="Segoe UI"/>
          <w:lang w:val="es-CO" w:eastAsia="es-CO"/>
        </w:rPr>
        <w:t xml:space="preserve"> a los correos electrónicos registrados</w:t>
      </w:r>
      <w:r w:rsidR="00AE576D">
        <w:rPr>
          <w:rFonts w:ascii="Century Gothic" w:hAnsi="Century Gothic" w:cs="Segoe UI"/>
          <w:lang w:val="es-CO" w:eastAsia="es-CO"/>
        </w:rPr>
        <w:t xml:space="preserve"> en SAMAI. </w:t>
      </w:r>
    </w:p>
    <w:p w14:paraId="07F9BC23" w14:textId="77777777" w:rsidR="00FC6E07" w:rsidRPr="00EA7EEF" w:rsidRDefault="00FC6E07" w:rsidP="007C4524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ES"/>
        </w:rPr>
      </w:pPr>
    </w:p>
    <w:p w14:paraId="12B33BA5" w14:textId="77777777" w:rsidR="00FC6E07" w:rsidRPr="00EA7EEF" w:rsidRDefault="00FC6E07" w:rsidP="007C4524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ES"/>
        </w:rPr>
      </w:pPr>
      <w:r w:rsidRPr="00EA7EEF">
        <w:rPr>
          <w:rFonts w:ascii="Century Gothic" w:eastAsia="Century Gothic" w:hAnsi="Century Gothic" w:cs="Century Gothic"/>
          <w:b/>
          <w:bCs/>
          <w:lang w:val="es-ES" w:eastAsia="es-ES"/>
        </w:rPr>
        <w:t xml:space="preserve">NOTIFÍQUESE Y CÚMPLASE </w:t>
      </w:r>
      <w:r w:rsidRPr="00EA7EEF">
        <w:rPr>
          <w:rFonts w:ascii="Century Gothic" w:eastAsia="Times New Roman" w:hAnsi="Century Gothic" w:cs="Times New Roman"/>
          <w:lang w:val="es-ES" w:eastAsia="es-ES"/>
        </w:rPr>
        <w:tab/>
      </w:r>
    </w:p>
    <w:p w14:paraId="0103F3E0" w14:textId="77777777" w:rsidR="00FC6E07" w:rsidRPr="00EA7EEF" w:rsidRDefault="00FC6E07" w:rsidP="007C4524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ES"/>
        </w:rPr>
      </w:pPr>
      <w:r w:rsidRPr="00EA7EEF">
        <w:rPr>
          <w:rFonts w:ascii="Century Gothic" w:eastAsia="Century Gothic" w:hAnsi="Century Gothic" w:cs="Century Gothic"/>
          <w:b/>
          <w:bCs/>
          <w:lang w:val="es-CO" w:eastAsia="es-ES"/>
        </w:rPr>
        <w:t xml:space="preserve"> </w:t>
      </w:r>
    </w:p>
    <w:p w14:paraId="0FAF7E11" w14:textId="77777777" w:rsidR="00FC6E07" w:rsidRPr="00406775" w:rsidRDefault="00FC6E07" w:rsidP="007C4524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ES"/>
        </w:rPr>
      </w:pPr>
    </w:p>
    <w:p w14:paraId="5A8413AA" w14:textId="77777777" w:rsidR="00FC6E07" w:rsidRPr="00EA7EEF" w:rsidRDefault="00FC6E07" w:rsidP="007C4524">
      <w:pPr>
        <w:tabs>
          <w:tab w:val="center" w:pos="4702"/>
          <w:tab w:val="left" w:pos="8565"/>
        </w:tabs>
        <w:spacing w:after="0" w:line="276" w:lineRule="auto"/>
        <w:jc w:val="center"/>
        <w:rPr>
          <w:rFonts w:ascii="Century Gothic" w:eastAsia="Times New Roman" w:hAnsi="Century Gothic" w:cs="Times New Roman"/>
          <w:lang w:val="es-ES" w:eastAsia="es-ES"/>
        </w:rPr>
      </w:pPr>
      <w:r w:rsidRPr="00EA7EEF">
        <w:rPr>
          <w:rFonts w:ascii="Century Gothic" w:eastAsia="Century Gothic" w:hAnsi="Century Gothic" w:cs="Century Gothic"/>
          <w:b/>
          <w:bCs/>
          <w:lang w:val="es-ES" w:eastAsia="es-ES"/>
        </w:rPr>
        <w:t>John Alexander Ceballos Gaviria</w:t>
      </w:r>
    </w:p>
    <w:p w14:paraId="17F33CA9" w14:textId="77777777" w:rsidR="00FC6E07" w:rsidRPr="00EA7EEF" w:rsidRDefault="00FC6E07" w:rsidP="007C4524">
      <w:pPr>
        <w:spacing w:after="0" w:line="276" w:lineRule="auto"/>
        <w:jc w:val="center"/>
        <w:rPr>
          <w:rFonts w:ascii="Century Gothic" w:eastAsia="Times New Roman" w:hAnsi="Century Gothic" w:cs="Times New Roman"/>
          <w:lang w:val="es-ES" w:eastAsia="es-ES"/>
        </w:rPr>
      </w:pPr>
      <w:r w:rsidRPr="00EA7EEF">
        <w:rPr>
          <w:rFonts w:ascii="Century Gothic" w:eastAsia="Century Gothic" w:hAnsi="Century Gothic" w:cs="Century Gothic"/>
          <w:b/>
          <w:bCs/>
          <w:lang w:val="es-ES" w:eastAsia="es-ES"/>
        </w:rPr>
        <w:t>JUEZ</w:t>
      </w:r>
    </w:p>
    <w:p w14:paraId="696ADDBC" w14:textId="77777777" w:rsidR="00FC6E07" w:rsidRPr="00EA7EEF" w:rsidRDefault="00FC6E07" w:rsidP="006024E6">
      <w:pPr>
        <w:spacing w:after="0" w:line="276" w:lineRule="auto"/>
        <w:jc w:val="both"/>
        <w:rPr>
          <w:rFonts w:ascii="Century Gothic" w:eastAsia="Times New Roman" w:hAnsi="Century Gothic" w:cs="Times New Roman"/>
          <w:lang w:val="es-ES" w:eastAsia="es-ES"/>
        </w:rPr>
      </w:pPr>
      <w:r w:rsidRPr="00EA7EEF">
        <w:rPr>
          <w:rFonts w:ascii="Century Gothic" w:eastAsia="Century Gothic" w:hAnsi="Century Gothic" w:cs="Century Gothic"/>
          <w:lang w:val="es-ES" w:eastAsia="es-ES"/>
        </w:rPr>
        <w:t xml:space="preserve"> </w:t>
      </w:r>
    </w:p>
    <w:p w14:paraId="43C953EE" w14:textId="77777777" w:rsidR="00FC6E07" w:rsidRPr="00EA7EEF" w:rsidRDefault="00FC6E07" w:rsidP="00FC6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s-ES" w:eastAsia="es-ES"/>
        </w:rPr>
      </w:pPr>
      <w:r w:rsidRPr="00EA7EEF">
        <w:rPr>
          <w:rFonts w:ascii="Times New Roman" w:eastAsia="Times New Roman" w:hAnsi="Times New Roman" w:cs="Times New Roman"/>
          <w:sz w:val="16"/>
          <w:szCs w:val="16"/>
          <w:lang w:val="es-ES" w:eastAsia="es-ES"/>
        </w:rPr>
        <w:t xml:space="preserve">As </w:t>
      </w:r>
    </w:p>
    <w:p w14:paraId="1DA5BB1D" w14:textId="77777777" w:rsidR="00FC6E07" w:rsidRPr="00EA7EEF" w:rsidRDefault="00FC6E07" w:rsidP="00FC6E07"/>
    <w:p w14:paraId="7A07FF5B" w14:textId="77777777" w:rsidR="00FC6E07" w:rsidRPr="00EA7EEF" w:rsidRDefault="00FC6E07" w:rsidP="00FC6E07"/>
    <w:p w14:paraId="3CAB912E" w14:textId="77777777" w:rsidR="003D23AF" w:rsidRDefault="003D23AF"/>
    <w:sectPr w:rsidR="003D23AF" w:rsidSect="00FC6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81899"/>
    <w:multiLevelType w:val="multilevel"/>
    <w:tmpl w:val="1D2C7D7A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Segoe UI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Segoe UI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Segoe UI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Times New Roman" w:cs="Segoe UI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Segoe UI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Segoe UI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Segoe UI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Segoe UI"/>
        <w:b/>
      </w:rPr>
    </w:lvl>
  </w:abstractNum>
  <w:abstractNum w:abstractNumId="1" w15:restartNumberingAfterBreak="0">
    <w:nsid w:val="414C37FA"/>
    <w:multiLevelType w:val="hybridMultilevel"/>
    <w:tmpl w:val="71E6E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AC0F7"/>
    <w:multiLevelType w:val="hybridMultilevel"/>
    <w:tmpl w:val="E64A32D2"/>
    <w:lvl w:ilvl="0" w:tplc="1CA8A8F8">
      <w:start w:val="1"/>
      <w:numFmt w:val="lowerLetter"/>
      <w:lvlText w:val="%1."/>
      <w:lvlJc w:val="left"/>
      <w:pPr>
        <w:ind w:left="720" w:hanging="360"/>
      </w:pPr>
    </w:lvl>
    <w:lvl w:ilvl="1" w:tplc="B78E5F2E">
      <w:start w:val="1"/>
      <w:numFmt w:val="lowerLetter"/>
      <w:lvlText w:val="%2."/>
      <w:lvlJc w:val="left"/>
      <w:pPr>
        <w:ind w:left="1440" w:hanging="360"/>
      </w:pPr>
    </w:lvl>
    <w:lvl w:ilvl="2" w:tplc="F5C89D2E">
      <w:start w:val="1"/>
      <w:numFmt w:val="lowerRoman"/>
      <w:lvlText w:val="%3."/>
      <w:lvlJc w:val="right"/>
      <w:pPr>
        <w:ind w:left="2160" w:hanging="180"/>
      </w:pPr>
    </w:lvl>
    <w:lvl w:ilvl="3" w:tplc="590EF0E0">
      <w:start w:val="1"/>
      <w:numFmt w:val="decimal"/>
      <w:lvlText w:val="%4."/>
      <w:lvlJc w:val="left"/>
      <w:pPr>
        <w:ind w:left="2880" w:hanging="360"/>
      </w:pPr>
    </w:lvl>
    <w:lvl w:ilvl="4" w:tplc="55CE2F28">
      <w:start w:val="1"/>
      <w:numFmt w:val="lowerLetter"/>
      <w:lvlText w:val="%5."/>
      <w:lvlJc w:val="left"/>
      <w:pPr>
        <w:ind w:left="3600" w:hanging="360"/>
      </w:pPr>
    </w:lvl>
    <w:lvl w:ilvl="5" w:tplc="66F8B878">
      <w:start w:val="1"/>
      <w:numFmt w:val="lowerRoman"/>
      <w:lvlText w:val="%6."/>
      <w:lvlJc w:val="right"/>
      <w:pPr>
        <w:ind w:left="4320" w:hanging="180"/>
      </w:pPr>
    </w:lvl>
    <w:lvl w:ilvl="6" w:tplc="4AE24B46">
      <w:start w:val="1"/>
      <w:numFmt w:val="decimal"/>
      <w:lvlText w:val="%7."/>
      <w:lvlJc w:val="left"/>
      <w:pPr>
        <w:ind w:left="5040" w:hanging="360"/>
      </w:pPr>
    </w:lvl>
    <w:lvl w:ilvl="7" w:tplc="22080A74">
      <w:start w:val="1"/>
      <w:numFmt w:val="lowerLetter"/>
      <w:lvlText w:val="%8."/>
      <w:lvlJc w:val="left"/>
      <w:pPr>
        <w:ind w:left="5760" w:hanging="360"/>
      </w:pPr>
    </w:lvl>
    <w:lvl w:ilvl="8" w:tplc="537C57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7320A"/>
    <w:multiLevelType w:val="hybridMultilevel"/>
    <w:tmpl w:val="D0BAE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26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5633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5122746">
    <w:abstractNumId w:val="3"/>
  </w:num>
  <w:num w:numId="4" w16cid:durableId="1185366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34"/>
    <w:rsid w:val="00076CDB"/>
    <w:rsid w:val="000876D7"/>
    <w:rsid w:val="003864D4"/>
    <w:rsid w:val="003A4776"/>
    <w:rsid w:val="003D23AF"/>
    <w:rsid w:val="00530F0D"/>
    <w:rsid w:val="005975F3"/>
    <w:rsid w:val="006024E6"/>
    <w:rsid w:val="00756413"/>
    <w:rsid w:val="00792A49"/>
    <w:rsid w:val="007C4524"/>
    <w:rsid w:val="007D33F1"/>
    <w:rsid w:val="007D5C31"/>
    <w:rsid w:val="00853FA2"/>
    <w:rsid w:val="00865D97"/>
    <w:rsid w:val="00A0121E"/>
    <w:rsid w:val="00A71122"/>
    <w:rsid w:val="00A83FFD"/>
    <w:rsid w:val="00AC062A"/>
    <w:rsid w:val="00AE576D"/>
    <w:rsid w:val="00AF0DA0"/>
    <w:rsid w:val="00AF1F06"/>
    <w:rsid w:val="00ED5A34"/>
    <w:rsid w:val="00F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1D33"/>
  <w15:chartTrackingRefBased/>
  <w15:docId w15:val="{E0E322E1-FB3C-47D0-8411-E6A92607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E07"/>
    <w:pPr>
      <w:spacing w:line="256" w:lineRule="auto"/>
    </w:pPr>
    <w:rPr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D5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5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D5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D5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D5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D5A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D5A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D5A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D5A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5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5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D5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D5A3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D5A3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D5A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D5A3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D5A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D5A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D5A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D5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D5A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D5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D5A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D5A3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D5A3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D5A3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D5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D5A3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D5A34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Fuentedeprrafopredeter"/>
    <w:rsid w:val="00FC6E07"/>
  </w:style>
  <w:style w:type="character" w:customStyle="1" w:styleId="FontStyle25">
    <w:name w:val="Font Style25"/>
    <w:basedOn w:val="Fuentedeprrafopredeter"/>
    <w:uiPriority w:val="99"/>
    <w:rsid w:val="00FC6E07"/>
    <w:rPr>
      <w:rFonts w:ascii="Angsana New" w:hAnsi="Angsana New" w:cs="Angsana New" w:hint="cs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Props1.xml><?xml version="1.0" encoding="utf-8"?>
<ds:datastoreItem xmlns:ds="http://schemas.openxmlformats.org/officeDocument/2006/customXml" ds:itemID="{4E8CA090-89A9-4D9B-9D17-F20ABDFD1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D94D1-027D-4C54-BD90-357E61390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5C07E-1BA6-4A50-A7AF-7579282C10BE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6</cp:revision>
  <dcterms:created xsi:type="dcterms:W3CDTF">2024-05-24T21:41:00Z</dcterms:created>
  <dcterms:modified xsi:type="dcterms:W3CDTF">2024-05-27T20:15:00Z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