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54AE3" w14:textId="77777777" w:rsidR="00B411A9" w:rsidRPr="000D06B9" w:rsidRDefault="00B411A9" w:rsidP="00B411A9">
      <w:pPr>
        <w:tabs>
          <w:tab w:val="center" w:pos="3985"/>
        </w:tabs>
        <w:suppressAutoHyphens/>
        <w:jc w:val="center"/>
        <w:rPr>
          <w:rFonts w:ascii="Century Gothic" w:hAnsi="Century Gothic" w:cs="Arial"/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D06B9">
        <w:rPr>
          <w:rFonts w:ascii="Century Gothic" w:hAnsi="Century Gothic" w:cs="Arial"/>
          <w:b/>
          <w:noProof/>
          <w:sz w:val="22"/>
          <w:szCs w:val="22"/>
          <w:lang w:val="en-US" w:eastAsia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59264" behindDoc="0" locked="0" layoutInCell="1" allowOverlap="1" wp14:anchorId="06916D23" wp14:editId="14148D97">
            <wp:simplePos x="0" y="0"/>
            <wp:positionH relativeFrom="margin">
              <wp:posOffset>-95250</wp:posOffset>
            </wp:positionH>
            <wp:positionV relativeFrom="paragraph">
              <wp:posOffset>1270</wp:posOffset>
            </wp:positionV>
            <wp:extent cx="2438400" cy="638175"/>
            <wp:effectExtent l="0" t="0" r="0" b="952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06B9">
        <w:rPr>
          <w:rFonts w:ascii="Century Gothic" w:hAnsi="Century Gothic" w:cs="Arial"/>
          <w:b/>
          <w:sz w:val="22"/>
          <w:szCs w:val="22"/>
          <w:lang w:val="es-MX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JUZGADO SESENTA Y CUATRO (64) ADMINISTRATIVO DE ORALIDAD DEL CIRCUITO JUDICIAL DE BOGOTÁ - SECCIÓN TERCERA</w:t>
      </w:r>
    </w:p>
    <w:p w14:paraId="0D06E22D" w14:textId="77777777" w:rsidR="00B411A9" w:rsidRPr="000D06B9" w:rsidRDefault="00B411A9" w:rsidP="00B411A9">
      <w:pPr>
        <w:tabs>
          <w:tab w:val="left" w:pos="-720"/>
        </w:tabs>
        <w:suppressAutoHyphens/>
        <w:rPr>
          <w:rFonts w:ascii="Century Gothic" w:hAnsi="Century Gothic"/>
          <w:spacing w:val="-3"/>
          <w:sz w:val="22"/>
          <w:szCs w:val="22"/>
        </w:rPr>
      </w:pPr>
    </w:p>
    <w:p w14:paraId="5C1F87A0" w14:textId="542A5EFF" w:rsidR="00B411A9" w:rsidRPr="00866864" w:rsidRDefault="00B411A9" w:rsidP="00B411A9">
      <w:pPr>
        <w:suppressAutoHyphens/>
        <w:rPr>
          <w:rFonts w:ascii="Century Gothic" w:hAnsi="Century Gothic"/>
          <w:spacing w:val="-3"/>
          <w:sz w:val="23"/>
          <w:szCs w:val="23"/>
        </w:rPr>
      </w:pPr>
      <w:r w:rsidRPr="00866864">
        <w:rPr>
          <w:rFonts w:ascii="Century Gothic" w:hAnsi="Century Gothic"/>
          <w:spacing w:val="-3"/>
          <w:sz w:val="23"/>
          <w:szCs w:val="23"/>
        </w:rPr>
        <w:t>Bogotá D.C, Veintinueve (29) de Mayo de dos mil veinticuatro (2024)</w:t>
      </w:r>
    </w:p>
    <w:p w14:paraId="40A2F691" w14:textId="77777777" w:rsidR="00B411A9" w:rsidRPr="00866864" w:rsidRDefault="00B411A9" w:rsidP="00B411A9">
      <w:pPr>
        <w:tabs>
          <w:tab w:val="left" w:pos="-720"/>
        </w:tabs>
        <w:suppressAutoHyphens/>
        <w:rPr>
          <w:rFonts w:ascii="Century Gothic" w:hAnsi="Century Gothic"/>
          <w:spacing w:val="-3"/>
          <w:sz w:val="23"/>
          <w:szCs w:val="23"/>
        </w:rPr>
      </w:pPr>
    </w:p>
    <w:tbl>
      <w:tblPr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1"/>
        <w:gridCol w:w="6657"/>
      </w:tblGrid>
      <w:tr w:rsidR="00B411A9" w:rsidRPr="00866864" w14:paraId="40083E4C" w14:textId="77777777" w:rsidTr="00F0697A">
        <w:trPr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F2AA" w14:textId="77777777" w:rsidR="00B411A9" w:rsidRPr="00866864" w:rsidRDefault="00B411A9" w:rsidP="00F0697A">
            <w:pPr>
              <w:tabs>
                <w:tab w:val="left" w:pos="-720"/>
              </w:tabs>
              <w:suppressAutoHyphens/>
              <w:jc w:val="both"/>
              <w:rPr>
                <w:rFonts w:ascii="Century Gothic" w:hAnsi="Century Gothic"/>
                <w:b/>
                <w:spacing w:val="-3"/>
                <w:sz w:val="23"/>
                <w:szCs w:val="23"/>
              </w:rPr>
            </w:pPr>
            <w:r w:rsidRPr="00866864">
              <w:rPr>
                <w:rFonts w:ascii="Century Gothic" w:hAnsi="Century Gothic"/>
                <w:b/>
                <w:spacing w:val="-3"/>
                <w:sz w:val="23"/>
                <w:szCs w:val="23"/>
              </w:rPr>
              <w:t xml:space="preserve">Juez 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435E" w14:textId="77777777" w:rsidR="00B411A9" w:rsidRPr="00866864" w:rsidRDefault="00B411A9" w:rsidP="00F0697A">
            <w:pPr>
              <w:tabs>
                <w:tab w:val="left" w:pos="-720"/>
              </w:tabs>
              <w:suppressAutoHyphens/>
              <w:jc w:val="both"/>
              <w:rPr>
                <w:rFonts w:ascii="Century Gothic" w:hAnsi="Century Gothic"/>
                <w:bCs/>
                <w:spacing w:val="-3"/>
                <w:sz w:val="23"/>
                <w:szCs w:val="23"/>
              </w:rPr>
            </w:pPr>
            <w:r w:rsidRPr="00866864">
              <w:rPr>
                <w:rFonts w:ascii="Century Gothic" w:hAnsi="Century Gothic"/>
                <w:bCs/>
                <w:spacing w:val="-3"/>
                <w:sz w:val="23"/>
                <w:szCs w:val="23"/>
              </w:rPr>
              <w:t>John Alexander Ceballos Gaviria</w:t>
            </w:r>
          </w:p>
        </w:tc>
      </w:tr>
      <w:tr w:rsidR="00B411A9" w:rsidRPr="00866864" w14:paraId="6DBEEF05" w14:textId="77777777" w:rsidTr="00F0697A">
        <w:trPr>
          <w:trHeight w:val="226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B896" w14:textId="77777777" w:rsidR="00B411A9" w:rsidRPr="00866864" w:rsidRDefault="00B411A9" w:rsidP="00F0697A">
            <w:pPr>
              <w:tabs>
                <w:tab w:val="left" w:pos="-720"/>
              </w:tabs>
              <w:suppressAutoHyphens/>
              <w:jc w:val="both"/>
              <w:rPr>
                <w:rFonts w:ascii="Century Gothic" w:hAnsi="Century Gothic"/>
                <w:b/>
                <w:spacing w:val="-3"/>
                <w:sz w:val="23"/>
                <w:szCs w:val="23"/>
              </w:rPr>
            </w:pPr>
            <w:r w:rsidRPr="00866864">
              <w:rPr>
                <w:rFonts w:ascii="Century Gothic" w:hAnsi="Century Gothic"/>
                <w:b/>
                <w:spacing w:val="-3"/>
                <w:sz w:val="23"/>
                <w:szCs w:val="23"/>
              </w:rPr>
              <w:t>Medio de Control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1734" w14:textId="77777777" w:rsidR="00B411A9" w:rsidRPr="00866864" w:rsidRDefault="00B411A9" w:rsidP="00F0697A">
            <w:pPr>
              <w:tabs>
                <w:tab w:val="left" w:pos="-720"/>
              </w:tabs>
              <w:suppressAutoHyphens/>
              <w:jc w:val="both"/>
              <w:rPr>
                <w:rFonts w:ascii="Century Gothic" w:hAnsi="Century Gothic"/>
                <w:bCs/>
                <w:spacing w:val="-3"/>
                <w:sz w:val="23"/>
                <w:szCs w:val="23"/>
              </w:rPr>
            </w:pPr>
            <w:r w:rsidRPr="00866864">
              <w:rPr>
                <w:rFonts w:ascii="Century Gothic" w:hAnsi="Century Gothic"/>
                <w:bCs/>
                <w:spacing w:val="-3"/>
                <w:sz w:val="23"/>
                <w:szCs w:val="23"/>
              </w:rPr>
              <w:t>Reparación directa</w:t>
            </w:r>
          </w:p>
        </w:tc>
      </w:tr>
      <w:tr w:rsidR="00B411A9" w:rsidRPr="00866864" w14:paraId="5E5C54E8" w14:textId="77777777" w:rsidTr="00F0697A">
        <w:trPr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7772" w14:textId="77777777" w:rsidR="00B411A9" w:rsidRPr="00866864" w:rsidRDefault="00B411A9" w:rsidP="00F0697A">
            <w:pPr>
              <w:tabs>
                <w:tab w:val="left" w:pos="-720"/>
              </w:tabs>
              <w:suppressAutoHyphens/>
              <w:jc w:val="both"/>
              <w:rPr>
                <w:rFonts w:ascii="Century Gothic" w:hAnsi="Century Gothic"/>
                <w:b/>
                <w:spacing w:val="-3"/>
                <w:sz w:val="23"/>
                <w:szCs w:val="23"/>
              </w:rPr>
            </w:pPr>
            <w:r w:rsidRPr="00866864">
              <w:rPr>
                <w:rFonts w:ascii="Century Gothic" w:hAnsi="Century Gothic"/>
                <w:b/>
                <w:spacing w:val="-3"/>
                <w:sz w:val="23"/>
                <w:szCs w:val="23"/>
              </w:rPr>
              <w:t>Ref. Expediente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2827" w14:textId="2933C2CF" w:rsidR="00B411A9" w:rsidRPr="00866864" w:rsidRDefault="00B411A9" w:rsidP="00F0697A">
            <w:pPr>
              <w:tabs>
                <w:tab w:val="left" w:pos="-720"/>
              </w:tabs>
              <w:suppressAutoHyphens/>
              <w:jc w:val="both"/>
              <w:rPr>
                <w:rFonts w:ascii="Century Gothic" w:hAnsi="Century Gothic"/>
                <w:b/>
                <w:spacing w:val="-3"/>
                <w:sz w:val="23"/>
                <w:szCs w:val="23"/>
              </w:rPr>
            </w:pPr>
            <w:r w:rsidRPr="00866864">
              <w:rPr>
                <w:rFonts w:ascii="Century Gothic" w:hAnsi="Century Gothic"/>
                <w:b/>
                <w:spacing w:val="-3"/>
                <w:sz w:val="23"/>
                <w:szCs w:val="23"/>
              </w:rPr>
              <w:t>110013343064-2017-00063-00</w:t>
            </w:r>
          </w:p>
        </w:tc>
      </w:tr>
      <w:tr w:rsidR="00B411A9" w:rsidRPr="00866864" w14:paraId="42F6666F" w14:textId="77777777" w:rsidTr="00F0697A">
        <w:trPr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21F9" w14:textId="77777777" w:rsidR="00B411A9" w:rsidRPr="00866864" w:rsidRDefault="00B411A9" w:rsidP="00F0697A">
            <w:pPr>
              <w:tabs>
                <w:tab w:val="left" w:pos="-720"/>
              </w:tabs>
              <w:suppressAutoHyphens/>
              <w:jc w:val="both"/>
              <w:rPr>
                <w:rFonts w:ascii="Century Gothic" w:hAnsi="Century Gothic"/>
                <w:b/>
                <w:spacing w:val="-3"/>
                <w:sz w:val="23"/>
                <w:szCs w:val="23"/>
              </w:rPr>
            </w:pPr>
            <w:r w:rsidRPr="00866864">
              <w:rPr>
                <w:rFonts w:ascii="Century Gothic" w:hAnsi="Century Gothic"/>
                <w:b/>
                <w:spacing w:val="-3"/>
                <w:sz w:val="23"/>
                <w:szCs w:val="23"/>
              </w:rPr>
              <w:t>Demandante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1130" w14:textId="402D4EA1" w:rsidR="00B411A9" w:rsidRPr="00866864" w:rsidRDefault="00B411A9" w:rsidP="00F0697A">
            <w:pPr>
              <w:tabs>
                <w:tab w:val="left" w:pos="-720"/>
              </w:tabs>
              <w:suppressAutoHyphens/>
              <w:jc w:val="both"/>
              <w:rPr>
                <w:rFonts w:ascii="Century Gothic" w:hAnsi="Century Gothic"/>
                <w:bCs/>
                <w:spacing w:val="-3"/>
                <w:sz w:val="23"/>
                <w:szCs w:val="23"/>
              </w:rPr>
            </w:pPr>
            <w:r w:rsidRPr="00866864">
              <w:rPr>
                <w:rFonts w:ascii="Century Gothic" w:hAnsi="Century Gothic"/>
                <w:bCs/>
                <w:spacing w:val="-3"/>
                <w:sz w:val="23"/>
                <w:szCs w:val="23"/>
              </w:rPr>
              <w:t>Iván Rene Ariza Peña</w:t>
            </w:r>
            <w:r w:rsidR="00C72571" w:rsidRPr="00866864">
              <w:rPr>
                <w:rFonts w:ascii="Century Gothic" w:hAnsi="Century Gothic"/>
                <w:bCs/>
                <w:spacing w:val="-3"/>
                <w:sz w:val="23"/>
                <w:szCs w:val="23"/>
              </w:rPr>
              <w:t xml:space="preserve"> y otros. </w:t>
            </w:r>
          </w:p>
        </w:tc>
      </w:tr>
      <w:tr w:rsidR="00B411A9" w:rsidRPr="00866864" w14:paraId="156033C9" w14:textId="77777777" w:rsidTr="00F0697A">
        <w:trPr>
          <w:trHeight w:val="215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7DE1" w14:textId="77777777" w:rsidR="00B411A9" w:rsidRPr="00866864" w:rsidRDefault="00B411A9" w:rsidP="00F0697A">
            <w:pPr>
              <w:tabs>
                <w:tab w:val="left" w:pos="-720"/>
              </w:tabs>
              <w:suppressAutoHyphens/>
              <w:jc w:val="both"/>
              <w:rPr>
                <w:rFonts w:ascii="Century Gothic" w:hAnsi="Century Gothic"/>
                <w:b/>
                <w:spacing w:val="-3"/>
                <w:sz w:val="23"/>
                <w:szCs w:val="23"/>
              </w:rPr>
            </w:pPr>
            <w:r w:rsidRPr="00866864">
              <w:rPr>
                <w:rFonts w:ascii="Century Gothic" w:hAnsi="Century Gothic"/>
                <w:b/>
                <w:spacing w:val="-3"/>
                <w:sz w:val="23"/>
                <w:szCs w:val="23"/>
              </w:rPr>
              <w:t>Demandado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D423" w14:textId="6F25D4B0" w:rsidR="00B411A9" w:rsidRPr="00866864" w:rsidRDefault="00B411A9" w:rsidP="00F0697A">
            <w:pPr>
              <w:tabs>
                <w:tab w:val="left" w:pos="-720"/>
              </w:tabs>
              <w:suppressAutoHyphens/>
              <w:jc w:val="both"/>
              <w:rPr>
                <w:rFonts w:ascii="Century Gothic" w:hAnsi="Century Gothic"/>
                <w:bCs/>
                <w:spacing w:val="-3"/>
                <w:sz w:val="23"/>
                <w:szCs w:val="23"/>
              </w:rPr>
            </w:pPr>
            <w:r w:rsidRPr="00866864">
              <w:rPr>
                <w:rFonts w:ascii="Century Gothic" w:hAnsi="Century Gothic"/>
                <w:bCs/>
                <w:spacing w:val="-3"/>
                <w:sz w:val="23"/>
                <w:szCs w:val="23"/>
              </w:rPr>
              <w:t xml:space="preserve">Ministerio de Defensa – Policía Nacional y Otro. </w:t>
            </w:r>
          </w:p>
        </w:tc>
      </w:tr>
    </w:tbl>
    <w:p w14:paraId="26AF742C" w14:textId="77777777" w:rsidR="00B411A9" w:rsidRPr="00866864" w:rsidRDefault="00B411A9" w:rsidP="00B411A9">
      <w:pPr>
        <w:rPr>
          <w:rFonts w:ascii="Century Gothic" w:hAnsi="Century Gothic" w:cs="Arial"/>
          <w:sz w:val="23"/>
          <w:szCs w:val="23"/>
        </w:rPr>
      </w:pPr>
    </w:p>
    <w:p w14:paraId="340880C5" w14:textId="61FE96A2" w:rsidR="00B411A9" w:rsidRPr="00866864" w:rsidRDefault="009C1204" w:rsidP="00B411A9">
      <w:pPr>
        <w:jc w:val="center"/>
        <w:rPr>
          <w:rFonts w:ascii="Century Gothic" w:hAnsi="Century Gothic" w:cs="Arial"/>
          <w:b/>
          <w:sz w:val="23"/>
          <w:szCs w:val="23"/>
        </w:rPr>
      </w:pPr>
      <w:r w:rsidRPr="00866864">
        <w:rPr>
          <w:rFonts w:ascii="Century Gothic" w:hAnsi="Century Gothic" w:cs="Arial"/>
          <w:b/>
          <w:sz w:val="23"/>
          <w:szCs w:val="23"/>
        </w:rPr>
        <w:t xml:space="preserve">NOTIFICACION CONDUCTA CONCLUYENTE </w:t>
      </w:r>
      <w:r w:rsidR="00EE58F8" w:rsidRPr="00866864">
        <w:rPr>
          <w:rFonts w:ascii="Century Gothic" w:hAnsi="Century Gothic" w:cs="Arial"/>
          <w:b/>
          <w:sz w:val="23"/>
          <w:szCs w:val="23"/>
        </w:rPr>
        <w:t>– DEJA</w:t>
      </w:r>
      <w:r w:rsidR="003D10DE" w:rsidRPr="00866864">
        <w:rPr>
          <w:rFonts w:ascii="Century Gothic" w:hAnsi="Century Gothic" w:cs="Arial"/>
          <w:b/>
          <w:sz w:val="23"/>
          <w:szCs w:val="23"/>
        </w:rPr>
        <w:t>R</w:t>
      </w:r>
      <w:r w:rsidR="00EE58F8" w:rsidRPr="00866864">
        <w:rPr>
          <w:rFonts w:ascii="Century Gothic" w:hAnsi="Century Gothic" w:cs="Arial"/>
          <w:b/>
          <w:sz w:val="23"/>
          <w:szCs w:val="23"/>
        </w:rPr>
        <w:t xml:space="preserve"> SIN EFECTO NOTIFICACION </w:t>
      </w:r>
      <w:r w:rsidRPr="00866864">
        <w:rPr>
          <w:rFonts w:ascii="Century Gothic" w:hAnsi="Century Gothic" w:cs="Arial"/>
          <w:b/>
          <w:sz w:val="23"/>
          <w:szCs w:val="23"/>
        </w:rPr>
        <w:t>REALIZADA POR SECRETARIA</w:t>
      </w:r>
      <w:r w:rsidR="00EE58F8" w:rsidRPr="00866864">
        <w:rPr>
          <w:rFonts w:ascii="Century Gothic" w:hAnsi="Century Gothic" w:cs="Arial"/>
          <w:b/>
          <w:sz w:val="23"/>
          <w:szCs w:val="23"/>
        </w:rPr>
        <w:t xml:space="preserve">- </w:t>
      </w:r>
      <w:r w:rsidR="00BB0F1D" w:rsidRPr="00866864">
        <w:rPr>
          <w:rFonts w:ascii="Century Gothic" w:hAnsi="Century Gothic" w:cs="Arial"/>
          <w:b/>
          <w:sz w:val="23"/>
          <w:szCs w:val="23"/>
        </w:rPr>
        <w:t>ORDENA CORRER TRASLADO DE EXCEPCIONES</w:t>
      </w:r>
      <w:r w:rsidR="00EE58F8" w:rsidRPr="00866864">
        <w:rPr>
          <w:rFonts w:ascii="Century Gothic" w:hAnsi="Century Gothic" w:cs="Arial"/>
          <w:b/>
          <w:sz w:val="23"/>
          <w:szCs w:val="23"/>
        </w:rPr>
        <w:t xml:space="preserve"> </w:t>
      </w:r>
    </w:p>
    <w:p w14:paraId="4540D5AA" w14:textId="77777777" w:rsidR="00B411A9" w:rsidRPr="00866864" w:rsidRDefault="00B411A9" w:rsidP="00B411A9">
      <w:pPr>
        <w:jc w:val="both"/>
        <w:rPr>
          <w:rFonts w:ascii="Century Gothic" w:hAnsi="Century Gothic" w:cs="Arial"/>
          <w:sz w:val="23"/>
          <w:szCs w:val="23"/>
          <w:lang w:val="es-CO"/>
        </w:rPr>
      </w:pPr>
    </w:p>
    <w:p w14:paraId="6351BB43" w14:textId="77777777" w:rsidR="00B411A9" w:rsidRPr="00866864" w:rsidRDefault="00B411A9" w:rsidP="00B411A9">
      <w:pPr>
        <w:pStyle w:val="Prrafodelista"/>
        <w:numPr>
          <w:ilvl w:val="0"/>
          <w:numId w:val="2"/>
        </w:numPr>
        <w:jc w:val="both"/>
        <w:rPr>
          <w:rFonts w:ascii="Century Gothic" w:hAnsi="Century Gothic" w:cs="Arial"/>
          <w:b/>
          <w:bCs/>
          <w:sz w:val="23"/>
          <w:szCs w:val="23"/>
          <w:lang w:val="es-CO"/>
        </w:rPr>
      </w:pPr>
      <w:r w:rsidRPr="00866864">
        <w:rPr>
          <w:rFonts w:ascii="Century Gothic" w:hAnsi="Century Gothic" w:cs="Arial"/>
          <w:b/>
          <w:bCs/>
          <w:sz w:val="23"/>
          <w:szCs w:val="23"/>
          <w:lang w:val="es-CO"/>
        </w:rPr>
        <w:t>Antecedentes</w:t>
      </w:r>
    </w:p>
    <w:p w14:paraId="5189F7BE" w14:textId="77777777" w:rsidR="00B411A9" w:rsidRPr="00866864" w:rsidRDefault="00B411A9" w:rsidP="00B411A9">
      <w:pPr>
        <w:jc w:val="both"/>
        <w:rPr>
          <w:rFonts w:ascii="Century Gothic" w:hAnsi="Century Gothic" w:cs="Arial"/>
          <w:b/>
          <w:bCs/>
          <w:sz w:val="23"/>
          <w:szCs w:val="23"/>
          <w:lang w:val="es-CO"/>
        </w:rPr>
      </w:pPr>
    </w:p>
    <w:p w14:paraId="34F21E46" w14:textId="3715BDFB" w:rsidR="00B411A9" w:rsidRPr="00866864" w:rsidRDefault="00B411A9" w:rsidP="00B411A9">
      <w:pPr>
        <w:jc w:val="both"/>
        <w:rPr>
          <w:rFonts w:ascii="Century Gothic" w:hAnsi="Century Gothic" w:cs="Arial"/>
          <w:sz w:val="23"/>
          <w:szCs w:val="23"/>
          <w:lang w:val="es-CO"/>
        </w:rPr>
      </w:pPr>
      <w:r w:rsidRPr="00866864">
        <w:rPr>
          <w:rFonts w:ascii="Century Gothic" w:hAnsi="Century Gothic" w:cs="Arial"/>
          <w:sz w:val="23"/>
          <w:szCs w:val="23"/>
          <w:lang w:val="es-CO"/>
        </w:rPr>
        <w:t xml:space="preserve">La parte demandante pretende que se declare la responsabilidad de las demandadas por </w:t>
      </w:r>
      <w:r w:rsidR="00C72571" w:rsidRPr="00866864">
        <w:rPr>
          <w:rFonts w:ascii="Century Gothic" w:hAnsi="Century Gothic" w:cs="Arial"/>
          <w:sz w:val="23"/>
          <w:szCs w:val="23"/>
          <w:lang w:val="es-CO"/>
        </w:rPr>
        <w:t>las lesiones y secuelas recibidas por el señor Iván Rene Ariza Peña</w:t>
      </w:r>
      <w:r w:rsidRPr="00866864">
        <w:rPr>
          <w:rFonts w:ascii="Century Gothic" w:hAnsi="Century Gothic" w:cs="Arial"/>
          <w:sz w:val="23"/>
          <w:szCs w:val="23"/>
          <w:lang w:val="es-CO"/>
        </w:rPr>
        <w:t xml:space="preserve">, </w:t>
      </w:r>
      <w:r w:rsidR="00C72571" w:rsidRPr="00866864">
        <w:rPr>
          <w:rFonts w:ascii="Century Gothic" w:hAnsi="Century Gothic" w:cs="Arial"/>
          <w:sz w:val="23"/>
          <w:szCs w:val="23"/>
          <w:lang w:val="es-CO"/>
        </w:rPr>
        <w:t xml:space="preserve">en el accidente de </w:t>
      </w:r>
      <w:r w:rsidR="7FC27862" w:rsidRPr="00866864">
        <w:rPr>
          <w:rFonts w:ascii="Century Gothic" w:hAnsi="Century Gothic" w:cs="Arial"/>
          <w:sz w:val="23"/>
          <w:szCs w:val="23"/>
          <w:lang w:val="es-CO"/>
        </w:rPr>
        <w:t>tránsito</w:t>
      </w:r>
      <w:r w:rsidR="00C72571" w:rsidRPr="00866864">
        <w:rPr>
          <w:rFonts w:ascii="Century Gothic" w:hAnsi="Century Gothic" w:cs="Arial"/>
          <w:sz w:val="23"/>
          <w:szCs w:val="23"/>
          <w:lang w:val="es-CO"/>
        </w:rPr>
        <w:t xml:space="preserve"> relacionado en los hechos del 16 de septiembre de 2015.</w:t>
      </w:r>
    </w:p>
    <w:p w14:paraId="47802CA2" w14:textId="77777777" w:rsidR="00B411A9" w:rsidRPr="00866864" w:rsidRDefault="00B411A9" w:rsidP="00B411A9">
      <w:pPr>
        <w:jc w:val="both"/>
        <w:rPr>
          <w:rFonts w:ascii="Century Gothic" w:hAnsi="Century Gothic" w:cs="Arial"/>
          <w:sz w:val="23"/>
          <w:szCs w:val="23"/>
          <w:lang w:val="es-CO"/>
        </w:rPr>
      </w:pPr>
    </w:p>
    <w:p w14:paraId="1B3D2E73" w14:textId="77777777" w:rsidR="00B411A9" w:rsidRPr="00866864" w:rsidRDefault="00B411A9" w:rsidP="00B411A9">
      <w:pPr>
        <w:jc w:val="both"/>
        <w:rPr>
          <w:rFonts w:ascii="Century Gothic" w:hAnsi="Century Gothic" w:cs="Arial"/>
          <w:sz w:val="23"/>
          <w:szCs w:val="23"/>
          <w:lang w:val="es-CO"/>
        </w:rPr>
      </w:pPr>
      <w:r w:rsidRPr="00866864">
        <w:rPr>
          <w:rFonts w:ascii="Century Gothic" w:hAnsi="Century Gothic" w:cs="Arial"/>
          <w:sz w:val="23"/>
          <w:szCs w:val="23"/>
          <w:lang w:val="es-CO"/>
        </w:rPr>
        <w:t>En consecuencia, solicitó que se le indemnicen los daños causados.</w:t>
      </w:r>
    </w:p>
    <w:p w14:paraId="152BC553" w14:textId="77777777" w:rsidR="00B411A9" w:rsidRPr="00866864" w:rsidRDefault="00B411A9" w:rsidP="00B411A9">
      <w:pPr>
        <w:jc w:val="both"/>
        <w:rPr>
          <w:rFonts w:ascii="Century Gothic" w:hAnsi="Century Gothic" w:cs="Arial"/>
          <w:sz w:val="23"/>
          <w:szCs w:val="23"/>
          <w:lang w:val="es-CO"/>
        </w:rPr>
      </w:pPr>
    </w:p>
    <w:p w14:paraId="4B3DC8EF" w14:textId="77777777" w:rsidR="00B411A9" w:rsidRPr="00866864" w:rsidRDefault="00B411A9" w:rsidP="00B411A9">
      <w:pPr>
        <w:jc w:val="both"/>
        <w:rPr>
          <w:rFonts w:ascii="Century Gothic" w:hAnsi="Century Gothic" w:cs="Arial"/>
          <w:sz w:val="23"/>
          <w:szCs w:val="23"/>
          <w:lang w:val="es-CO"/>
        </w:rPr>
      </w:pPr>
      <w:r w:rsidRPr="00866864">
        <w:rPr>
          <w:rFonts w:ascii="Century Gothic" w:hAnsi="Century Gothic" w:cs="Arial"/>
          <w:sz w:val="23"/>
          <w:szCs w:val="23"/>
          <w:lang w:val="es-CO"/>
        </w:rPr>
        <w:t>Una vez admitida la demanda se surtió el siguiente trámite procesal.</w:t>
      </w:r>
    </w:p>
    <w:p w14:paraId="1C52531E" w14:textId="77777777" w:rsidR="00B411A9" w:rsidRPr="00866864" w:rsidRDefault="00B411A9" w:rsidP="00B411A9">
      <w:pPr>
        <w:jc w:val="both"/>
        <w:rPr>
          <w:rFonts w:ascii="Century Gothic" w:hAnsi="Century Gothic" w:cs="Arial"/>
          <w:sz w:val="23"/>
          <w:szCs w:val="23"/>
          <w:lang w:val="es-CO"/>
        </w:rPr>
      </w:pPr>
    </w:p>
    <w:p w14:paraId="1D4B54A8" w14:textId="782D7D2C" w:rsidR="00B411A9" w:rsidRPr="00866864" w:rsidRDefault="00B411A9" w:rsidP="00B411A9">
      <w:pPr>
        <w:pStyle w:val="Prrafodelista"/>
        <w:numPr>
          <w:ilvl w:val="0"/>
          <w:numId w:val="1"/>
        </w:numPr>
        <w:jc w:val="both"/>
        <w:rPr>
          <w:rFonts w:ascii="Century Gothic" w:hAnsi="Century Gothic" w:cs="Arial"/>
          <w:sz w:val="23"/>
          <w:szCs w:val="23"/>
        </w:rPr>
      </w:pPr>
      <w:bookmarkStart w:id="0" w:name="_Int_FFWqCot1"/>
      <w:r w:rsidRPr="00866864">
        <w:rPr>
          <w:rFonts w:ascii="Century Gothic" w:hAnsi="Century Gothic"/>
          <w:spacing w:val="-3"/>
          <w:sz w:val="23"/>
          <w:szCs w:val="23"/>
        </w:rPr>
        <w:t>La demanda</w:t>
      </w:r>
      <w:r w:rsidR="0010402D" w:rsidRPr="00866864">
        <w:rPr>
          <w:rFonts w:ascii="Century Gothic" w:hAnsi="Century Gothic"/>
          <w:spacing w:val="-3"/>
          <w:sz w:val="23"/>
          <w:szCs w:val="23"/>
        </w:rPr>
        <w:t xml:space="preserve"> </w:t>
      </w:r>
      <w:r w:rsidRPr="00866864">
        <w:rPr>
          <w:rFonts w:ascii="Century Gothic" w:hAnsi="Century Gothic"/>
          <w:spacing w:val="-3"/>
          <w:sz w:val="23"/>
          <w:szCs w:val="23"/>
        </w:rPr>
        <w:t>fue debidamente notificad</w:t>
      </w:r>
      <w:r w:rsidR="00C72571" w:rsidRPr="00866864">
        <w:rPr>
          <w:rFonts w:ascii="Century Gothic" w:hAnsi="Century Gothic"/>
          <w:spacing w:val="-3"/>
          <w:sz w:val="23"/>
          <w:szCs w:val="23"/>
        </w:rPr>
        <w:t xml:space="preserve">a </w:t>
      </w:r>
      <w:r w:rsidR="0010402D" w:rsidRPr="00866864">
        <w:rPr>
          <w:rFonts w:ascii="Century Gothic" w:hAnsi="Century Gothic"/>
          <w:spacing w:val="-3"/>
          <w:sz w:val="23"/>
          <w:szCs w:val="23"/>
        </w:rPr>
        <w:t xml:space="preserve">hasta </w:t>
      </w:r>
      <w:r w:rsidR="00C72571" w:rsidRPr="00866864">
        <w:rPr>
          <w:rFonts w:ascii="Century Gothic" w:hAnsi="Century Gothic"/>
          <w:spacing w:val="-3"/>
          <w:sz w:val="23"/>
          <w:szCs w:val="23"/>
        </w:rPr>
        <w:t>el</w:t>
      </w:r>
      <w:r w:rsidRPr="00866864">
        <w:rPr>
          <w:rFonts w:ascii="Century Gothic" w:hAnsi="Century Gothic"/>
          <w:spacing w:val="-3"/>
          <w:sz w:val="23"/>
          <w:szCs w:val="23"/>
        </w:rPr>
        <w:t xml:space="preserve"> </w:t>
      </w:r>
      <w:r w:rsidR="0010402D" w:rsidRPr="00866864">
        <w:rPr>
          <w:rFonts w:ascii="Century Gothic" w:hAnsi="Century Gothic"/>
          <w:spacing w:val="-3"/>
          <w:sz w:val="23"/>
          <w:szCs w:val="23"/>
        </w:rPr>
        <w:t xml:space="preserve">día </w:t>
      </w:r>
      <w:r w:rsidRPr="00866864">
        <w:rPr>
          <w:rFonts w:ascii="Century Gothic" w:hAnsi="Century Gothic"/>
          <w:spacing w:val="-3"/>
          <w:sz w:val="23"/>
          <w:szCs w:val="23"/>
        </w:rPr>
        <w:t>1</w:t>
      </w:r>
      <w:r w:rsidR="00C72571" w:rsidRPr="00866864">
        <w:rPr>
          <w:rFonts w:ascii="Century Gothic" w:hAnsi="Century Gothic"/>
          <w:spacing w:val="-3"/>
          <w:sz w:val="23"/>
          <w:szCs w:val="23"/>
        </w:rPr>
        <w:t>9</w:t>
      </w:r>
      <w:r w:rsidRPr="00866864">
        <w:rPr>
          <w:rFonts w:ascii="Century Gothic" w:hAnsi="Century Gothic"/>
          <w:spacing w:val="-3"/>
          <w:sz w:val="23"/>
          <w:szCs w:val="23"/>
        </w:rPr>
        <w:t xml:space="preserve"> de </w:t>
      </w:r>
      <w:r w:rsidR="00C72571" w:rsidRPr="00866864">
        <w:rPr>
          <w:rFonts w:ascii="Century Gothic" w:hAnsi="Century Gothic"/>
          <w:spacing w:val="-3"/>
          <w:sz w:val="23"/>
          <w:szCs w:val="23"/>
        </w:rPr>
        <w:t>marzo</w:t>
      </w:r>
      <w:r w:rsidRPr="00866864">
        <w:rPr>
          <w:rFonts w:ascii="Century Gothic" w:hAnsi="Century Gothic"/>
          <w:spacing w:val="-3"/>
          <w:sz w:val="23"/>
          <w:szCs w:val="23"/>
        </w:rPr>
        <w:t xml:space="preserve"> de 20</w:t>
      </w:r>
      <w:r w:rsidR="00C72571" w:rsidRPr="00866864">
        <w:rPr>
          <w:rFonts w:ascii="Century Gothic" w:hAnsi="Century Gothic"/>
          <w:spacing w:val="-3"/>
          <w:sz w:val="23"/>
          <w:szCs w:val="23"/>
        </w:rPr>
        <w:t>19</w:t>
      </w:r>
      <w:r w:rsidR="0010402D" w:rsidRPr="00866864">
        <w:rPr>
          <w:rFonts w:ascii="Century Gothic" w:hAnsi="Century Gothic"/>
          <w:spacing w:val="-3"/>
          <w:sz w:val="23"/>
          <w:szCs w:val="23"/>
        </w:rPr>
        <w:t>, momento para el cual se notificó al Instituto Nacional de Vías – INVIAS.</w:t>
      </w:r>
      <w:bookmarkEnd w:id="0"/>
      <w:r w:rsidR="0010402D" w:rsidRPr="00866864">
        <w:rPr>
          <w:rFonts w:ascii="Century Gothic" w:hAnsi="Century Gothic"/>
          <w:spacing w:val="-3"/>
          <w:sz w:val="23"/>
          <w:szCs w:val="23"/>
        </w:rPr>
        <w:t xml:space="preserve"> </w:t>
      </w:r>
    </w:p>
    <w:p w14:paraId="6DFB71B1" w14:textId="77777777" w:rsidR="00B411A9" w:rsidRPr="00866864" w:rsidRDefault="00B411A9" w:rsidP="00B411A9">
      <w:pPr>
        <w:pStyle w:val="Prrafodelista"/>
        <w:jc w:val="both"/>
        <w:rPr>
          <w:rFonts w:ascii="Century Gothic" w:hAnsi="Century Gothic" w:cs="Arial"/>
          <w:sz w:val="23"/>
          <w:szCs w:val="23"/>
        </w:rPr>
      </w:pPr>
    </w:p>
    <w:p w14:paraId="62458A23" w14:textId="51D92EFF" w:rsidR="00B411A9" w:rsidRPr="00866864" w:rsidRDefault="00B411A9" w:rsidP="00B411A9">
      <w:pPr>
        <w:pStyle w:val="Prrafodelista"/>
        <w:numPr>
          <w:ilvl w:val="0"/>
          <w:numId w:val="1"/>
        </w:numPr>
        <w:jc w:val="both"/>
        <w:rPr>
          <w:rFonts w:ascii="Century Gothic" w:hAnsi="Century Gothic" w:cs="Arial"/>
          <w:sz w:val="23"/>
          <w:szCs w:val="23"/>
        </w:rPr>
      </w:pPr>
      <w:r w:rsidRPr="00866864">
        <w:rPr>
          <w:rFonts w:ascii="Century Gothic" w:hAnsi="Century Gothic" w:cs="Arial"/>
          <w:sz w:val="23"/>
          <w:szCs w:val="23"/>
        </w:rPr>
        <w:t xml:space="preserve">El término del traslado para la contestación de la demanda transcurrió entre el </w:t>
      </w:r>
      <w:r w:rsidR="00C72571" w:rsidRPr="00866864">
        <w:rPr>
          <w:rFonts w:ascii="Century Gothic" w:hAnsi="Century Gothic" w:cs="Arial"/>
          <w:sz w:val="23"/>
          <w:szCs w:val="23"/>
        </w:rPr>
        <w:t>20</w:t>
      </w:r>
      <w:r w:rsidRPr="00866864">
        <w:rPr>
          <w:rFonts w:ascii="Century Gothic" w:hAnsi="Century Gothic" w:cs="Arial"/>
          <w:sz w:val="23"/>
          <w:szCs w:val="23"/>
        </w:rPr>
        <w:t xml:space="preserve"> de </w:t>
      </w:r>
      <w:r w:rsidR="00C72571" w:rsidRPr="00866864">
        <w:rPr>
          <w:rFonts w:ascii="Century Gothic" w:hAnsi="Century Gothic" w:cs="Arial"/>
          <w:sz w:val="23"/>
          <w:szCs w:val="23"/>
        </w:rPr>
        <w:t>marzo</w:t>
      </w:r>
      <w:r w:rsidRPr="00866864">
        <w:rPr>
          <w:rFonts w:ascii="Century Gothic" w:hAnsi="Century Gothic" w:cs="Arial"/>
          <w:sz w:val="23"/>
          <w:szCs w:val="23"/>
        </w:rPr>
        <w:t xml:space="preserve"> de 20</w:t>
      </w:r>
      <w:r w:rsidR="00C72571" w:rsidRPr="00866864">
        <w:rPr>
          <w:rFonts w:ascii="Century Gothic" w:hAnsi="Century Gothic" w:cs="Arial"/>
          <w:sz w:val="23"/>
          <w:szCs w:val="23"/>
        </w:rPr>
        <w:t>19</w:t>
      </w:r>
      <w:r w:rsidRPr="00866864">
        <w:rPr>
          <w:rFonts w:ascii="Century Gothic" w:hAnsi="Century Gothic" w:cs="Arial"/>
          <w:sz w:val="23"/>
          <w:szCs w:val="23"/>
        </w:rPr>
        <w:t xml:space="preserve"> y el </w:t>
      </w:r>
      <w:r w:rsidR="00C72571" w:rsidRPr="00866864">
        <w:rPr>
          <w:rFonts w:ascii="Century Gothic" w:hAnsi="Century Gothic" w:cs="Arial"/>
          <w:sz w:val="23"/>
          <w:szCs w:val="23"/>
        </w:rPr>
        <w:t xml:space="preserve">14 </w:t>
      </w:r>
      <w:r w:rsidRPr="00866864">
        <w:rPr>
          <w:rFonts w:ascii="Century Gothic" w:hAnsi="Century Gothic" w:cs="Arial"/>
          <w:sz w:val="23"/>
          <w:szCs w:val="23"/>
        </w:rPr>
        <w:t xml:space="preserve">de </w:t>
      </w:r>
      <w:r w:rsidR="00C72571" w:rsidRPr="00866864">
        <w:rPr>
          <w:rFonts w:ascii="Century Gothic" w:hAnsi="Century Gothic" w:cs="Arial"/>
          <w:sz w:val="23"/>
          <w:szCs w:val="23"/>
        </w:rPr>
        <w:t>junio</w:t>
      </w:r>
      <w:r w:rsidRPr="00866864">
        <w:rPr>
          <w:rFonts w:ascii="Century Gothic" w:hAnsi="Century Gothic" w:cs="Arial"/>
          <w:sz w:val="23"/>
          <w:szCs w:val="23"/>
        </w:rPr>
        <w:t xml:space="preserve"> de 20</w:t>
      </w:r>
      <w:r w:rsidR="00C72571" w:rsidRPr="00866864">
        <w:rPr>
          <w:rFonts w:ascii="Century Gothic" w:hAnsi="Century Gothic" w:cs="Arial"/>
          <w:sz w:val="23"/>
          <w:szCs w:val="23"/>
        </w:rPr>
        <w:t>19</w:t>
      </w:r>
      <w:r w:rsidRPr="00866864">
        <w:rPr>
          <w:rFonts w:ascii="Century Gothic" w:hAnsi="Century Gothic" w:cs="Arial"/>
          <w:sz w:val="23"/>
          <w:szCs w:val="23"/>
        </w:rPr>
        <w:t>.</w:t>
      </w:r>
    </w:p>
    <w:p w14:paraId="20D13DDA" w14:textId="77777777" w:rsidR="00B411A9" w:rsidRPr="00866864" w:rsidRDefault="00B411A9" w:rsidP="00B411A9">
      <w:pPr>
        <w:pStyle w:val="Prrafodelista"/>
        <w:rPr>
          <w:rFonts w:ascii="Century Gothic" w:hAnsi="Century Gothic" w:cs="Arial"/>
          <w:sz w:val="23"/>
          <w:szCs w:val="23"/>
        </w:rPr>
      </w:pPr>
    </w:p>
    <w:p w14:paraId="163EA592" w14:textId="00A63A9F" w:rsidR="00B411A9" w:rsidRPr="00866864" w:rsidRDefault="00B411A9" w:rsidP="00B411A9">
      <w:pPr>
        <w:pStyle w:val="Prrafodelista"/>
        <w:numPr>
          <w:ilvl w:val="0"/>
          <w:numId w:val="1"/>
        </w:numPr>
        <w:jc w:val="both"/>
        <w:rPr>
          <w:rFonts w:ascii="Century Gothic" w:hAnsi="Century Gothic" w:cs="Arial"/>
          <w:sz w:val="23"/>
          <w:szCs w:val="23"/>
        </w:rPr>
      </w:pPr>
      <w:r w:rsidRPr="00866864">
        <w:rPr>
          <w:rFonts w:ascii="Century Gothic" w:hAnsi="Century Gothic" w:cs="Arial"/>
          <w:sz w:val="23"/>
          <w:szCs w:val="23"/>
        </w:rPr>
        <w:t xml:space="preserve">La demandada </w:t>
      </w:r>
      <w:r w:rsidR="00C72571" w:rsidRPr="00866864">
        <w:rPr>
          <w:rFonts w:ascii="Century Gothic" w:hAnsi="Century Gothic" w:cs="Arial"/>
          <w:sz w:val="23"/>
          <w:szCs w:val="23"/>
        </w:rPr>
        <w:t>Minis</w:t>
      </w:r>
      <w:r w:rsidR="0010402D" w:rsidRPr="00866864">
        <w:rPr>
          <w:rFonts w:ascii="Century Gothic" w:hAnsi="Century Gothic" w:cs="Arial"/>
          <w:sz w:val="23"/>
          <w:szCs w:val="23"/>
        </w:rPr>
        <w:t xml:space="preserve">terio de Defensa Policía Nacional, </w:t>
      </w:r>
      <w:r w:rsidRPr="00866864">
        <w:rPr>
          <w:rFonts w:ascii="Century Gothic" w:hAnsi="Century Gothic" w:cs="Arial"/>
          <w:sz w:val="23"/>
          <w:szCs w:val="23"/>
        </w:rPr>
        <w:t xml:space="preserve">presentó escrito de contestación </w:t>
      </w:r>
      <w:r w:rsidR="0010402D" w:rsidRPr="00866864">
        <w:rPr>
          <w:rFonts w:ascii="Century Gothic" w:hAnsi="Century Gothic" w:cs="Arial"/>
          <w:sz w:val="23"/>
          <w:szCs w:val="23"/>
        </w:rPr>
        <w:t xml:space="preserve">a la demanda sin formular excepciones previas. </w:t>
      </w:r>
    </w:p>
    <w:p w14:paraId="7C628F8D" w14:textId="77777777" w:rsidR="00B411A9" w:rsidRPr="00866864" w:rsidRDefault="00B411A9" w:rsidP="00B411A9">
      <w:pPr>
        <w:pStyle w:val="Prrafodelista"/>
        <w:rPr>
          <w:rFonts w:ascii="Century Gothic" w:hAnsi="Century Gothic" w:cs="Arial"/>
          <w:sz w:val="23"/>
          <w:szCs w:val="23"/>
        </w:rPr>
      </w:pPr>
    </w:p>
    <w:p w14:paraId="6C2A194B" w14:textId="30F27031" w:rsidR="00B411A9" w:rsidRPr="00866864" w:rsidRDefault="00B411A9" w:rsidP="0010402D">
      <w:pPr>
        <w:pStyle w:val="Prrafodelista"/>
        <w:numPr>
          <w:ilvl w:val="0"/>
          <w:numId w:val="1"/>
        </w:numPr>
        <w:jc w:val="both"/>
        <w:rPr>
          <w:rFonts w:ascii="Century Gothic" w:hAnsi="Century Gothic" w:cs="Arial"/>
          <w:sz w:val="23"/>
          <w:szCs w:val="23"/>
        </w:rPr>
      </w:pPr>
      <w:r w:rsidRPr="00866864">
        <w:rPr>
          <w:rFonts w:ascii="Century Gothic" w:hAnsi="Century Gothic" w:cs="Arial"/>
          <w:sz w:val="23"/>
          <w:szCs w:val="23"/>
        </w:rPr>
        <w:t>La demanda</w:t>
      </w:r>
      <w:r w:rsidR="0010402D" w:rsidRPr="00866864">
        <w:rPr>
          <w:rFonts w:ascii="Century Gothic" w:hAnsi="Century Gothic" w:cs="Arial"/>
          <w:sz w:val="23"/>
          <w:szCs w:val="23"/>
        </w:rPr>
        <w:t xml:space="preserve">da </w:t>
      </w:r>
      <w:r w:rsidR="0010402D" w:rsidRPr="00866864">
        <w:rPr>
          <w:rFonts w:ascii="Century Gothic" w:hAnsi="Century Gothic"/>
          <w:bCs/>
          <w:spacing w:val="-3"/>
          <w:sz w:val="23"/>
          <w:szCs w:val="23"/>
        </w:rPr>
        <w:t>Instituto Nacional de Vías – INVIAS, contestó la demanda sin formular excepciones previas y llamó en garantía a la</w:t>
      </w:r>
      <w:r w:rsidR="00B95026" w:rsidRPr="00866864">
        <w:rPr>
          <w:rFonts w:ascii="Century Gothic" w:hAnsi="Century Gothic"/>
          <w:bCs/>
          <w:spacing w:val="-3"/>
          <w:sz w:val="23"/>
          <w:szCs w:val="23"/>
        </w:rPr>
        <w:t xml:space="preserve"> Mapfre Seguros Generales de Colombia S.A. </w:t>
      </w:r>
    </w:p>
    <w:p w14:paraId="326FB49D" w14:textId="77777777" w:rsidR="00B95026" w:rsidRPr="00866864" w:rsidRDefault="00B95026" w:rsidP="00B95026">
      <w:pPr>
        <w:pStyle w:val="Prrafodelista"/>
        <w:rPr>
          <w:rFonts w:ascii="Century Gothic" w:hAnsi="Century Gothic" w:cs="Arial"/>
          <w:sz w:val="23"/>
          <w:szCs w:val="23"/>
        </w:rPr>
      </w:pPr>
    </w:p>
    <w:p w14:paraId="68196CCC" w14:textId="09F55A19" w:rsidR="00B95026" w:rsidRPr="00866864" w:rsidRDefault="00B95026" w:rsidP="0010402D">
      <w:pPr>
        <w:pStyle w:val="Prrafodelista"/>
        <w:numPr>
          <w:ilvl w:val="0"/>
          <w:numId w:val="1"/>
        </w:numPr>
        <w:jc w:val="both"/>
        <w:rPr>
          <w:rFonts w:ascii="Century Gothic" w:hAnsi="Century Gothic" w:cs="Arial"/>
          <w:sz w:val="23"/>
          <w:szCs w:val="23"/>
        </w:rPr>
      </w:pPr>
      <w:r w:rsidRPr="00866864">
        <w:rPr>
          <w:rFonts w:ascii="Century Gothic" w:hAnsi="Century Gothic" w:cs="Arial"/>
          <w:sz w:val="23"/>
          <w:szCs w:val="23"/>
        </w:rPr>
        <w:t xml:space="preserve">En auto del 14 de febrero de 2020, se admitió el llamamiento en garantía solicitado por Invias, el cual fue notificado por secretaría el día </w:t>
      </w:r>
      <w:r w:rsidR="00B329B2" w:rsidRPr="00866864">
        <w:rPr>
          <w:rFonts w:ascii="Century Gothic" w:hAnsi="Century Gothic" w:cs="Arial"/>
          <w:sz w:val="23"/>
          <w:szCs w:val="23"/>
        </w:rPr>
        <w:t>05 de marzo de 2020.</w:t>
      </w:r>
    </w:p>
    <w:p w14:paraId="1550FDD7" w14:textId="77777777" w:rsidR="00B329B2" w:rsidRPr="00866864" w:rsidRDefault="00B329B2" w:rsidP="00B329B2">
      <w:pPr>
        <w:pStyle w:val="Prrafodelista"/>
        <w:rPr>
          <w:rFonts w:ascii="Century Gothic" w:hAnsi="Century Gothic" w:cs="Arial"/>
          <w:sz w:val="23"/>
          <w:szCs w:val="23"/>
        </w:rPr>
      </w:pPr>
    </w:p>
    <w:p w14:paraId="66ACFC1E" w14:textId="0507399B" w:rsidR="00B329B2" w:rsidRPr="00866864" w:rsidRDefault="00B329B2" w:rsidP="0010402D">
      <w:pPr>
        <w:pStyle w:val="Prrafodelista"/>
        <w:numPr>
          <w:ilvl w:val="0"/>
          <w:numId w:val="1"/>
        </w:numPr>
        <w:jc w:val="both"/>
        <w:rPr>
          <w:rFonts w:ascii="Century Gothic" w:hAnsi="Century Gothic" w:cs="Arial"/>
          <w:sz w:val="23"/>
          <w:szCs w:val="23"/>
        </w:rPr>
      </w:pPr>
      <w:r w:rsidRPr="00866864">
        <w:rPr>
          <w:rFonts w:ascii="Century Gothic" w:hAnsi="Century Gothic" w:cs="Arial"/>
          <w:sz w:val="23"/>
          <w:szCs w:val="23"/>
        </w:rPr>
        <w:t xml:space="preserve">El 14 de julio de 2020, Mapfre Seguros Generales de Colombia contestó la demanda sin formular excepciones previas y llamó en garantía a la Previsora S.A de seguros S.A y a la compañía de seguros AXA – COLPATRIA. </w:t>
      </w:r>
    </w:p>
    <w:p w14:paraId="7B0F169D" w14:textId="77777777" w:rsidR="00B329B2" w:rsidRPr="00866864" w:rsidRDefault="00B329B2" w:rsidP="00B329B2">
      <w:pPr>
        <w:pStyle w:val="Prrafodelista"/>
        <w:rPr>
          <w:rFonts w:ascii="Century Gothic" w:hAnsi="Century Gothic" w:cs="Arial"/>
          <w:sz w:val="23"/>
          <w:szCs w:val="23"/>
        </w:rPr>
      </w:pPr>
    </w:p>
    <w:p w14:paraId="783170C7" w14:textId="585717AD" w:rsidR="00B329B2" w:rsidRPr="00866864" w:rsidRDefault="00B329B2" w:rsidP="00B329B2">
      <w:pPr>
        <w:pStyle w:val="Prrafodelista"/>
        <w:numPr>
          <w:ilvl w:val="0"/>
          <w:numId w:val="1"/>
        </w:numPr>
        <w:jc w:val="both"/>
        <w:rPr>
          <w:rFonts w:ascii="Century Gothic" w:hAnsi="Century Gothic" w:cs="Arial"/>
          <w:sz w:val="23"/>
          <w:szCs w:val="23"/>
        </w:rPr>
      </w:pPr>
      <w:r w:rsidRPr="00866864">
        <w:rPr>
          <w:rFonts w:ascii="Century Gothic" w:hAnsi="Century Gothic" w:cs="Arial"/>
          <w:sz w:val="23"/>
          <w:szCs w:val="23"/>
        </w:rPr>
        <w:t xml:space="preserve">Por auto de fecha 19 de mayo de 2022, se admitió el llamamiento garantía formulado por Mapfre Seguros Generales de Colombia contra a la Previsora S.A </w:t>
      </w:r>
      <w:r w:rsidR="00EE58F8" w:rsidRPr="00866864">
        <w:rPr>
          <w:rFonts w:ascii="Century Gothic" w:hAnsi="Century Gothic" w:cs="Arial"/>
          <w:sz w:val="23"/>
          <w:szCs w:val="23"/>
        </w:rPr>
        <w:t xml:space="preserve">Compañía de Seguros </w:t>
      </w:r>
      <w:r w:rsidRPr="00866864">
        <w:rPr>
          <w:rFonts w:ascii="Century Gothic" w:hAnsi="Century Gothic" w:cs="Arial"/>
          <w:sz w:val="23"/>
          <w:szCs w:val="23"/>
        </w:rPr>
        <w:t xml:space="preserve">y a la compañía de seguros AXA – COLPATRIA. </w:t>
      </w:r>
    </w:p>
    <w:p w14:paraId="1C155FF6" w14:textId="1BC06CB2" w:rsidR="00B329B2" w:rsidRPr="00866864" w:rsidRDefault="00B329B2" w:rsidP="00B329B2">
      <w:pPr>
        <w:pStyle w:val="Prrafodelista"/>
        <w:jc w:val="both"/>
        <w:rPr>
          <w:rFonts w:ascii="Century Gothic" w:hAnsi="Century Gothic" w:cs="Arial"/>
          <w:sz w:val="23"/>
          <w:szCs w:val="23"/>
        </w:rPr>
      </w:pPr>
    </w:p>
    <w:p w14:paraId="7A984EFC" w14:textId="7E6041D8" w:rsidR="00EE58F8" w:rsidRPr="00866864" w:rsidRDefault="00EE58F8" w:rsidP="00EE58F8">
      <w:pPr>
        <w:pStyle w:val="Prrafodelista"/>
        <w:numPr>
          <w:ilvl w:val="0"/>
          <w:numId w:val="1"/>
        </w:numPr>
        <w:jc w:val="both"/>
        <w:rPr>
          <w:rFonts w:ascii="Century Gothic" w:hAnsi="Century Gothic" w:cs="Arial"/>
          <w:sz w:val="23"/>
          <w:szCs w:val="23"/>
        </w:rPr>
      </w:pPr>
      <w:r w:rsidRPr="00866864">
        <w:rPr>
          <w:rFonts w:ascii="Century Gothic" w:hAnsi="Century Gothic" w:cs="Arial"/>
          <w:sz w:val="23"/>
          <w:szCs w:val="23"/>
        </w:rPr>
        <w:t xml:space="preserve">La Previsora S.A. Compañía de Seguros el día 02 de junio de 2022 </w:t>
      </w:r>
      <w:r w:rsidR="00FE2012" w:rsidRPr="00866864">
        <w:rPr>
          <w:rFonts w:ascii="Century Gothic" w:hAnsi="Century Gothic" w:cs="Arial"/>
          <w:sz w:val="23"/>
          <w:szCs w:val="23"/>
        </w:rPr>
        <w:t xml:space="preserve">allegó poder al expediente </w:t>
      </w:r>
      <w:r w:rsidRPr="00866864">
        <w:rPr>
          <w:rFonts w:ascii="Century Gothic" w:hAnsi="Century Gothic" w:cs="Arial"/>
          <w:sz w:val="23"/>
          <w:szCs w:val="23"/>
        </w:rPr>
        <w:t xml:space="preserve">y el día 16 de junio de 2022, presentó contestación </w:t>
      </w:r>
      <w:r w:rsidRPr="00866864">
        <w:rPr>
          <w:rFonts w:ascii="Century Gothic" w:hAnsi="Century Gothic" w:cs="Arial"/>
          <w:sz w:val="23"/>
          <w:szCs w:val="23"/>
        </w:rPr>
        <w:lastRenderedPageBreak/>
        <w:t xml:space="preserve">a la demanda con constancia de remisión a las demás partes y sin formulación de excepciones previas. </w:t>
      </w:r>
    </w:p>
    <w:p w14:paraId="3D27A957" w14:textId="77777777" w:rsidR="00EE58F8" w:rsidRPr="00866864" w:rsidRDefault="00EE58F8" w:rsidP="00EE58F8">
      <w:pPr>
        <w:pStyle w:val="Prrafodelista"/>
        <w:rPr>
          <w:rFonts w:ascii="Century Gothic" w:hAnsi="Century Gothic" w:cs="Arial"/>
          <w:sz w:val="23"/>
          <w:szCs w:val="23"/>
        </w:rPr>
      </w:pPr>
    </w:p>
    <w:p w14:paraId="103E3298" w14:textId="36471AD6" w:rsidR="00EE58F8" w:rsidRPr="00866864" w:rsidRDefault="00EE58F8" w:rsidP="00EE58F8">
      <w:pPr>
        <w:pStyle w:val="Prrafodelista"/>
        <w:numPr>
          <w:ilvl w:val="0"/>
          <w:numId w:val="1"/>
        </w:numPr>
        <w:jc w:val="both"/>
        <w:rPr>
          <w:rFonts w:ascii="Century Gothic" w:hAnsi="Century Gothic" w:cs="Arial"/>
          <w:sz w:val="23"/>
          <w:szCs w:val="23"/>
        </w:rPr>
      </w:pPr>
      <w:r w:rsidRPr="00866864">
        <w:rPr>
          <w:rFonts w:ascii="Century Gothic" w:hAnsi="Century Gothic" w:cs="Arial"/>
          <w:sz w:val="23"/>
          <w:szCs w:val="23"/>
        </w:rPr>
        <w:t>De manera posterior secretaría realizó notificación del auto que admite llamamiento en garantía el día 13 de abril de 2023.</w:t>
      </w:r>
    </w:p>
    <w:p w14:paraId="261942DD" w14:textId="77777777" w:rsidR="00B411A9" w:rsidRPr="00866864" w:rsidRDefault="00B411A9" w:rsidP="00B411A9">
      <w:pPr>
        <w:jc w:val="both"/>
        <w:rPr>
          <w:rFonts w:ascii="Century Gothic" w:hAnsi="Century Gothic" w:cs="Arial"/>
          <w:sz w:val="23"/>
          <w:szCs w:val="23"/>
        </w:rPr>
      </w:pPr>
    </w:p>
    <w:p w14:paraId="3226F26D" w14:textId="4029C67A" w:rsidR="00B411A9" w:rsidRPr="00866864" w:rsidRDefault="00EE58F8" w:rsidP="00B411A9">
      <w:pPr>
        <w:pStyle w:val="Prrafodelista"/>
        <w:numPr>
          <w:ilvl w:val="0"/>
          <w:numId w:val="1"/>
        </w:numPr>
        <w:jc w:val="both"/>
        <w:rPr>
          <w:rFonts w:ascii="Century Gothic" w:hAnsi="Century Gothic" w:cs="Arial"/>
          <w:sz w:val="23"/>
          <w:szCs w:val="23"/>
        </w:rPr>
      </w:pPr>
      <w:r w:rsidRPr="00866864">
        <w:rPr>
          <w:rFonts w:ascii="Century Gothic" w:hAnsi="Century Gothic" w:cs="Arial"/>
          <w:sz w:val="23"/>
          <w:szCs w:val="23"/>
        </w:rPr>
        <w:t>El 17 de abril de 2023, l</w:t>
      </w:r>
      <w:r w:rsidR="00B411A9" w:rsidRPr="00866864">
        <w:rPr>
          <w:rFonts w:ascii="Century Gothic" w:hAnsi="Century Gothic" w:cs="Arial"/>
          <w:sz w:val="23"/>
          <w:szCs w:val="23"/>
        </w:rPr>
        <w:t xml:space="preserve">a </w:t>
      </w:r>
      <w:r w:rsidRPr="00866864">
        <w:rPr>
          <w:rFonts w:ascii="Century Gothic" w:hAnsi="Century Gothic" w:cs="Arial"/>
          <w:sz w:val="23"/>
          <w:szCs w:val="23"/>
        </w:rPr>
        <w:t xml:space="preserve">llamada en garantía </w:t>
      </w:r>
      <w:r w:rsidR="00FE2012" w:rsidRPr="00866864">
        <w:rPr>
          <w:rFonts w:ascii="Century Gothic" w:hAnsi="Century Gothic" w:cs="Arial"/>
          <w:sz w:val="23"/>
          <w:szCs w:val="23"/>
        </w:rPr>
        <w:t xml:space="preserve">Axa Colpatria Seguros S.A., presentó contestación a la demanda y al llamamiento en garantía y formuló excepciones previas; sin </w:t>
      </w:r>
      <w:r w:rsidR="009108DB" w:rsidRPr="00866864">
        <w:rPr>
          <w:rFonts w:ascii="Century Gothic" w:hAnsi="Century Gothic" w:cs="Arial"/>
          <w:sz w:val="23"/>
          <w:szCs w:val="23"/>
        </w:rPr>
        <w:t>embargo,</w:t>
      </w:r>
      <w:r w:rsidR="00FE2012" w:rsidRPr="00866864">
        <w:rPr>
          <w:rFonts w:ascii="Century Gothic" w:hAnsi="Century Gothic" w:cs="Arial"/>
          <w:sz w:val="23"/>
          <w:szCs w:val="23"/>
        </w:rPr>
        <w:t xml:space="preserve"> no aportó constancia de remisión a las demás partes. </w:t>
      </w:r>
    </w:p>
    <w:p w14:paraId="0171F161" w14:textId="77777777" w:rsidR="00FE2012" w:rsidRPr="00866864" w:rsidRDefault="00FE2012" w:rsidP="00FE2012">
      <w:pPr>
        <w:pStyle w:val="Prrafodelista"/>
        <w:rPr>
          <w:rFonts w:ascii="Century Gothic" w:hAnsi="Century Gothic" w:cs="Arial"/>
          <w:sz w:val="23"/>
          <w:szCs w:val="23"/>
        </w:rPr>
      </w:pPr>
    </w:p>
    <w:p w14:paraId="74B5E728" w14:textId="266FFDCF" w:rsidR="00FE2012" w:rsidRPr="00866864" w:rsidRDefault="009108DB" w:rsidP="00B411A9">
      <w:pPr>
        <w:pStyle w:val="Prrafodelista"/>
        <w:numPr>
          <w:ilvl w:val="0"/>
          <w:numId w:val="1"/>
        </w:numPr>
        <w:jc w:val="both"/>
        <w:rPr>
          <w:rFonts w:ascii="Century Gothic" w:hAnsi="Century Gothic" w:cs="Arial"/>
          <w:sz w:val="23"/>
          <w:szCs w:val="23"/>
        </w:rPr>
      </w:pPr>
      <w:r w:rsidRPr="00866864">
        <w:rPr>
          <w:rFonts w:ascii="Century Gothic" w:hAnsi="Century Gothic" w:cs="Arial"/>
          <w:sz w:val="23"/>
          <w:szCs w:val="23"/>
        </w:rPr>
        <w:t xml:space="preserve">El 08 de mayo de 2023, la llamada en garantía La Previsora S.A. Compañía de Seguros, presentó segunda contestación a la demanda y al llamado en garantía. </w:t>
      </w:r>
    </w:p>
    <w:p w14:paraId="1B2F06C8" w14:textId="77777777" w:rsidR="00B411A9" w:rsidRPr="00866864" w:rsidRDefault="00B411A9" w:rsidP="00B411A9">
      <w:pPr>
        <w:jc w:val="both"/>
        <w:rPr>
          <w:rFonts w:ascii="Century Gothic" w:hAnsi="Century Gothic" w:cs="Arial"/>
          <w:sz w:val="23"/>
          <w:szCs w:val="23"/>
        </w:rPr>
      </w:pPr>
    </w:p>
    <w:p w14:paraId="3892A842" w14:textId="77777777" w:rsidR="00B411A9" w:rsidRPr="00866864" w:rsidRDefault="00B411A9" w:rsidP="00B411A9">
      <w:pPr>
        <w:pStyle w:val="Textoindependiente2"/>
        <w:spacing w:after="0" w:line="240" w:lineRule="auto"/>
        <w:jc w:val="both"/>
        <w:rPr>
          <w:rFonts w:ascii="Century Gothic" w:hAnsi="Century Gothic" w:cs="Arial"/>
          <w:sz w:val="23"/>
          <w:szCs w:val="23"/>
        </w:rPr>
      </w:pPr>
    </w:p>
    <w:p w14:paraId="6D4DADFC" w14:textId="77777777" w:rsidR="00B411A9" w:rsidRPr="00866864" w:rsidRDefault="00B411A9" w:rsidP="00B411A9">
      <w:pPr>
        <w:pStyle w:val="Textoindependiente2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 w:cs="Arial"/>
          <w:b/>
          <w:bCs/>
          <w:sz w:val="23"/>
          <w:szCs w:val="23"/>
        </w:rPr>
      </w:pPr>
      <w:r w:rsidRPr="00866864">
        <w:rPr>
          <w:rFonts w:ascii="Century Gothic" w:hAnsi="Century Gothic" w:cs="Arial"/>
          <w:b/>
          <w:bCs/>
          <w:sz w:val="23"/>
          <w:szCs w:val="23"/>
        </w:rPr>
        <w:t>Consideraciones</w:t>
      </w:r>
    </w:p>
    <w:p w14:paraId="58189DB9" w14:textId="77777777" w:rsidR="00B411A9" w:rsidRPr="00866864" w:rsidRDefault="00B411A9" w:rsidP="00B411A9">
      <w:pPr>
        <w:pStyle w:val="Textoindependiente2"/>
        <w:spacing w:after="0" w:line="240" w:lineRule="auto"/>
        <w:jc w:val="both"/>
        <w:rPr>
          <w:rFonts w:ascii="Century Gothic" w:hAnsi="Century Gothic" w:cs="Arial"/>
          <w:b/>
          <w:bCs/>
          <w:sz w:val="23"/>
          <w:szCs w:val="23"/>
        </w:rPr>
      </w:pPr>
    </w:p>
    <w:p w14:paraId="4367A1BE" w14:textId="237C41D2" w:rsidR="00B411A9" w:rsidRPr="00866864" w:rsidRDefault="00B411A9" w:rsidP="00B411A9">
      <w:pPr>
        <w:pStyle w:val="Textoindependiente2"/>
        <w:numPr>
          <w:ilvl w:val="1"/>
          <w:numId w:val="2"/>
        </w:numPr>
        <w:spacing w:after="0" w:line="240" w:lineRule="auto"/>
        <w:jc w:val="both"/>
        <w:rPr>
          <w:rFonts w:ascii="Century Gothic" w:hAnsi="Century Gothic" w:cs="Arial"/>
          <w:b/>
          <w:bCs/>
          <w:sz w:val="23"/>
          <w:szCs w:val="23"/>
        </w:rPr>
      </w:pPr>
      <w:r w:rsidRPr="00866864">
        <w:rPr>
          <w:rFonts w:ascii="Century Gothic" w:hAnsi="Century Gothic" w:cs="Arial"/>
          <w:b/>
          <w:bCs/>
          <w:sz w:val="23"/>
          <w:szCs w:val="23"/>
        </w:rPr>
        <w:t>Sobre la contestación de la demanda</w:t>
      </w:r>
      <w:r w:rsidR="003D10DE" w:rsidRPr="00866864">
        <w:rPr>
          <w:rFonts w:ascii="Century Gothic" w:hAnsi="Century Gothic" w:cs="Arial"/>
          <w:b/>
          <w:bCs/>
          <w:sz w:val="23"/>
          <w:szCs w:val="23"/>
        </w:rPr>
        <w:t xml:space="preserve"> y al llamamiento en garantía presentado por la Previsora S.A. Compañía de Seguros</w:t>
      </w:r>
      <w:r w:rsidR="0045318B" w:rsidRPr="00866864">
        <w:rPr>
          <w:rFonts w:ascii="Century Gothic" w:hAnsi="Century Gothic" w:cs="Arial"/>
          <w:b/>
          <w:bCs/>
          <w:sz w:val="23"/>
          <w:szCs w:val="23"/>
        </w:rPr>
        <w:t xml:space="preserve"> y notificación efectuada por la secretaria del despacho el día 13 de abril de 2023.</w:t>
      </w:r>
    </w:p>
    <w:p w14:paraId="79B4C033" w14:textId="77777777" w:rsidR="00B411A9" w:rsidRPr="00866864" w:rsidRDefault="00B411A9" w:rsidP="00B411A9">
      <w:pPr>
        <w:pStyle w:val="Textoindependiente2"/>
        <w:spacing w:after="0" w:line="240" w:lineRule="auto"/>
        <w:jc w:val="both"/>
        <w:rPr>
          <w:rFonts w:ascii="Century Gothic" w:hAnsi="Century Gothic" w:cs="Arial"/>
          <w:sz w:val="23"/>
          <w:szCs w:val="23"/>
        </w:rPr>
      </w:pPr>
    </w:p>
    <w:p w14:paraId="63AA82E4" w14:textId="77777777" w:rsidR="00B411A9" w:rsidRPr="00866864" w:rsidRDefault="00B411A9" w:rsidP="00B411A9">
      <w:pPr>
        <w:pStyle w:val="Textoindependiente2"/>
        <w:spacing w:after="0" w:line="240" w:lineRule="auto"/>
        <w:jc w:val="both"/>
        <w:rPr>
          <w:rFonts w:ascii="Century Gothic" w:hAnsi="Century Gothic" w:cs="Arial"/>
          <w:sz w:val="23"/>
          <w:szCs w:val="23"/>
        </w:rPr>
      </w:pPr>
    </w:p>
    <w:p w14:paraId="127963F6" w14:textId="12C7EA7D" w:rsidR="003D10DE" w:rsidRPr="00866864" w:rsidRDefault="003D10DE" w:rsidP="00B411A9">
      <w:pPr>
        <w:pStyle w:val="Textoindependiente2"/>
        <w:spacing w:after="0" w:line="240" w:lineRule="auto"/>
        <w:jc w:val="both"/>
        <w:rPr>
          <w:rFonts w:ascii="Century Gothic" w:hAnsi="Century Gothic" w:cs="Arial"/>
          <w:sz w:val="23"/>
          <w:szCs w:val="23"/>
        </w:rPr>
      </w:pPr>
      <w:r w:rsidRPr="00866864">
        <w:rPr>
          <w:rFonts w:ascii="Century Gothic" w:hAnsi="Century Gothic" w:cs="Arial"/>
          <w:sz w:val="23"/>
          <w:szCs w:val="23"/>
        </w:rPr>
        <w:t xml:space="preserve">La Previsora S.A. Compañía de Seguros a través de escrito del 02 y 16 de junio de 2022, presentó poder y contestación a la demanda y llamamiento en garantía formulado por Mapfre Seguros Generales. </w:t>
      </w:r>
    </w:p>
    <w:p w14:paraId="0D13C13A" w14:textId="77777777" w:rsidR="003D10DE" w:rsidRPr="00866864" w:rsidRDefault="003D10DE" w:rsidP="00B411A9">
      <w:pPr>
        <w:pStyle w:val="Textoindependiente2"/>
        <w:spacing w:after="0" w:line="240" w:lineRule="auto"/>
        <w:jc w:val="both"/>
        <w:rPr>
          <w:rFonts w:ascii="Century Gothic" w:hAnsi="Century Gothic" w:cs="Arial"/>
          <w:sz w:val="23"/>
          <w:szCs w:val="23"/>
        </w:rPr>
      </w:pPr>
    </w:p>
    <w:p w14:paraId="7734AFBC" w14:textId="6D878E75" w:rsidR="003D10DE" w:rsidRPr="00866864" w:rsidRDefault="003D10DE" w:rsidP="00B411A9">
      <w:pPr>
        <w:pStyle w:val="Textoindependiente2"/>
        <w:spacing w:after="0" w:line="240" w:lineRule="auto"/>
        <w:jc w:val="both"/>
        <w:rPr>
          <w:rFonts w:ascii="Century Gothic" w:hAnsi="Century Gothic" w:cs="Arial"/>
          <w:sz w:val="23"/>
          <w:szCs w:val="23"/>
        </w:rPr>
      </w:pPr>
      <w:r w:rsidRPr="00866864">
        <w:rPr>
          <w:rFonts w:ascii="Century Gothic" w:hAnsi="Century Gothic" w:cs="Arial"/>
          <w:sz w:val="23"/>
          <w:szCs w:val="23"/>
        </w:rPr>
        <w:t>De manera posterior, esto es, el día 08 de mayo de 2023</w:t>
      </w:r>
      <w:r w:rsidR="00034DB1" w:rsidRPr="00866864">
        <w:rPr>
          <w:rFonts w:ascii="Century Gothic" w:hAnsi="Century Gothic" w:cs="Arial"/>
          <w:sz w:val="23"/>
          <w:szCs w:val="23"/>
        </w:rPr>
        <w:t xml:space="preserve">, la entidad en mención, volvió </w:t>
      </w:r>
      <w:r w:rsidRPr="00866864">
        <w:rPr>
          <w:rFonts w:ascii="Century Gothic" w:hAnsi="Century Gothic" w:cs="Arial"/>
          <w:sz w:val="23"/>
          <w:szCs w:val="23"/>
        </w:rPr>
        <w:t>a presentar poder</w:t>
      </w:r>
      <w:r w:rsidR="00034DB1" w:rsidRPr="00866864">
        <w:rPr>
          <w:rFonts w:ascii="Century Gothic" w:hAnsi="Century Gothic" w:cs="Arial"/>
          <w:sz w:val="23"/>
          <w:szCs w:val="23"/>
        </w:rPr>
        <w:t xml:space="preserve">, junto con la </w:t>
      </w:r>
      <w:r w:rsidRPr="00866864">
        <w:rPr>
          <w:rFonts w:ascii="Century Gothic" w:hAnsi="Century Gothic" w:cs="Arial"/>
          <w:sz w:val="23"/>
          <w:szCs w:val="23"/>
        </w:rPr>
        <w:t xml:space="preserve">contestación </w:t>
      </w:r>
      <w:r w:rsidR="00034DB1" w:rsidRPr="00866864">
        <w:rPr>
          <w:rFonts w:ascii="Century Gothic" w:hAnsi="Century Gothic" w:cs="Arial"/>
          <w:sz w:val="23"/>
          <w:szCs w:val="23"/>
        </w:rPr>
        <w:t xml:space="preserve">de la </w:t>
      </w:r>
      <w:r w:rsidRPr="00866864">
        <w:rPr>
          <w:rFonts w:ascii="Century Gothic" w:hAnsi="Century Gothic" w:cs="Arial"/>
          <w:sz w:val="23"/>
          <w:szCs w:val="23"/>
        </w:rPr>
        <w:t>demanda y</w:t>
      </w:r>
      <w:r w:rsidR="00034DB1" w:rsidRPr="00866864">
        <w:rPr>
          <w:rFonts w:ascii="Century Gothic" w:hAnsi="Century Gothic" w:cs="Arial"/>
          <w:sz w:val="23"/>
          <w:szCs w:val="23"/>
        </w:rPr>
        <w:t xml:space="preserve"> al</w:t>
      </w:r>
      <w:r w:rsidRPr="00866864">
        <w:rPr>
          <w:rFonts w:ascii="Century Gothic" w:hAnsi="Century Gothic" w:cs="Arial"/>
          <w:sz w:val="23"/>
          <w:szCs w:val="23"/>
        </w:rPr>
        <w:t xml:space="preserve"> llamado en garantía. </w:t>
      </w:r>
    </w:p>
    <w:p w14:paraId="6340A35F" w14:textId="77777777" w:rsidR="003D10DE" w:rsidRPr="00866864" w:rsidRDefault="003D10DE" w:rsidP="00B411A9">
      <w:pPr>
        <w:pStyle w:val="Textoindependiente2"/>
        <w:spacing w:after="0" w:line="240" w:lineRule="auto"/>
        <w:jc w:val="both"/>
        <w:rPr>
          <w:rFonts w:ascii="Century Gothic" w:hAnsi="Century Gothic" w:cs="Arial"/>
          <w:sz w:val="23"/>
          <w:szCs w:val="23"/>
        </w:rPr>
      </w:pPr>
    </w:p>
    <w:p w14:paraId="3EE4497E" w14:textId="4EB7FED9" w:rsidR="003D10DE" w:rsidRPr="00866864" w:rsidRDefault="003D10DE" w:rsidP="00B411A9">
      <w:pPr>
        <w:pStyle w:val="Textoindependiente2"/>
        <w:spacing w:after="0" w:line="240" w:lineRule="auto"/>
        <w:jc w:val="both"/>
        <w:rPr>
          <w:rFonts w:ascii="Century Gothic" w:hAnsi="Century Gothic" w:cs="Arial"/>
          <w:sz w:val="23"/>
          <w:szCs w:val="23"/>
        </w:rPr>
      </w:pPr>
      <w:r w:rsidRPr="00866864">
        <w:rPr>
          <w:rFonts w:ascii="Century Gothic" w:hAnsi="Century Gothic" w:cs="Arial"/>
          <w:sz w:val="23"/>
          <w:szCs w:val="23"/>
        </w:rPr>
        <w:t xml:space="preserve">En ese orden, se tendrá como única contestación la presentada el 16 de junio de 2022, </w:t>
      </w:r>
      <w:r w:rsidR="0045318B" w:rsidRPr="00866864">
        <w:rPr>
          <w:rFonts w:ascii="Century Gothic" w:hAnsi="Century Gothic" w:cs="Arial"/>
          <w:sz w:val="23"/>
          <w:szCs w:val="23"/>
        </w:rPr>
        <w:t>en el entendido de que se notificó del auto de fecha 19 de mayo de 2022</w:t>
      </w:r>
      <w:r w:rsidR="00251453" w:rsidRPr="00866864">
        <w:rPr>
          <w:rFonts w:ascii="Century Gothic" w:hAnsi="Century Gothic" w:cs="Arial"/>
          <w:sz w:val="23"/>
          <w:szCs w:val="23"/>
        </w:rPr>
        <w:t xml:space="preserve">, demanda y demás actuaciones </w:t>
      </w:r>
      <w:r w:rsidR="00034DB1" w:rsidRPr="00866864">
        <w:rPr>
          <w:rFonts w:ascii="Century Gothic" w:hAnsi="Century Gothic" w:cs="Arial"/>
          <w:sz w:val="23"/>
          <w:szCs w:val="23"/>
        </w:rPr>
        <w:t xml:space="preserve">por conducta concluyente como lo prevé el artículo 301 del C.G.P. </w:t>
      </w:r>
    </w:p>
    <w:p w14:paraId="70284BA1" w14:textId="77777777" w:rsidR="0045318B" w:rsidRPr="00866864" w:rsidRDefault="0045318B" w:rsidP="00B411A9">
      <w:pPr>
        <w:pStyle w:val="Textoindependiente2"/>
        <w:spacing w:after="0" w:line="240" w:lineRule="auto"/>
        <w:jc w:val="both"/>
        <w:rPr>
          <w:rFonts w:ascii="Century Gothic" w:hAnsi="Century Gothic" w:cs="Arial"/>
          <w:sz w:val="23"/>
          <w:szCs w:val="23"/>
        </w:rPr>
      </w:pPr>
    </w:p>
    <w:p w14:paraId="328B7FF6" w14:textId="07A990A5" w:rsidR="003D10DE" w:rsidRPr="00866864" w:rsidRDefault="0045318B" w:rsidP="00B411A9">
      <w:pPr>
        <w:pStyle w:val="Textoindependiente2"/>
        <w:spacing w:after="0" w:line="240" w:lineRule="auto"/>
        <w:jc w:val="both"/>
        <w:rPr>
          <w:rFonts w:ascii="Century Gothic" w:hAnsi="Century Gothic" w:cs="Arial"/>
          <w:sz w:val="23"/>
          <w:szCs w:val="23"/>
        </w:rPr>
      </w:pPr>
      <w:r w:rsidRPr="00866864">
        <w:rPr>
          <w:rFonts w:ascii="Century Gothic" w:hAnsi="Century Gothic" w:cs="Arial"/>
          <w:sz w:val="23"/>
          <w:szCs w:val="23"/>
        </w:rPr>
        <w:t xml:space="preserve">No obstante, advirtiendo que ya obra un nuevo poder presentado el 08 de mayo de 2023, se procederá a reconocer personería al nuevo apoderado de dicha entidad. </w:t>
      </w:r>
    </w:p>
    <w:p w14:paraId="5A3C8846" w14:textId="5BC869C0" w:rsidR="0045318B" w:rsidRPr="00866864" w:rsidRDefault="0045318B" w:rsidP="0045318B">
      <w:pPr>
        <w:pStyle w:val="Textoindependiente2"/>
        <w:spacing w:after="0" w:line="240" w:lineRule="auto"/>
        <w:jc w:val="both"/>
        <w:rPr>
          <w:rFonts w:ascii="Century Gothic" w:hAnsi="Century Gothic" w:cs="Arial"/>
          <w:sz w:val="23"/>
          <w:szCs w:val="23"/>
        </w:rPr>
      </w:pPr>
    </w:p>
    <w:p w14:paraId="20ADD2AB" w14:textId="1D918F52" w:rsidR="0045318B" w:rsidRPr="00866864" w:rsidRDefault="0045318B" w:rsidP="0045318B">
      <w:pPr>
        <w:pStyle w:val="Textoindependiente2"/>
        <w:spacing w:after="0" w:line="240" w:lineRule="auto"/>
        <w:jc w:val="both"/>
        <w:rPr>
          <w:rFonts w:ascii="Century Gothic" w:hAnsi="Century Gothic" w:cs="Arial"/>
          <w:sz w:val="23"/>
          <w:szCs w:val="23"/>
        </w:rPr>
      </w:pPr>
      <w:r w:rsidRPr="00866864">
        <w:rPr>
          <w:rFonts w:ascii="Century Gothic" w:hAnsi="Century Gothic" w:cs="Arial"/>
          <w:sz w:val="23"/>
          <w:szCs w:val="23"/>
        </w:rPr>
        <w:t xml:space="preserve">En lo que respecta a la notificación personal realizada el día 13 de abril de 2023, se dejará sin valor y efecto respecto de la Previsora S.A. Compañía de Seguros, dado que </w:t>
      </w:r>
      <w:r w:rsidR="00B9699B" w:rsidRPr="00866864">
        <w:rPr>
          <w:rFonts w:ascii="Century Gothic" w:hAnsi="Century Gothic" w:cs="Arial"/>
          <w:sz w:val="23"/>
          <w:szCs w:val="23"/>
        </w:rPr>
        <w:t>esta</w:t>
      </w:r>
      <w:r w:rsidRPr="00866864">
        <w:rPr>
          <w:rFonts w:ascii="Century Gothic" w:hAnsi="Century Gothic" w:cs="Arial"/>
          <w:sz w:val="23"/>
          <w:szCs w:val="23"/>
        </w:rPr>
        <w:t xml:space="preserve"> entidad ya </w:t>
      </w:r>
      <w:r w:rsidR="00B9699B" w:rsidRPr="00866864">
        <w:rPr>
          <w:rFonts w:ascii="Century Gothic" w:hAnsi="Century Gothic" w:cs="Arial"/>
          <w:sz w:val="23"/>
          <w:szCs w:val="23"/>
        </w:rPr>
        <w:t xml:space="preserve">está </w:t>
      </w:r>
      <w:r w:rsidRPr="00866864">
        <w:rPr>
          <w:rFonts w:ascii="Century Gothic" w:hAnsi="Century Gothic" w:cs="Arial"/>
          <w:sz w:val="23"/>
          <w:szCs w:val="23"/>
        </w:rPr>
        <w:t>notificada</w:t>
      </w:r>
      <w:r w:rsidR="00B9699B" w:rsidRPr="00866864">
        <w:rPr>
          <w:rFonts w:ascii="Century Gothic" w:hAnsi="Century Gothic" w:cs="Arial"/>
          <w:sz w:val="23"/>
          <w:szCs w:val="23"/>
        </w:rPr>
        <w:t xml:space="preserve"> con antelación a dicha fecha</w:t>
      </w:r>
      <w:r w:rsidRPr="00866864">
        <w:rPr>
          <w:rFonts w:ascii="Century Gothic" w:hAnsi="Century Gothic" w:cs="Arial"/>
          <w:sz w:val="23"/>
          <w:szCs w:val="23"/>
        </w:rPr>
        <w:t xml:space="preserve">, </w:t>
      </w:r>
      <w:r w:rsidR="00B9699B" w:rsidRPr="00866864">
        <w:rPr>
          <w:rFonts w:ascii="Century Gothic" w:hAnsi="Century Gothic" w:cs="Arial"/>
          <w:sz w:val="23"/>
          <w:szCs w:val="23"/>
        </w:rPr>
        <w:t xml:space="preserve">como se explicó de manera previa. </w:t>
      </w:r>
    </w:p>
    <w:p w14:paraId="23815DFA" w14:textId="77777777" w:rsidR="008A4CB3" w:rsidRPr="00866864" w:rsidRDefault="008A4CB3" w:rsidP="0045318B">
      <w:pPr>
        <w:pStyle w:val="Textoindependiente2"/>
        <w:spacing w:after="0" w:line="240" w:lineRule="auto"/>
        <w:jc w:val="both"/>
        <w:rPr>
          <w:rFonts w:ascii="Century Gothic" w:hAnsi="Century Gothic" w:cs="Arial"/>
          <w:sz w:val="23"/>
          <w:szCs w:val="23"/>
        </w:rPr>
      </w:pPr>
    </w:p>
    <w:p w14:paraId="33F0BA79" w14:textId="3D79575E" w:rsidR="008A4CB3" w:rsidRPr="00866864" w:rsidRDefault="008A4CB3" w:rsidP="008A4CB3">
      <w:pPr>
        <w:pStyle w:val="Textoindependiente2"/>
        <w:numPr>
          <w:ilvl w:val="1"/>
          <w:numId w:val="2"/>
        </w:numPr>
        <w:spacing w:after="0" w:line="240" w:lineRule="auto"/>
        <w:jc w:val="both"/>
        <w:rPr>
          <w:rFonts w:ascii="Century Gothic" w:hAnsi="Century Gothic" w:cs="Arial"/>
          <w:b/>
          <w:bCs/>
          <w:sz w:val="23"/>
          <w:szCs w:val="23"/>
        </w:rPr>
      </w:pPr>
      <w:r w:rsidRPr="00866864">
        <w:rPr>
          <w:rFonts w:ascii="Century Gothic" w:hAnsi="Century Gothic" w:cs="Arial"/>
          <w:b/>
          <w:bCs/>
          <w:sz w:val="23"/>
          <w:szCs w:val="23"/>
        </w:rPr>
        <w:t>De las excepciones previas formuladas por el llamado en garantía Axa Colpatria Seguros S.A.</w:t>
      </w:r>
    </w:p>
    <w:p w14:paraId="55187751" w14:textId="77777777" w:rsidR="009C1204" w:rsidRPr="00866864" w:rsidRDefault="009C1204" w:rsidP="009C1204">
      <w:pPr>
        <w:spacing w:line="276" w:lineRule="auto"/>
        <w:jc w:val="both"/>
        <w:rPr>
          <w:rFonts w:ascii="Century Gothic" w:hAnsi="Century Gothic"/>
          <w:sz w:val="23"/>
          <w:szCs w:val="23"/>
          <w:lang w:val="es-CO"/>
        </w:rPr>
      </w:pPr>
    </w:p>
    <w:p w14:paraId="44AF6B60" w14:textId="13E34413" w:rsidR="008A4CB3" w:rsidRPr="00866864" w:rsidRDefault="009C1204" w:rsidP="009C1204">
      <w:pPr>
        <w:spacing w:line="276" w:lineRule="auto"/>
        <w:jc w:val="both"/>
        <w:rPr>
          <w:rFonts w:ascii="Century Gothic" w:hAnsi="Century Gothic"/>
          <w:sz w:val="23"/>
          <w:szCs w:val="23"/>
          <w:lang w:val="es-CO"/>
        </w:rPr>
      </w:pPr>
      <w:r w:rsidRPr="00866864">
        <w:rPr>
          <w:rFonts w:ascii="Century Gothic" w:hAnsi="Century Gothic"/>
          <w:sz w:val="23"/>
          <w:szCs w:val="23"/>
          <w:lang w:val="es-CO"/>
        </w:rPr>
        <w:t xml:space="preserve">Advirtiendo que el llamado en garantía </w:t>
      </w:r>
      <w:r w:rsidRPr="00866864">
        <w:rPr>
          <w:rFonts w:ascii="Century Gothic" w:hAnsi="Century Gothic" w:cs="Arial"/>
          <w:b/>
          <w:bCs/>
          <w:sz w:val="23"/>
          <w:szCs w:val="23"/>
        </w:rPr>
        <w:t>Axa Colpatria Seguros S.A.</w:t>
      </w:r>
      <w:r w:rsidRPr="00866864">
        <w:rPr>
          <w:rFonts w:ascii="Century Gothic" w:hAnsi="Century Gothic"/>
          <w:sz w:val="23"/>
          <w:szCs w:val="23"/>
          <w:lang w:val="es-CO"/>
        </w:rPr>
        <w:t>, no remitió a las demás partes, copia de la contestación a la demanda y al llamamiento en garantía de conformidad con el parágrafo del art. 9 de la Ley 2213 de 2022, se ordenará correr traslado de está, atendiendo lo regulado en el parágrafo 2 del art.175 del C.P.A.C.A.</w:t>
      </w:r>
    </w:p>
    <w:p w14:paraId="0034CD46" w14:textId="77777777" w:rsidR="00031A2B" w:rsidRPr="00866864" w:rsidRDefault="00031A2B" w:rsidP="009C1204">
      <w:pPr>
        <w:spacing w:line="276" w:lineRule="auto"/>
        <w:jc w:val="both"/>
        <w:rPr>
          <w:rFonts w:ascii="Century Gothic" w:hAnsi="Century Gothic"/>
          <w:sz w:val="23"/>
          <w:szCs w:val="23"/>
          <w:lang w:val="es-CO"/>
        </w:rPr>
      </w:pPr>
    </w:p>
    <w:p w14:paraId="64C8386B" w14:textId="5FFFC87D" w:rsidR="00B411A9" w:rsidRPr="00866864" w:rsidRDefault="00B411A9" w:rsidP="00B411A9">
      <w:pPr>
        <w:pStyle w:val="Textoindependiente2"/>
        <w:spacing w:after="0" w:line="240" w:lineRule="auto"/>
        <w:jc w:val="both"/>
        <w:rPr>
          <w:rFonts w:ascii="Century Gothic" w:hAnsi="Century Gothic"/>
          <w:sz w:val="23"/>
          <w:szCs w:val="23"/>
          <w:lang w:val="es-CO"/>
        </w:rPr>
      </w:pPr>
      <w:r w:rsidRPr="00866864">
        <w:rPr>
          <w:rFonts w:ascii="Century Gothic" w:hAnsi="Century Gothic"/>
          <w:sz w:val="23"/>
          <w:szCs w:val="23"/>
          <w:lang w:val="es-CO"/>
        </w:rPr>
        <w:t>En consecuenc</w:t>
      </w:r>
      <w:r w:rsidR="009C1204" w:rsidRPr="00866864">
        <w:rPr>
          <w:rFonts w:ascii="Century Gothic" w:hAnsi="Century Gothic"/>
          <w:sz w:val="23"/>
          <w:szCs w:val="23"/>
          <w:lang w:val="es-CO"/>
        </w:rPr>
        <w:t>i</w:t>
      </w:r>
      <w:r w:rsidRPr="00866864">
        <w:rPr>
          <w:rFonts w:ascii="Century Gothic" w:hAnsi="Century Gothic"/>
          <w:sz w:val="23"/>
          <w:szCs w:val="23"/>
          <w:lang w:val="es-CO"/>
        </w:rPr>
        <w:t xml:space="preserve">a, el </w:t>
      </w:r>
      <w:r w:rsidRPr="00866864">
        <w:rPr>
          <w:rFonts w:ascii="Century Gothic" w:hAnsi="Century Gothic"/>
          <w:b/>
          <w:bCs/>
          <w:sz w:val="23"/>
          <w:szCs w:val="23"/>
          <w:lang w:val="es-CO"/>
        </w:rPr>
        <w:t>JUZGADO SESENTA Y CUATRO (64) ADMINISTRATIVO DE ORALIDAD DEL CIRCUITO JUDICIAL DE BOGOTÁ D.C.</w:t>
      </w:r>
      <w:r w:rsidRPr="00866864">
        <w:rPr>
          <w:rFonts w:ascii="Century Gothic" w:hAnsi="Century Gothic"/>
          <w:sz w:val="23"/>
          <w:szCs w:val="23"/>
          <w:lang w:val="es-CO"/>
        </w:rPr>
        <w:t>,</w:t>
      </w:r>
    </w:p>
    <w:p w14:paraId="702941E7" w14:textId="77777777" w:rsidR="00B411A9" w:rsidRPr="00866864" w:rsidRDefault="00B411A9" w:rsidP="00B411A9">
      <w:pPr>
        <w:pStyle w:val="Textoindependiente2"/>
        <w:spacing w:after="0" w:line="240" w:lineRule="auto"/>
        <w:jc w:val="both"/>
        <w:rPr>
          <w:rFonts w:ascii="Century Gothic" w:hAnsi="Century Gothic"/>
          <w:sz w:val="23"/>
          <w:szCs w:val="23"/>
          <w:lang w:val="es-CO"/>
        </w:rPr>
      </w:pPr>
    </w:p>
    <w:p w14:paraId="79D21D5F" w14:textId="77777777" w:rsidR="00B411A9" w:rsidRPr="00866864" w:rsidRDefault="00B411A9" w:rsidP="00B411A9">
      <w:pPr>
        <w:pStyle w:val="paragraph"/>
        <w:spacing w:before="0" w:beforeAutospacing="0" w:after="0" w:afterAutospacing="0"/>
        <w:ind w:right="45"/>
        <w:jc w:val="center"/>
        <w:textAlignment w:val="baseline"/>
        <w:rPr>
          <w:rStyle w:val="eop"/>
          <w:rFonts w:ascii="Century Gothic" w:hAnsi="Century Gothic" w:cs="Segoe UI"/>
          <w:sz w:val="23"/>
          <w:szCs w:val="23"/>
        </w:rPr>
      </w:pPr>
      <w:r w:rsidRPr="00866864">
        <w:rPr>
          <w:rStyle w:val="normaltextrun"/>
          <w:rFonts w:ascii="Century Gothic" w:hAnsi="Century Gothic" w:cs="Segoe UI"/>
          <w:b/>
          <w:bCs/>
          <w:sz w:val="23"/>
          <w:szCs w:val="23"/>
        </w:rPr>
        <w:t>RESUELVE:</w:t>
      </w:r>
      <w:r w:rsidRPr="00866864">
        <w:rPr>
          <w:rStyle w:val="eop"/>
          <w:rFonts w:ascii="Century Gothic" w:hAnsi="Century Gothic" w:cs="Segoe UI"/>
          <w:sz w:val="23"/>
          <w:szCs w:val="23"/>
        </w:rPr>
        <w:t> </w:t>
      </w:r>
    </w:p>
    <w:p w14:paraId="0CBDB96E" w14:textId="77777777" w:rsidR="00B411A9" w:rsidRPr="00866864" w:rsidRDefault="00B411A9" w:rsidP="00B411A9">
      <w:pPr>
        <w:pStyle w:val="paragraph"/>
        <w:spacing w:before="0" w:beforeAutospacing="0" w:after="0" w:afterAutospacing="0"/>
        <w:ind w:right="45"/>
        <w:jc w:val="both"/>
        <w:textAlignment w:val="baseline"/>
        <w:rPr>
          <w:rFonts w:ascii="Century Gothic" w:hAnsi="Century Gothic" w:cs="Segoe UI"/>
          <w:sz w:val="23"/>
          <w:szCs w:val="23"/>
        </w:rPr>
      </w:pPr>
    </w:p>
    <w:p w14:paraId="2990B3FB" w14:textId="78878068" w:rsidR="00031A2B" w:rsidRPr="00866864" w:rsidRDefault="00B411A9" w:rsidP="00B411A9">
      <w:pPr>
        <w:ind w:right="45"/>
        <w:jc w:val="both"/>
        <w:textAlignment w:val="baseline"/>
        <w:rPr>
          <w:rFonts w:ascii="Century Gothic" w:hAnsi="Century Gothic"/>
          <w:sz w:val="23"/>
          <w:szCs w:val="23"/>
        </w:rPr>
      </w:pPr>
      <w:r w:rsidRPr="00866864">
        <w:rPr>
          <w:rFonts w:ascii="Century Gothic" w:hAnsi="Century Gothic" w:cs="Arial"/>
          <w:b/>
          <w:bCs/>
          <w:sz w:val="23"/>
          <w:szCs w:val="23"/>
          <w:lang w:val="es-CO"/>
        </w:rPr>
        <w:t xml:space="preserve">PRIMERO: </w:t>
      </w:r>
      <w:r w:rsidRPr="00866864">
        <w:rPr>
          <w:rFonts w:ascii="Arial" w:hAnsi="Arial" w:cs="Arial"/>
          <w:b/>
          <w:bCs/>
          <w:sz w:val="23"/>
          <w:szCs w:val="23"/>
          <w:lang w:val="es-CO"/>
        </w:rPr>
        <w:t>​</w:t>
      </w:r>
      <w:r w:rsidR="00866864" w:rsidRPr="00866864">
        <w:rPr>
          <w:rFonts w:ascii="Century Gothic" w:hAnsi="Century Gothic"/>
          <w:sz w:val="23"/>
          <w:szCs w:val="23"/>
        </w:rPr>
        <w:tab/>
      </w:r>
      <w:r w:rsidR="00251453" w:rsidRPr="00866864">
        <w:rPr>
          <w:rFonts w:ascii="Century Gothic" w:hAnsi="Century Gothic"/>
          <w:b/>
          <w:bCs/>
          <w:sz w:val="23"/>
          <w:szCs w:val="23"/>
        </w:rPr>
        <w:t xml:space="preserve">Declarar </w:t>
      </w:r>
      <w:r w:rsidR="00031A2B" w:rsidRPr="00866864">
        <w:rPr>
          <w:rFonts w:ascii="Century Gothic" w:hAnsi="Century Gothic"/>
          <w:b/>
          <w:bCs/>
          <w:sz w:val="23"/>
          <w:szCs w:val="23"/>
        </w:rPr>
        <w:t>notificado por conducta concluyente</w:t>
      </w:r>
      <w:r w:rsidR="00031A2B" w:rsidRPr="00866864">
        <w:rPr>
          <w:rFonts w:ascii="Century Gothic" w:hAnsi="Century Gothic"/>
          <w:sz w:val="23"/>
          <w:szCs w:val="23"/>
        </w:rPr>
        <w:t xml:space="preserve"> al llamado en garantía </w:t>
      </w:r>
      <w:r w:rsidR="00031A2B" w:rsidRPr="00866864">
        <w:rPr>
          <w:rFonts w:ascii="Century Gothic" w:hAnsi="Century Gothic" w:cs="Arial"/>
          <w:sz w:val="23"/>
          <w:szCs w:val="23"/>
        </w:rPr>
        <w:t>la Previsora S.A. Compañía de Seguros, respecto del auto de fecha 19 de mayo de 2022</w:t>
      </w:r>
      <w:r w:rsidR="00251453" w:rsidRPr="00866864">
        <w:rPr>
          <w:rFonts w:ascii="Century Gothic" w:hAnsi="Century Gothic" w:cs="Arial"/>
          <w:sz w:val="23"/>
          <w:szCs w:val="23"/>
        </w:rPr>
        <w:t xml:space="preserve">, demanda y demás actuaciones. </w:t>
      </w:r>
    </w:p>
    <w:p w14:paraId="68BA9E87" w14:textId="77777777" w:rsidR="00031A2B" w:rsidRPr="00866864" w:rsidRDefault="00031A2B" w:rsidP="00B411A9">
      <w:pPr>
        <w:ind w:right="45"/>
        <w:jc w:val="both"/>
        <w:textAlignment w:val="baseline"/>
        <w:rPr>
          <w:rFonts w:ascii="Century Gothic" w:hAnsi="Century Gothic"/>
          <w:sz w:val="23"/>
          <w:szCs w:val="23"/>
        </w:rPr>
      </w:pPr>
    </w:p>
    <w:p w14:paraId="633CEE5C" w14:textId="745C572B" w:rsidR="00B411A9" w:rsidRPr="00866864" w:rsidRDefault="00031A2B" w:rsidP="00B411A9">
      <w:pPr>
        <w:ind w:right="45"/>
        <w:jc w:val="both"/>
        <w:textAlignment w:val="baseline"/>
        <w:rPr>
          <w:rFonts w:ascii="Century Gothic" w:hAnsi="Century Gothic" w:cs="Arial"/>
          <w:sz w:val="23"/>
          <w:szCs w:val="23"/>
        </w:rPr>
      </w:pPr>
      <w:r w:rsidRPr="00866864">
        <w:rPr>
          <w:rFonts w:ascii="Century Gothic" w:hAnsi="Century Gothic" w:cs="Arial"/>
          <w:b/>
          <w:bCs/>
          <w:sz w:val="23"/>
          <w:szCs w:val="23"/>
          <w:lang w:val="es-CO"/>
        </w:rPr>
        <w:t>SEGUNDO:</w:t>
      </w:r>
      <w:r w:rsidR="00866864" w:rsidRPr="00866864">
        <w:rPr>
          <w:rFonts w:ascii="Century Gothic" w:hAnsi="Century Gothic" w:cs="Arial"/>
          <w:b/>
          <w:bCs/>
          <w:sz w:val="23"/>
          <w:szCs w:val="23"/>
          <w:lang w:val="es-CO"/>
        </w:rPr>
        <w:tab/>
      </w:r>
      <w:r w:rsidR="00922D75" w:rsidRPr="00866864">
        <w:rPr>
          <w:rFonts w:ascii="Century Gothic" w:hAnsi="Century Gothic" w:cs="Arial"/>
          <w:b/>
          <w:bCs/>
          <w:sz w:val="23"/>
          <w:szCs w:val="23"/>
          <w:lang w:val="es-CO"/>
        </w:rPr>
        <w:t xml:space="preserve">Dejar sin valor y efecto, </w:t>
      </w:r>
      <w:r w:rsidR="00922D75" w:rsidRPr="00866864">
        <w:rPr>
          <w:rFonts w:ascii="Century Gothic" w:hAnsi="Century Gothic" w:cs="Arial"/>
          <w:sz w:val="23"/>
          <w:szCs w:val="23"/>
          <w:lang w:val="es-CO"/>
        </w:rPr>
        <w:t>la notificación personal realizada por secretaría el día 13 de abril de 2023, respecto de l</w:t>
      </w:r>
      <w:r w:rsidR="00251453" w:rsidRPr="00866864">
        <w:rPr>
          <w:rFonts w:ascii="Century Gothic" w:hAnsi="Century Gothic" w:cs="Arial"/>
          <w:sz w:val="23"/>
          <w:szCs w:val="23"/>
          <w:lang w:val="es-CO"/>
        </w:rPr>
        <w:t xml:space="preserve">a </w:t>
      </w:r>
      <w:r w:rsidR="00922D75" w:rsidRPr="00866864">
        <w:rPr>
          <w:rFonts w:ascii="Century Gothic" w:hAnsi="Century Gothic" w:cs="Arial"/>
          <w:sz w:val="23"/>
          <w:szCs w:val="23"/>
        </w:rPr>
        <w:t xml:space="preserve">Previsora S.A. Compañía de Seguros. </w:t>
      </w:r>
    </w:p>
    <w:p w14:paraId="4DA2C8B0" w14:textId="77777777" w:rsidR="00031A2B" w:rsidRPr="00866864" w:rsidRDefault="00031A2B" w:rsidP="00B411A9">
      <w:pPr>
        <w:ind w:right="45"/>
        <w:jc w:val="both"/>
        <w:textAlignment w:val="baseline"/>
        <w:rPr>
          <w:rFonts w:ascii="Century Gothic" w:hAnsi="Century Gothic" w:cs="Arial"/>
          <w:b/>
          <w:bCs/>
          <w:sz w:val="23"/>
          <w:szCs w:val="23"/>
          <w:lang w:val="es-CO"/>
        </w:rPr>
      </w:pPr>
    </w:p>
    <w:p w14:paraId="6071B1C9" w14:textId="44C97751" w:rsidR="00B411A9" w:rsidRPr="00866864" w:rsidRDefault="00031A2B" w:rsidP="00B411A9">
      <w:pPr>
        <w:ind w:right="45"/>
        <w:jc w:val="both"/>
        <w:textAlignment w:val="baseline"/>
        <w:rPr>
          <w:rFonts w:ascii="Century Gothic" w:hAnsi="Century Gothic" w:cs="Arial"/>
          <w:b/>
          <w:bCs/>
          <w:sz w:val="23"/>
          <w:szCs w:val="23"/>
          <w:lang w:val="es-CO"/>
        </w:rPr>
      </w:pPr>
      <w:r w:rsidRPr="00866864">
        <w:rPr>
          <w:rFonts w:ascii="Century Gothic" w:hAnsi="Century Gothic" w:cs="Arial"/>
          <w:b/>
          <w:bCs/>
          <w:sz w:val="23"/>
          <w:szCs w:val="23"/>
          <w:lang w:val="es-CO"/>
        </w:rPr>
        <w:t>TERCERO</w:t>
      </w:r>
      <w:r w:rsidR="00B411A9" w:rsidRPr="00866864">
        <w:rPr>
          <w:rFonts w:ascii="Century Gothic" w:hAnsi="Century Gothic" w:cs="Arial"/>
          <w:b/>
          <w:bCs/>
          <w:sz w:val="23"/>
          <w:szCs w:val="23"/>
          <w:lang w:val="es-CO"/>
        </w:rPr>
        <w:t>:</w:t>
      </w:r>
      <w:r w:rsidR="00922D75" w:rsidRPr="00866864">
        <w:rPr>
          <w:rFonts w:ascii="Century Gothic" w:hAnsi="Century Gothic" w:cs="Arial"/>
          <w:b/>
          <w:bCs/>
          <w:sz w:val="23"/>
          <w:szCs w:val="23"/>
          <w:lang w:val="es-CO"/>
        </w:rPr>
        <w:t xml:space="preserve"> </w:t>
      </w:r>
      <w:r w:rsidR="00866864" w:rsidRPr="00866864">
        <w:rPr>
          <w:rFonts w:ascii="Century Gothic" w:hAnsi="Century Gothic" w:cs="Arial"/>
          <w:b/>
          <w:bCs/>
          <w:sz w:val="23"/>
          <w:szCs w:val="23"/>
          <w:lang w:val="es-CO"/>
        </w:rPr>
        <w:tab/>
      </w:r>
      <w:r w:rsidR="00922D75" w:rsidRPr="00866864">
        <w:rPr>
          <w:rFonts w:ascii="Century Gothic" w:hAnsi="Century Gothic" w:cs="Arial"/>
          <w:b/>
          <w:bCs/>
          <w:sz w:val="23"/>
          <w:szCs w:val="23"/>
          <w:lang w:val="es-CO"/>
        </w:rPr>
        <w:t xml:space="preserve">Tener </w:t>
      </w:r>
      <w:r w:rsidR="00922D75" w:rsidRPr="00866864">
        <w:rPr>
          <w:rFonts w:ascii="Century Gothic" w:hAnsi="Century Gothic" w:cs="Arial"/>
          <w:sz w:val="23"/>
          <w:szCs w:val="23"/>
          <w:lang w:val="es-CO"/>
        </w:rPr>
        <w:t xml:space="preserve">por contestada la demanda y llamamiento en garantía dentro del término legal por parte de </w:t>
      </w:r>
      <w:r w:rsidR="00922D75" w:rsidRPr="00866864">
        <w:rPr>
          <w:rFonts w:ascii="Century Gothic" w:hAnsi="Century Gothic" w:cs="Arial"/>
          <w:sz w:val="23"/>
          <w:szCs w:val="23"/>
        </w:rPr>
        <w:t>la Previsora S.A. Compañía de Seguros.</w:t>
      </w:r>
    </w:p>
    <w:p w14:paraId="75AA0E80" w14:textId="77777777" w:rsidR="00922D75" w:rsidRPr="00866864" w:rsidRDefault="00922D75" w:rsidP="00B411A9">
      <w:pPr>
        <w:ind w:right="45"/>
        <w:jc w:val="both"/>
        <w:textAlignment w:val="baseline"/>
        <w:rPr>
          <w:rFonts w:ascii="Century Gothic" w:hAnsi="Century Gothic" w:cs="Arial"/>
          <w:b/>
          <w:bCs/>
          <w:sz w:val="23"/>
          <w:szCs w:val="23"/>
          <w:lang w:val="es-CO"/>
        </w:rPr>
      </w:pPr>
    </w:p>
    <w:p w14:paraId="04BE5E24" w14:textId="3171B27D" w:rsidR="00B411A9" w:rsidRPr="00866864" w:rsidRDefault="00031A2B" w:rsidP="00B411A9">
      <w:pPr>
        <w:ind w:right="45"/>
        <w:jc w:val="both"/>
        <w:textAlignment w:val="baseline"/>
        <w:rPr>
          <w:rFonts w:ascii="Century Gothic" w:hAnsi="Century Gothic" w:cs="Arial"/>
          <w:b/>
          <w:bCs/>
          <w:sz w:val="23"/>
          <w:szCs w:val="23"/>
          <w:lang w:eastAsia="es-CO"/>
        </w:rPr>
      </w:pPr>
      <w:r w:rsidRPr="00866864">
        <w:rPr>
          <w:rFonts w:ascii="Century Gothic" w:hAnsi="Century Gothic" w:cs="Arial"/>
          <w:b/>
          <w:bCs/>
          <w:sz w:val="23"/>
          <w:szCs w:val="23"/>
          <w:lang w:val="es-CO"/>
        </w:rPr>
        <w:t>CUARTO</w:t>
      </w:r>
      <w:r w:rsidR="00B411A9" w:rsidRPr="00866864">
        <w:rPr>
          <w:rFonts w:ascii="Century Gothic" w:hAnsi="Century Gothic" w:cs="Arial"/>
          <w:b/>
          <w:bCs/>
          <w:sz w:val="23"/>
          <w:szCs w:val="23"/>
          <w:lang w:val="es-CO"/>
        </w:rPr>
        <w:t xml:space="preserve">:  </w:t>
      </w:r>
      <w:r w:rsidR="00866864" w:rsidRPr="00866864">
        <w:rPr>
          <w:rFonts w:ascii="Century Gothic" w:hAnsi="Century Gothic" w:cs="Arial"/>
          <w:b/>
          <w:bCs/>
          <w:sz w:val="23"/>
          <w:szCs w:val="23"/>
          <w:lang w:val="es-CO"/>
        </w:rPr>
        <w:tab/>
      </w:r>
      <w:r w:rsidR="00922D75" w:rsidRPr="00866864">
        <w:rPr>
          <w:rFonts w:ascii="Century Gothic" w:hAnsi="Century Gothic" w:cs="Arial"/>
          <w:b/>
          <w:bCs/>
          <w:sz w:val="23"/>
          <w:szCs w:val="23"/>
          <w:lang w:val="es-CO"/>
        </w:rPr>
        <w:t xml:space="preserve">Tener </w:t>
      </w:r>
      <w:r w:rsidR="00922D75" w:rsidRPr="00866864">
        <w:rPr>
          <w:rFonts w:ascii="Century Gothic" w:hAnsi="Century Gothic" w:cs="Arial"/>
          <w:sz w:val="23"/>
          <w:szCs w:val="23"/>
          <w:lang w:val="es-CO"/>
        </w:rPr>
        <w:t xml:space="preserve">por contestada la demanda y llamamiento en garantía dentro del término legal por parte de </w:t>
      </w:r>
      <w:r w:rsidR="00922D75" w:rsidRPr="00866864">
        <w:rPr>
          <w:rFonts w:ascii="Century Gothic" w:hAnsi="Century Gothic" w:cs="Arial"/>
          <w:b/>
          <w:bCs/>
          <w:sz w:val="23"/>
          <w:szCs w:val="23"/>
        </w:rPr>
        <w:t>Axa Colpatria Seguros S.A</w:t>
      </w:r>
    </w:p>
    <w:p w14:paraId="162E30B2" w14:textId="77777777" w:rsidR="00B411A9" w:rsidRPr="00866864" w:rsidRDefault="00B411A9" w:rsidP="00B411A9">
      <w:pPr>
        <w:ind w:right="45"/>
        <w:jc w:val="both"/>
        <w:textAlignment w:val="baseline"/>
        <w:rPr>
          <w:rFonts w:ascii="Century Gothic" w:hAnsi="Century Gothic" w:cs="Segoe UI"/>
          <w:b/>
          <w:bCs/>
          <w:sz w:val="23"/>
          <w:szCs w:val="23"/>
          <w:lang w:eastAsia="es-CO"/>
        </w:rPr>
      </w:pPr>
    </w:p>
    <w:p w14:paraId="0764317F" w14:textId="3320712B" w:rsidR="00922D75" w:rsidRPr="00866864" w:rsidRDefault="00031A2B" w:rsidP="00922D75">
      <w:pPr>
        <w:ind w:right="45"/>
        <w:jc w:val="both"/>
        <w:textAlignment w:val="baseline"/>
        <w:rPr>
          <w:rFonts w:ascii="Century Gothic" w:hAnsi="Century Gothic" w:cs="Arial"/>
          <w:b/>
          <w:bCs/>
          <w:sz w:val="23"/>
          <w:szCs w:val="23"/>
          <w:lang w:eastAsia="es-CO"/>
        </w:rPr>
      </w:pPr>
      <w:r w:rsidRPr="00866864">
        <w:rPr>
          <w:rFonts w:ascii="Century Gothic" w:hAnsi="Century Gothic" w:cs="Segoe UI"/>
          <w:b/>
          <w:bCs/>
          <w:sz w:val="23"/>
          <w:szCs w:val="23"/>
          <w:lang w:eastAsia="es-CO"/>
        </w:rPr>
        <w:t>QUINTO</w:t>
      </w:r>
      <w:r w:rsidR="00B411A9" w:rsidRPr="00866864">
        <w:rPr>
          <w:rFonts w:ascii="Century Gothic" w:hAnsi="Century Gothic" w:cs="Segoe UI"/>
          <w:b/>
          <w:bCs/>
          <w:sz w:val="23"/>
          <w:szCs w:val="23"/>
          <w:lang w:eastAsia="es-CO"/>
        </w:rPr>
        <w:t>:</w:t>
      </w:r>
      <w:r w:rsidR="00866864" w:rsidRPr="00866864">
        <w:rPr>
          <w:rFonts w:ascii="Century Gothic" w:hAnsi="Century Gothic" w:cs="Arial"/>
          <w:sz w:val="23"/>
          <w:szCs w:val="23"/>
        </w:rPr>
        <w:tab/>
      </w:r>
      <w:r w:rsidR="00922D75" w:rsidRPr="00866864">
        <w:rPr>
          <w:rFonts w:ascii="Century Gothic" w:hAnsi="Century Gothic" w:cs="Arial"/>
          <w:b/>
          <w:bCs/>
          <w:sz w:val="23"/>
          <w:szCs w:val="23"/>
          <w:lang w:val="es-CO"/>
        </w:rPr>
        <w:t>Por secretaria</w:t>
      </w:r>
      <w:r w:rsidR="00922D75" w:rsidRPr="00866864">
        <w:rPr>
          <w:rFonts w:ascii="Century Gothic" w:hAnsi="Century Gothic" w:cs="Arial"/>
          <w:bCs/>
          <w:sz w:val="23"/>
          <w:szCs w:val="23"/>
          <w:lang w:val="es-CO"/>
        </w:rPr>
        <w:t>,</w:t>
      </w:r>
      <w:r w:rsidR="00922D75" w:rsidRPr="00866864">
        <w:rPr>
          <w:rFonts w:ascii="Century Gothic" w:hAnsi="Century Gothic" w:cs="Arial"/>
          <w:b/>
          <w:bCs/>
          <w:sz w:val="23"/>
          <w:szCs w:val="23"/>
          <w:lang w:val="es-CO"/>
        </w:rPr>
        <w:t xml:space="preserve"> </w:t>
      </w:r>
      <w:r w:rsidR="00922D75" w:rsidRPr="00866864">
        <w:rPr>
          <w:rFonts w:ascii="Century Gothic" w:hAnsi="Century Gothic" w:cs="Arial"/>
          <w:bCs/>
          <w:sz w:val="23"/>
          <w:szCs w:val="23"/>
          <w:lang w:val="es-CO"/>
        </w:rPr>
        <w:t xml:space="preserve">correr traslado de la contestación de la demanda, al llamado en garantía y excepciones previas presentada por Axa Colpatria S.A a las demás partes. </w:t>
      </w:r>
    </w:p>
    <w:p w14:paraId="2561FA98" w14:textId="77777777" w:rsidR="00B411A9" w:rsidRPr="00866864" w:rsidRDefault="00B411A9" w:rsidP="00B411A9">
      <w:pPr>
        <w:ind w:right="45"/>
        <w:jc w:val="both"/>
        <w:textAlignment w:val="baseline"/>
        <w:rPr>
          <w:rFonts w:ascii="Century Gothic" w:hAnsi="Century Gothic"/>
          <w:sz w:val="23"/>
          <w:szCs w:val="23"/>
        </w:rPr>
      </w:pPr>
    </w:p>
    <w:p w14:paraId="3AD76EDD" w14:textId="0E3167AE" w:rsidR="00B411A9" w:rsidRPr="00866864" w:rsidRDefault="00031A2B" w:rsidP="00B411A9">
      <w:pPr>
        <w:ind w:right="45"/>
        <w:jc w:val="both"/>
        <w:textAlignment w:val="baseline"/>
        <w:rPr>
          <w:rStyle w:val="ui-provider"/>
          <w:rFonts w:ascii="Century Gothic" w:hAnsi="Century Gothic" w:cs="Segoe UI"/>
          <w:b/>
          <w:bCs/>
          <w:sz w:val="23"/>
          <w:szCs w:val="23"/>
          <w:lang w:eastAsia="es-CO"/>
        </w:rPr>
      </w:pPr>
      <w:r w:rsidRPr="00866864">
        <w:rPr>
          <w:rFonts w:ascii="Century Gothic" w:hAnsi="Century Gothic"/>
          <w:b/>
          <w:bCs/>
          <w:sz w:val="23"/>
          <w:szCs w:val="23"/>
        </w:rPr>
        <w:t>SEXTO</w:t>
      </w:r>
      <w:r w:rsidR="00B411A9" w:rsidRPr="00866864">
        <w:rPr>
          <w:rFonts w:ascii="Century Gothic" w:hAnsi="Century Gothic"/>
          <w:b/>
          <w:bCs/>
          <w:sz w:val="23"/>
          <w:szCs w:val="23"/>
        </w:rPr>
        <w:t>:</w:t>
      </w:r>
      <w:r w:rsidR="00B411A9" w:rsidRPr="00866864">
        <w:rPr>
          <w:rFonts w:ascii="Century Gothic" w:hAnsi="Century Gothic"/>
          <w:sz w:val="23"/>
          <w:szCs w:val="23"/>
        </w:rPr>
        <w:t xml:space="preserve"> </w:t>
      </w:r>
      <w:r w:rsidR="00922D75" w:rsidRPr="00866864">
        <w:rPr>
          <w:rFonts w:ascii="Century Gothic" w:hAnsi="Century Gothic"/>
          <w:sz w:val="23"/>
          <w:szCs w:val="23"/>
        </w:rPr>
        <w:t xml:space="preserve">  </w:t>
      </w:r>
      <w:r w:rsidR="00866864" w:rsidRPr="00866864">
        <w:rPr>
          <w:rFonts w:ascii="Century Gothic" w:hAnsi="Century Gothic"/>
          <w:sz w:val="23"/>
          <w:szCs w:val="23"/>
        </w:rPr>
        <w:tab/>
      </w:r>
      <w:r w:rsidR="00922D75" w:rsidRPr="00866864">
        <w:rPr>
          <w:rFonts w:ascii="Century Gothic" w:hAnsi="Century Gothic" w:cs="Segoe UI"/>
          <w:b/>
          <w:bCs/>
          <w:sz w:val="23"/>
          <w:szCs w:val="23"/>
          <w:lang w:val="es-CO" w:eastAsia="es-CO"/>
        </w:rPr>
        <w:t>Reconocer Personería</w:t>
      </w:r>
      <w:r w:rsidR="00922D75" w:rsidRPr="00866864">
        <w:rPr>
          <w:rFonts w:ascii="Century Gothic" w:hAnsi="Century Gothic" w:cs="Segoe UI"/>
          <w:sz w:val="23"/>
          <w:szCs w:val="23"/>
          <w:lang w:val="es-CO" w:eastAsia="es-CO"/>
        </w:rPr>
        <w:t xml:space="preserve"> </w:t>
      </w:r>
      <w:r w:rsidR="00922D75" w:rsidRPr="00866864">
        <w:rPr>
          <w:rFonts w:ascii="Century Gothic" w:hAnsi="Century Gothic" w:cs="Arial"/>
          <w:sz w:val="23"/>
          <w:szCs w:val="23"/>
        </w:rPr>
        <w:t>al abogad</w:t>
      </w:r>
      <w:r w:rsidR="00251453" w:rsidRPr="00866864">
        <w:rPr>
          <w:rFonts w:ascii="Century Gothic" w:hAnsi="Century Gothic" w:cs="Arial"/>
          <w:sz w:val="23"/>
          <w:szCs w:val="23"/>
        </w:rPr>
        <w:t xml:space="preserve">o Rafael Alberto Ariza Vesga como apoderado del llamado en garantía </w:t>
      </w:r>
      <w:r w:rsidR="00251453" w:rsidRPr="00866864">
        <w:rPr>
          <w:rFonts w:ascii="Century Gothic" w:hAnsi="Century Gothic" w:cs="Arial"/>
          <w:bCs/>
          <w:sz w:val="23"/>
          <w:szCs w:val="23"/>
          <w:lang w:val="es-CO"/>
        </w:rPr>
        <w:t xml:space="preserve">Axa Colpatria S.A. </w:t>
      </w:r>
    </w:p>
    <w:p w14:paraId="75C4DF5C" w14:textId="77777777" w:rsidR="00B411A9" w:rsidRPr="00866864" w:rsidRDefault="00B411A9" w:rsidP="00B411A9">
      <w:pPr>
        <w:pStyle w:val="paragraph"/>
        <w:spacing w:before="0" w:beforeAutospacing="0" w:after="0" w:afterAutospacing="0"/>
        <w:jc w:val="both"/>
        <w:textAlignment w:val="baseline"/>
        <w:rPr>
          <w:rFonts w:ascii="Century Gothic" w:hAnsi="Century Gothic" w:cs="Segoe UI"/>
          <w:sz w:val="23"/>
          <w:szCs w:val="23"/>
        </w:rPr>
      </w:pPr>
    </w:p>
    <w:p w14:paraId="37FD7A27" w14:textId="32560903" w:rsidR="00922D75" w:rsidRPr="00866864" w:rsidRDefault="00B411A9" w:rsidP="00922D75">
      <w:pPr>
        <w:ind w:right="45"/>
        <w:jc w:val="both"/>
        <w:textAlignment w:val="baseline"/>
        <w:rPr>
          <w:rStyle w:val="ui-provider"/>
          <w:rFonts w:ascii="Century Gothic" w:hAnsi="Century Gothic" w:cs="Segoe UI"/>
          <w:b/>
          <w:bCs/>
          <w:sz w:val="23"/>
          <w:szCs w:val="23"/>
          <w:lang w:eastAsia="es-CO"/>
        </w:rPr>
      </w:pPr>
      <w:r w:rsidRPr="00866864">
        <w:rPr>
          <w:rFonts w:ascii="Century Gothic" w:hAnsi="Century Gothic" w:cs="Segoe UI"/>
          <w:b/>
          <w:bCs/>
          <w:sz w:val="23"/>
          <w:szCs w:val="23"/>
          <w:lang w:eastAsia="es-CO"/>
        </w:rPr>
        <w:t>SE</w:t>
      </w:r>
      <w:r w:rsidR="00031A2B" w:rsidRPr="00866864">
        <w:rPr>
          <w:rFonts w:ascii="Century Gothic" w:hAnsi="Century Gothic" w:cs="Segoe UI"/>
          <w:b/>
          <w:bCs/>
          <w:sz w:val="23"/>
          <w:szCs w:val="23"/>
          <w:lang w:eastAsia="es-CO"/>
        </w:rPr>
        <w:t>PTIMO</w:t>
      </w:r>
      <w:r w:rsidR="00922D75" w:rsidRPr="00866864">
        <w:rPr>
          <w:rFonts w:ascii="Century Gothic" w:hAnsi="Century Gothic" w:cs="Segoe UI"/>
          <w:b/>
          <w:bCs/>
          <w:sz w:val="23"/>
          <w:szCs w:val="23"/>
          <w:lang w:eastAsia="es-CO"/>
        </w:rPr>
        <w:t>:</w:t>
      </w:r>
      <w:r w:rsidR="00866864" w:rsidRPr="00866864">
        <w:rPr>
          <w:rFonts w:ascii="Century Gothic" w:hAnsi="Century Gothic" w:cs="Segoe UI"/>
          <w:b/>
          <w:bCs/>
          <w:sz w:val="23"/>
          <w:szCs w:val="23"/>
          <w:lang w:eastAsia="es-CO"/>
        </w:rPr>
        <w:tab/>
      </w:r>
      <w:r w:rsidR="00922D75" w:rsidRPr="00866864">
        <w:rPr>
          <w:rFonts w:ascii="Century Gothic" w:hAnsi="Century Gothic" w:cs="Segoe UI"/>
          <w:b/>
          <w:bCs/>
          <w:sz w:val="23"/>
          <w:szCs w:val="23"/>
          <w:lang w:val="es-CO" w:eastAsia="es-CO"/>
        </w:rPr>
        <w:t>Reconocer Personería</w:t>
      </w:r>
      <w:r w:rsidR="00922D75" w:rsidRPr="00866864">
        <w:rPr>
          <w:rFonts w:ascii="Century Gothic" w:hAnsi="Century Gothic" w:cs="Segoe UI"/>
          <w:sz w:val="23"/>
          <w:szCs w:val="23"/>
          <w:lang w:val="es-CO" w:eastAsia="es-CO"/>
        </w:rPr>
        <w:t xml:space="preserve"> </w:t>
      </w:r>
      <w:r w:rsidR="00922D75" w:rsidRPr="00866864">
        <w:rPr>
          <w:rFonts w:ascii="Century Gothic" w:hAnsi="Century Gothic" w:cs="Arial"/>
          <w:sz w:val="23"/>
          <w:szCs w:val="23"/>
        </w:rPr>
        <w:t>a</w:t>
      </w:r>
      <w:r w:rsidR="00251453" w:rsidRPr="00866864">
        <w:rPr>
          <w:rFonts w:ascii="Century Gothic" w:hAnsi="Century Gothic" w:cs="Arial"/>
          <w:sz w:val="23"/>
          <w:szCs w:val="23"/>
        </w:rPr>
        <w:t xml:space="preserve"> </w:t>
      </w:r>
      <w:r w:rsidR="00922D75" w:rsidRPr="00866864">
        <w:rPr>
          <w:rFonts w:ascii="Century Gothic" w:hAnsi="Century Gothic" w:cs="Arial"/>
          <w:sz w:val="23"/>
          <w:szCs w:val="23"/>
        </w:rPr>
        <w:t>l</w:t>
      </w:r>
      <w:r w:rsidR="00251453" w:rsidRPr="00866864">
        <w:rPr>
          <w:rFonts w:ascii="Century Gothic" w:hAnsi="Century Gothic" w:cs="Arial"/>
          <w:sz w:val="23"/>
          <w:szCs w:val="23"/>
        </w:rPr>
        <w:t>a</w:t>
      </w:r>
      <w:r w:rsidR="00922D75" w:rsidRPr="00866864">
        <w:rPr>
          <w:rFonts w:ascii="Century Gothic" w:hAnsi="Century Gothic" w:cs="Arial"/>
          <w:sz w:val="23"/>
          <w:szCs w:val="23"/>
        </w:rPr>
        <w:t xml:space="preserve"> abogad</w:t>
      </w:r>
      <w:r w:rsidR="00251453" w:rsidRPr="00866864">
        <w:rPr>
          <w:rFonts w:ascii="Century Gothic" w:hAnsi="Century Gothic" w:cs="Arial"/>
          <w:sz w:val="23"/>
          <w:szCs w:val="23"/>
        </w:rPr>
        <w:t xml:space="preserve">a Daniela Bejarano Arroyo con T.P No.323.821 como apoderada de la Previsora S.A. Compañía de Seguros, en los términos del poder allegado al expediente. </w:t>
      </w:r>
    </w:p>
    <w:p w14:paraId="1EF1A79E" w14:textId="77777777" w:rsidR="00B411A9" w:rsidRPr="00866864" w:rsidRDefault="00B411A9" w:rsidP="00B411A9">
      <w:pPr>
        <w:ind w:right="45"/>
        <w:jc w:val="both"/>
        <w:textAlignment w:val="baseline"/>
        <w:rPr>
          <w:rFonts w:ascii="Century Gothic" w:hAnsi="Century Gothic"/>
          <w:b/>
          <w:sz w:val="23"/>
          <w:szCs w:val="23"/>
        </w:rPr>
      </w:pPr>
    </w:p>
    <w:p w14:paraId="23B5A2A2" w14:textId="29C705E7" w:rsidR="00B411A9" w:rsidRPr="00866864" w:rsidRDefault="00031A2B" w:rsidP="00B411A9">
      <w:pPr>
        <w:ind w:right="45"/>
        <w:jc w:val="both"/>
        <w:textAlignment w:val="baseline"/>
        <w:rPr>
          <w:rFonts w:ascii="Century Gothic" w:hAnsi="Century Gothic"/>
          <w:b/>
          <w:bCs/>
          <w:color w:val="000000"/>
          <w:sz w:val="23"/>
          <w:szCs w:val="23"/>
          <w:shd w:val="clear" w:color="auto" w:fill="FFFFFF"/>
        </w:rPr>
      </w:pPr>
      <w:r w:rsidRPr="00866864">
        <w:rPr>
          <w:rFonts w:ascii="Century Gothic" w:hAnsi="Century Gothic"/>
          <w:b/>
          <w:bCs/>
          <w:sz w:val="23"/>
          <w:szCs w:val="23"/>
        </w:rPr>
        <w:t>OCTAVO</w:t>
      </w:r>
      <w:r w:rsidR="00B411A9" w:rsidRPr="00866864">
        <w:rPr>
          <w:rFonts w:ascii="Century Gothic" w:hAnsi="Century Gothic"/>
          <w:b/>
          <w:bCs/>
          <w:sz w:val="23"/>
          <w:szCs w:val="23"/>
        </w:rPr>
        <w:t>:</w:t>
      </w:r>
      <w:r w:rsidR="00866864" w:rsidRPr="00866864">
        <w:rPr>
          <w:rFonts w:ascii="Century Gothic" w:hAnsi="Century Gothic"/>
          <w:b/>
          <w:bCs/>
          <w:sz w:val="23"/>
          <w:szCs w:val="23"/>
        </w:rPr>
        <w:tab/>
      </w:r>
      <w:r w:rsidR="00B411A9" w:rsidRPr="00866864">
        <w:rPr>
          <w:rFonts w:ascii="Century Gothic" w:hAnsi="Century Gothic"/>
          <w:b/>
          <w:bCs/>
          <w:color w:val="000000"/>
          <w:sz w:val="23"/>
          <w:szCs w:val="23"/>
          <w:shd w:val="clear" w:color="auto" w:fill="FFFFFF"/>
        </w:rPr>
        <w:t>NOTIFICAR</w:t>
      </w:r>
      <w:r w:rsidR="00B411A9" w:rsidRPr="00866864">
        <w:rPr>
          <w:rFonts w:ascii="Century Gothic" w:eastAsia="Century Gothic" w:hAnsi="Century Gothic" w:cs="Century Gothic"/>
          <w:b/>
          <w:bCs/>
          <w:sz w:val="23"/>
          <w:szCs w:val="23"/>
          <w:lang w:eastAsia="es-CO"/>
        </w:rPr>
        <w:t xml:space="preserve"> </w:t>
      </w:r>
      <w:r w:rsidR="00B411A9" w:rsidRPr="00866864">
        <w:rPr>
          <w:rFonts w:ascii="Century Gothic" w:eastAsia="Century Gothic" w:hAnsi="Century Gothic" w:cs="Century Gothic"/>
          <w:sz w:val="23"/>
          <w:szCs w:val="23"/>
          <w:lang w:eastAsia="es-CO"/>
        </w:rPr>
        <w:t>por secretaría la presente decisión a las partes y al Ministerio Público conformidad con lo dispuesto en el artículo 201 de la Ley 1437 de 2011, a los correos electrónicos</w:t>
      </w:r>
    </w:p>
    <w:p w14:paraId="0A2CECFB" w14:textId="77777777" w:rsidR="00B411A9" w:rsidRPr="00866864" w:rsidRDefault="00B411A9" w:rsidP="00B411A9">
      <w:pPr>
        <w:jc w:val="both"/>
        <w:textAlignment w:val="baseline"/>
        <w:rPr>
          <w:rFonts w:ascii="Century Gothic" w:hAnsi="Century Gothic"/>
          <w:sz w:val="23"/>
          <w:szCs w:val="23"/>
        </w:rPr>
      </w:pPr>
    </w:p>
    <w:p w14:paraId="788C21A3" w14:textId="77777777" w:rsidR="00B411A9" w:rsidRPr="00866864" w:rsidRDefault="00B411A9" w:rsidP="00B411A9">
      <w:pPr>
        <w:tabs>
          <w:tab w:val="left" w:pos="0"/>
        </w:tabs>
        <w:jc w:val="both"/>
        <w:rPr>
          <w:rFonts w:ascii="Century Gothic" w:hAnsi="Century Gothic" w:cs="Arial"/>
          <w:b/>
          <w:bCs/>
          <w:sz w:val="23"/>
          <w:szCs w:val="23"/>
        </w:rPr>
      </w:pPr>
    </w:p>
    <w:p w14:paraId="32F35CDB" w14:textId="77777777" w:rsidR="00B411A9" w:rsidRPr="00866864" w:rsidRDefault="00B411A9" w:rsidP="00B411A9">
      <w:pPr>
        <w:tabs>
          <w:tab w:val="left" w:pos="0"/>
        </w:tabs>
        <w:jc w:val="both"/>
        <w:rPr>
          <w:rFonts w:ascii="Century Gothic" w:hAnsi="Century Gothic" w:cs="Arial"/>
          <w:b/>
          <w:bCs/>
          <w:sz w:val="23"/>
          <w:szCs w:val="23"/>
        </w:rPr>
      </w:pPr>
      <w:r w:rsidRPr="00866864">
        <w:rPr>
          <w:rFonts w:ascii="Century Gothic" w:hAnsi="Century Gothic" w:cs="Arial"/>
          <w:b/>
          <w:bCs/>
          <w:sz w:val="23"/>
          <w:szCs w:val="23"/>
        </w:rPr>
        <w:t>NOTIFÍQUESE Y CÚMPLASE</w:t>
      </w:r>
    </w:p>
    <w:p w14:paraId="3D3E141A" w14:textId="77777777" w:rsidR="00B411A9" w:rsidRPr="00866864" w:rsidRDefault="00B411A9" w:rsidP="00B411A9">
      <w:pPr>
        <w:tabs>
          <w:tab w:val="left" w:pos="0"/>
        </w:tabs>
        <w:jc w:val="both"/>
        <w:rPr>
          <w:rFonts w:ascii="Century Gothic" w:hAnsi="Century Gothic" w:cs="Arial"/>
          <w:b/>
          <w:sz w:val="23"/>
          <w:szCs w:val="23"/>
        </w:rPr>
      </w:pPr>
    </w:p>
    <w:p w14:paraId="1195FB6C" w14:textId="77777777" w:rsidR="00B411A9" w:rsidRPr="00866864" w:rsidRDefault="00B411A9" w:rsidP="00B411A9">
      <w:pPr>
        <w:tabs>
          <w:tab w:val="left" w:pos="3720"/>
        </w:tabs>
        <w:rPr>
          <w:rFonts w:ascii="Century Gothic" w:hAnsi="Century Gothic" w:cs="Arial"/>
          <w:b/>
          <w:bCs/>
          <w:sz w:val="23"/>
          <w:szCs w:val="23"/>
        </w:rPr>
      </w:pPr>
    </w:p>
    <w:p w14:paraId="41DB06C5" w14:textId="77777777" w:rsidR="00B411A9" w:rsidRPr="00866864" w:rsidRDefault="00B411A9" w:rsidP="00B411A9">
      <w:pPr>
        <w:tabs>
          <w:tab w:val="left" w:pos="3720"/>
        </w:tabs>
        <w:ind w:firstLine="708"/>
        <w:jc w:val="center"/>
        <w:rPr>
          <w:rFonts w:ascii="Century Gothic" w:hAnsi="Century Gothic" w:cs="Arial"/>
          <w:b/>
          <w:bCs/>
          <w:sz w:val="23"/>
          <w:szCs w:val="23"/>
        </w:rPr>
      </w:pPr>
      <w:r w:rsidRPr="00866864">
        <w:rPr>
          <w:rFonts w:ascii="Century Gothic" w:hAnsi="Century Gothic" w:cs="Arial"/>
          <w:b/>
          <w:bCs/>
          <w:sz w:val="23"/>
          <w:szCs w:val="23"/>
        </w:rPr>
        <w:t>John Alexander Ceballos Gaviria</w:t>
      </w:r>
    </w:p>
    <w:p w14:paraId="0A9F97AD" w14:textId="77777777" w:rsidR="00B411A9" w:rsidRPr="00866864" w:rsidRDefault="00B411A9" w:rsidP="00B411A9">
      <w:pPr>
        <w:jc w:val="center"/>
        <w:rPr>
          <w:rFonts w:ascii="Century Gothic" w:hAnsi="Century Gothic" w:cs="Arial"/>
          <w:b/>
          <w:sz w:val="23"/>
          <w:szCs w:val="23"/>
        </w:rPr>
      </w:pPr>
      <w:r w:rsidRPr="00866864">
        <w:rPr>
          <w:rFonts w:ascii="Century Gothic" w:hAnsi="Century Gothic" w:cs="Arial"/>
          <w:b/>
          <w:sz w:val="23"/>
          <w:szCs w:val="23"/>
        </w:rPr>
        <w:t>JUEZ</w:t>
      </w:r>
    </w:p>
    <w:p w14:paraId="278A6EBD" w14:textId="77777777" w:rsidR="00B411A9" w:rsidRDefault="00B411A9" w:rsidP="00B411A9">
      <w:pPr>
        <w:rPr>
          <w:rFonts w:ascii="Century Gothic" w:hAnsi="Century Gothic" w:cs="Arial"/>
          <w:sz w:val="22"/>
          <w:szCs w:val="22"/>
        </w:rPr>
      </w:pPr>
    </w:p>
    <w:p w14:paraId="04C7068E" w14:textId="77777777" w:rsidR="00B411A9" w:rsidRPr="00CA0605" w:rsidRDefault="00B411A9" w:rsidP="00B411A9">
      <w:pPr>
        <w:rPr>
          <w:rFonts w:ascii="Century Gothic" w:hAnsi="Century Gothic"/>
          <w:sz w:val="16"/>
          <w:szCs w:val="16"/>
        </w:rPr>
      </w:pPr>
      <w:r w:rsidRPr="00CA0605">
        <w:rPr>
          <w:rFonts w:ascii="Century Gothic" w:hAnsi="Century Gothic" w:cs="Arial"/>
          <w:sz w:val="16"/>
          <w:szCs w:val="16"/>
        </w:rPr>
        <w:t xml:space="preserve">AS </w:t>
      </w:r>
    </w:p>
    <w:p w14:paraId="62532A69" w14:textId="77777777" w:rsidR="00B411A9" w:rsidRPr="000D06B9" w:rsidRDefault="00B411A9" w:rsidP="00B411A9">
      <w:pPr>
        <w:rPr>
          <w:sz w:val="22"/>
          <w:szCs w:val="22"/>
        </w:rPr>
      </w:pPr>
    </w:p>
    <w:p w14:paraId="2B8EDA28" w14:textId="77777777" w:rsidR="00B411A9" w:rsidRPr="000D06B9" w:rsidRDefault="00B411A9" w:rsidP="00B411A9">
      <w:pPr>
        <w:rPr>
          <w:sz w:val="22"/>
          <w:szCs w:val="22"/>
        </w:rPr>
      </w:pPr>
    </w:p>
    <w:p w14:paraId="22540C78" w14:textId="77777777" w:rsidR="00B411A9" w:rsidRDefault="00B411A9" w:rsidP="00B411A9"/>
    <w:p w14:paraId="0D6F2C91" w14:textId="77777777" w:rsidR="00B411A9" w:rsidRDefault="00B411A9" w:rsidP="00B411A9"/>
    <w:p w14:paraId="7D0D6966" w14:textId="77777777" w:rsidR="00B411A9" w:rsidRDefault="00B411A9" w:rsidP="00B411A9"/>
    <w:p w14:paraId="612FC996" w14:textId="77777777" w:rsidR="000F0FBF" w:rsidRDefault="000F0FBF"/>
    <w:sectPr w:rsidR="000F0FBF" w:rsidSect="00B04CBB">
      <w:pgSz w:w="12240" w:h="18720" w:code="14"/>
      <w:pgMar w:top="1417" w:right="1701" w:bottom="1417" w:left="1701" w:header="709" w:footer="709" w:gutter="0"/>
      <w:paperSrc w:first="1" w:other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FFWqCot1" int2:invalidationBookmarkName="" int2:hashCode="rGgLZOfh3oZRjY" int2:id="UUjPW3Al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D3DF3"/>
    <w:multiLevelType w:val="hybridMultilevel"/>
    <w:tmpl w:val="6E6A419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F61406"/>
    <w:multiLevelType w:val="multilevel"/>
    <w:tmpl w:val="8AF43FF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465396190">
    <w:abstractNumId w:val="0"/>
  </w:num>
  <w:num w:numId="2" w16cid:durableId="626014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5D9"/>
    <w:rsid w:val="00031A2B"/>
    <w:rsid w:val="00034DB1"/>
    <w:rsid w:val="00076CDB"/>
    <w:rsid w:val="000F0FBF"/>
    <w:rsid w:val="0010402D"/>
    <w:rsid w:val="00251453"/>
    <w:rsid w:val="003C0B8C"/>
    <w:rsid w:val="003D10DE"/>
    <w:rsid w:val="0045318B"/>
    <w:rsid w:val="004C3D12"/>
    <w:rsid w:val="005545D9"/>
    <w:rsid w:val="00853FA2"/>
    <w:rsid w:val="00866864"/>
    <w:rsid w:val="008A4CB3"/>
    <w:rsid w:val="008D2B0E"/>
    <w:rsid w:val="009108DB"/>
    <w:rsid w:val="00922D75"/>
    <w:rsid w:val="009C1204"/>
    <w:rsid w:val="00B329B2"/>
    <w:rsid w:val="00B411A9"/>
    <w:rsid w:val="00B95026"/>
    <w:rsid w:val="00B9699B"/>
    <w:rsid w:val="00BB0F1D"/>
    <w:rsid w:val="00C72571"/>
    <w:rsid w:val="00EE58F8"/>
    <w:rsid w:val="00FE2012"/>
    <w:rsid w:val="65E53B24"/>
    <w:rsid w:val="7FC2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1D4AE"/>
  <w15:chartTrackingRefBased/>
  <w15:docId w15:val="{C6B02040-B732-4BF8-82B5-9546B1738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411A9"/>
    <w:pPr>
      <w:ind w:left="720"/>
      <w:contextualSpacing/>
    </w:pPr>
  </w:style>
  <w:style w:type="paragraph" w:styleId="Textoindependiente2">
    <w:name w:val="Body Text 2"/>
    <w:basedOn w:val="Normal"/>
    <w:link w:val="Textoindependiente2Car"/>
    <w:uiPriority w:val="99"/>
    <w:unhideWhenUsed/>
    <w:rsid w:val="00B411A9"/>
    <w:pPr>
      <w:spacing w:after="120" w:line="480" w:lineRule="auto"/>
    </w:pPr>
    <w:rPr>
      <w:sz w:val="2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411A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paragraph">
    <w:name w:val="paragraph"/>
    <w:basedOn w:val="Normal"/>
    <w:rsid w:val="00B411A9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B411A9"/>
  </w:style>
  <w:style w:type="character" w:customStyle="1" w:styleId="eop">
    <w:name w:val="eop"/>
    <w:basedOn w:val="Fuentedeprrafopredeter"/>
    <w:rsid w:val="00B411A9"/>
  </w:style>
  <w:style w:type="character" w:styleId="Hipervnculo">
    <w:name w:val="Hyperlink"/>
    <w:basedOn w:val="Fuentedeprrafopredeter"/>
    <w:uiPriority w:val="99"/>
    <w:unhideWhenUsed/>
    <w:rsid w:val="00B411A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B411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Fuentedeprrafopredeter"/>
    <w:rsid w:val="00B41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20/10/relationships/intelligence" Target="intelligence2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e0611e-28bd-434a-a9a5-164c0380694f">
      <Terms xmlns="http://schemas.microsoft.com/office/infopath/2007/PartnerControls"/>
    </lcf76f155ced4ddcb4097134ff3c332f>
    <Usuario xmlns="38e0611e-28bd-434a-a9a5-164c0380694f">
      <UserInfo>
        <DisplayName/>
        <AccountId xsi:nil="true"/>
        <AccountType/>
      </UserInfo>
    </Usuario>
    <TaxCatchAll xmlns="69feec56-ea30-42ea-ad61-80319dd35cd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45BCDDCA79D14696F288B99A3D6C85" ma:contentTypeVersion="16" ma:contentTypeDescription="Crear nuevo documento." ma:contentTypeScope="" ma:versionID="210358678b329a52ecc2228f41c64c8e">
  <xsd:schema xmlns:xsd="http://www.w3.org/2001/XMLSchema" xmlns:xs="http://www.w3.org/2001/XMLSchema" xmlns:p="http://schemas.microsoft.com/office/2006/metadata/properties" xmlns:ns2="38e0611e-28bd-434a-a9a5-164c0380694f" xmlns:ns3="69feec56-ea30-42ea-ad61-80319dd35cd5" targetNamespace="http://schemas.microsoft.com/office/2006/metadata/properties" ma:root="true" ma:fieldsID="16aa543055d78369b512c1a3d8f84735" ns2:_="" ns3:_="">
    <xsd:import namespace="38e0611e-28bd-434a-a9a5-164c0380694f"/>
    <xsd:import namespace="69feec56-ea30-42ea-ad61-80319dd35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Usuar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e0611e-28bd-434a-a9a5-164c03806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suario" ma:index="22" nillable="true" ma:displayName="Usuario" ma:format="Dropdown" ma:list="UserInfo" ma:SharePointGroup="0" ma:internalName="Usuari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feec56-ea30-42ea-ad61-80319dd35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d613848e-59f2-4017-ab09-737e65c76cb2}" ma:internalName="TaxCatchAll" ma:showField="CatchAllData" ma:web="69feec56-ea30-42ea-ad61-80319dd35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C17834-4B83-46AA-B5E7-FE31B73243F5}">
  <ds:schemaRefs>
    <ds:schemaRef ds:uri="http://schemas.microsoft.com/office/2006/metadata/properties"/>
    <ds:schemaRef ds:uri="http://schemas.microsoft.com/office/infopath/2007/PartnerControls"/>
    <ds:schemaRef ds:uri="38e0611e-28bd-434a-a9a5-164c0380694f"/>
    <ds:schemaRef ds:uri="69feec56-ea30-42ea-ad61-80319dd35cd5"/>
  </ds:schemaRefs>
</ds:datastoreItem>
</file>

<file path=customXml/itemProps2.xml><?xml version="1.0" encoding="utf-8"?>
<ds:datastoreItem xmlns:ds="http://schemas.openxmlformats.org/officeDocument/2006/customXml" ds:itemID="{8E2EDA63-6752-4B0E-8D23-F2F7BDE0B4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81F0C3-0B1C-4D51-B066-4686C8DCF9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e0611e-28bd-434a-a9a5-164c0380694f"/>
    <ds:schemaRef ds:uri="69feec56-ea30-42ea-ad61-80319dd35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940</Words>
  <Characters>5172</Characters>
  <Application>Microsoft Office Word</Application>
  <DocSecurity>0</DocSecurity>
  <Lines>43</Lines>
  <Paragraphs>12</Paragraphs>
  <ScaleCrop>false</ScaleCrop>
  <Company/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John Ceballos</cp:lastModifiedBy>
  <cp:revision>19</cp:revision>
  <dcterms:created xsi:type="dcterms:W3CDTF">2024-05-23T21:26:00Z</dcterms:created>
  <dcterms:modified xsi:type="dcterms:W3CDTF">2024-05-27T19:43:00Z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0x0101003245BCDDCA79D14696F288B99A3D6C85</vt:lpwstr>
  </property>
  <property fmtid="{D5CDD505-2E9C-101B-9397-08002B2CF9AE}" pid="3" name="MediaServiceImageTags">
    <vt:lpwstr/>
  </property>
</Properties>
</file>