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096D" w14:textId="77777777" w:rsidR="003E4559" w:rsidRPr="009C4A1B" w:rsidRDefault="003E4559" w:rsidP="003E4559">
      <w:pPr>
        <w:spacing w:after="0" w:line="240" w:lineRule="auto"/>
        <w:jc w:val="both"/>
        <w:rPr>
          <w:rFonts w:ascii="Arial" w:hAnsi="Arial" w:cs="Arial"/>
          <w:lang w:val="es-ES"/>
        </w:rPr>
      </w:pPr>
    </w:p>
    <w:p w14:paraId="40F6CCCA" w14:textId="099F5A13" w:rsidR="003E4559" w:rsidRDefault="003E4559" w:rsidP="009E6C7F">
      <w:pPr>
        <w:tabs>
          <w:tab w:val="center" w:pos="3985"/>
        </w:tabs>
        <w:suppressAutoHyphens/>
        <w:spacing w:line="240" w:lineRule="auto"/>
        <w:jc w:val="center"/>
        <w:rPr>
          <w:rFonts w:ascii="Century Gothic" w:hAnsi="Century Gothic" w:cs="Arial"/>
          <w:b/>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4A1B">
        <w:rPr>
          <w:rFonts w:ascii="Century Gothic" w:hAnsi="Century Gothic" w:cs="Arial"/>
          <w:b/>
          <w:noProof/>
          <w:lang w:val="es-ES"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9264" behindDoc="0" locked="0" layoutInCell="1" allowOverlap="1" wp14:anchorId="1435365C" wp14:editId="587319C6">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4A1B">
        <w:rPr>
          <w:rFonts w:ascii="Century Gothic" w:hAnsi="Century Gothic" w:cs="Arial"/>
          <w:b/>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1A662667" w14:textId="77777777" w:rsidR="009E6C7F" w:rsidRPr="009E6C7F" w:rsidRDefault="009E6C7F" w:rsidP="003C0EB0">
      <w:pPr>
        <w:tabs>
          <w:tab w:val="center" w:pos="3985"/>
        </w:tabs>
        <w:suppressAutoHyphens/>
        <w:spacing w:after="0" w:line="276" w:lineRule="auto"/>
        <w:jc w:val="center"/>
        <w:rPr>
          <w:rFonts w:ascii="Century Gothic" w:hAnsi="Century Gothic" w:cs="Arial"/>
          <w:b/>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1B2A10" w14:textId="122A149E" w:rsidR="003E4559" w:rsidRPr="009C4A1B" w:rsidRDefault="003E4559" w:rsidP="003C0EB0">
      <w:pPr>
        <w:suppressAutoHyphens/>
        <w:spacing w:after="0" w:line="276" w:lineRule="auto"/>
        <w:rPr>
          <w:rFonts w:ascii="Century Gothic" w:eastAsia="Century Gothic" w:hAnsi="Century Gothic" w:cs="Century Gothic"/>
          <w:spacing w:val="-3"/>
          <w:lang w:val="es-ES"/>
        </w:rPr>
      </w:pPr>
      <w:r w:rsidRPr="009C4A1B">
        <w:rPr>
          <w:rFonts w:ascii="Century Gothic" w:eastAsia="Century Gothic" w:hAnsi="Century Gothic" w:cs="Century Gothic"/>
          <w:spacing w:val="-3"/>
          <w:lang w:val="es-ES"/>
        </w:rPr>
        <w:t xml:space="preserve">Bogotá D.C, </w:t>
      </w:r>
      <w:r>
        <w:rPr>
          <w:rFonts w:ascii="Century Gothic" w:eastAsia="Century Gothic" w:hAnsi="Century Gothic" w:cs="Century Gothic"/>
          <w:spacing w:val="-3"/>
          <w:lang w:val="es-ES"/>
        </w:rPr>
        <w:t>Veintinueve</w:t>
      </w:r>
      <w:r w:rsidRPr="009C4A1B">
        <w:rPr>
          <w:rFonts w:ascii="Century Gothic" w:eastAsia="Century Gothic" w:hAnsi="Century Gothic" w:cs="Century Gothic"/>
          <w:spacing w:val="-3"/>
          <w:lang w:val="es-ES"/>
        </w:rPr>
        <w:t xml:space="preserve"> (</w:t>
      </w:r>
      <w:r>
        <w:rPr>
          <w:rFonts w:ascii="Century Gothic" w:eastAsia="Century Gothic" w:hAnsi="Century Gothic" w:cs="Century Gothic"/>
          <w:spacing w:val="-3"/>
          <w:lang w:val="es-ES"/>
        </w:rPr>
        <w:t>29</w:t>
      </w:r>
      <w:r w:rsidRPr="009C4A1B">
        <w:rPr>
          <w:rFonts w:ascii="Century Gothic" w:eastAsia="Century Gothic" w:hAnsi="Century Gothic" w:cs="Century Gothic"/>
          <w:spacing w:val="-3"/>
          <w:lang w:val="es-ES"/>
        </w:rPr>
        <w:t>) de Mayo de dos mil veinticuatro (2024)</w:t>
      </w:r>
    </w:p>
    <w:p w14:paraId="482988FF" w14:textId="77777777" w:rsidR="003E4559" w:rsidRPr="009C4A1B" w:rsidRDefault="003E4559" w:rsidP="003C0EB0">
      <w:pPr>
        <w:suppressAutoHyphens/>
        <w:spacing w:after="0" w:line="276" w:lineRule="auto"/>
        <w:rPr>
          <w:rFonts w:ascii="Century Gothic" w:eastAsia="Century Gothic" w:hAnsi="Century Gothic" w:cs="Century Gothic"/>
          <w:spacing w:val="-3"/>
          <w:lang w:val="es-ES"/>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73"/>
        <w:gridCol w:w="6658"/>
      </w:tblGrid>
      <w:tr w:rsidR="003E4559" w:rsidRPr="009C4A1B" w14:paraId="2022EFCF" w14:textId="77777777" w:rsidTr="00270BFE">
        <w:trPr>
          <w:trHeight w:val="374"/>
          <w:jc w:val="center"/>
        </w:trPr>
        <w:tc>
          <w:tcPr>
            <w:tcW w:w="2273" w:type="dxa"/>
            <w:tcBorders>
              <w:top w:val="single" w:sz="4" w:space="0" w:color="auto"/>
              <w:left w:val="single" w:sz="4" w:space="0" w:color="auto"/>
              <w:bottom w:val="single" w:sz="4" w:space="0" w:color="auto"/>
              <w:right w:val="single" w:sz="4" w:space="0" w:color="auto"/>
            </w:tcBorders>
          </w:tcPr>
          <w:p w14:paraId="7C7968AA" w14:textId="77777777" w:rsidR="003E4559" w:rsidRPr="009C4A1B" w:rsidRDefault="003E4559" w:rsidP="003C0EB0">
            <w:pPr>
              <w:suppressAutoHyphens/>
              <w:spacing w:after="0" w:line="276"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 xml:space="preserve">Juez </w:t>
            </w:r>
          </w:p>
        </w:tc>
        <w:tc>
          <w:tcPr>
            <w:tcW w:w="6658" w:type="dxa"/>
            <w:tcBorders>
              <w:top w:val="single" w:sz="4" w:space="0" w:color="auto"/>
              <w:left w:val="single" w:sz="4" w:space="0" w:color="auto"/>
              <w:bottom w:val="single" w:sz="4" w:space="0" w:color="auto"/>
              <w:right w:val="single" w:sz="4" w:space="0" w:color="auto"/>
            </w:tcBorders>
          </w:tcPr>
          <w:p w14:paraId="58B12D47" w14:textId="77777777" w:rsidR="003E4559" w:rsidRPr="009C4A1B" w:rsidRDefault="003E4559" w:rsidP="003C0EB0">
            <w:pPr>
              <w:suppressAutoHyphens/>
              <w:spacing w:after="0" w:line="276" w:lineRule="auto"/>
              <w:jc w:val="both"/>
              <w:rPr>
                <w:rFonts w:ascii="Century Gothic" w:eastAsia="Century Gothic" w:hAnsi="Century Gothic" w:cs="Century Gothic"/>
                <w:spacing w:val="-3"/>
                <w:lang w:val="es-ES"/>
              </w:rPr>
            </w:pPr>
            <w:r w:rsidRPr="009C4A1B">
              <w:rPr>
                <w:rFonts w:ascii="Century Gothic" w:eastAsia="Century Gothic" w:hAnsi="Century Gothic" w:cs="Century Gothic"/>
                <w:spacing w:val="-3"/>
                <w:lang w:val="es-ES"/>
              </w:rPr>
              <w:t>John Alexander Ceballos Gaviria</w:t>
            </w:r>
          </w:p>
        </w:tc>
      </w:tr>
      <w:tr w:rsidR="003E4559" w:rsidRPr="009C4A1B" w14:paraId="023940F9" w14:textId="77777777" w:rsidTr="00270BFE">
        <w:trPr>
          <w:trHeight w:val="224"/>
          <w:jc w:val="center"/>
        </w:trPr>
        <w:tc>
          <w:tcPr>
            <w:tcW w:w="2273" w:type="dxa"/>
            <w:tcBorders>
              <w:top w:val="single" w:sz="4" w:space="0" w:color="auto"/>
              <w:left w:val="single" w:sz="4" w:space="0" w:color="auto"/>
              <w:bottom w:val="single" w:sz="4" w:space="0" w:color="auto"/>
              <w:right w:val="single" w:sz="4" w:space="0" w:color="auto"/>
            </w:tcBorders>
          </w:tcPr>
          <w:p w14:paraId="7756AB11" w14:textId="77777777" w:rsidR="003E4559" w:rsidRPr="009C4A1B" w:rsidRDefault="003E4559" w:rsidP="003C0EB0">
            <w:pPr>
              <w:suppressAutoHyphens/>
              <w:spacing w:after="0" w:line="276"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Medio de Control</w:t>
            </w:r>
          </w:p>
        </w:tc>
        <w:tc>
          <w:tcPr>
            <w:tcW w:w="6658" w:type="dxa"/>
            <w:tcBorders>
              <w:top w:val="single" w:sz="4" w:space="0" w:color="auto"/>
              <w:left w:val="single" w:sz="4" w:space="0" w:color="auto"/>
              <w:bottom w:val="single" w:sz="4" w:space="0" w:color="auto"/>
              <w:right w:val="single" w:sz="4" w:space="0" w:color="auto"/>
            </w:tcBorders>
          </w:tcPr>
          <w:p w14:paraId="52EDA755" w14:textId="77777777" w:rsidR="003E4559" w:rsidRPr="009C4A1B" w:rsidRDefault="003E4559" w:rsidP="003C0EB0">
            <w:pPr>
              <w:suppressAutoHyphens/>
              <w:spacing w:after="0" w:line="276" w:lineRule="auto"/>
              <w:jc w:val="both"/>
              <w:rPr>
                <w:rFonts w:ascii="Century Gothic" w:eastAsia="Century Gothic" w:hAnsi="Century Gothic" w:cs="Century Gothic"/>
                <w:spacing w:val="-3"/>
                <w:lang w:val="es-ES"/>
              </w:rPr>
            </w:pPr>
            <w:r w:rsidRPr="009C4A1B">
              <w:rPr>
                <w:rFonts w:ascii="Century Gothic" w:eastAsia="Century Gothic" w:hAnsi="Century Gothic" w:cs="Century Gothic"/>
                <w:spacing w:val="-3"/>
                <w:lang w:val="es-ES"/>
              </w:rPr>
              <w:t>Reparación Directa</w:t>
            </w:r>
          </w:p>
        </w:tc>
      </w:tr>
      <w:tr w:rsidR="003E4559" w:rsidRPr="009C4A1B" w14:paraId="4650392B" w14:textId="77777777" w:rsidTr="00270BFE">
        <w:trPr>
          <w:jc w:val="center"/>
        </w:trPr>
        <w:tc>
          <w:tcPr>
            <w:tcW w:w="2273" w:type="dxa"/>
            <w:tcBorders>
              <w:top w:val="single" w:sz="4" w:space="0" w:color="auto"/>
              <w:left w:val="single" w:sz="4" w:space="0" w:color="auto"/>
              <w:bottom w:val="single" w:sz="4" w:space="0" w:color="auto"/>
              <w:right w:val="single" w:sz="4" w:space="0" w:color="auto"/>
            </w:tcBorders>
          </w:tcPr>
          <w:p w14:paraId="697E42CF" w14:textId="77777777" w:rsidR="003E4559" w:rsidRPr="009C4A1B" w:rsidRDefault="003E4559" w:rsidP="003C0EB0">
            <w:pPr>
              <w:suppressAutoHyphens/>
              <w:spacing w:after="0" w:line="276"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Ref. Expediente</w:t>
            </w:r>
          </w:p>
        </w:tc>
        <w:tc>
          <w:tcPr>
            <w:tcW w:w="6658" w:type="dxa"/>
            <w:tcBorders>
              <w:top w:val="single" w:sz="4" w:space="0" w:color="auto"/>
              <w:left w:val="single" w:sz="4" w:space="0" w:color="auto"/>
              <w:bottom w:val="single" w:sz="4" w:space="0" w:color="auto"/>
              <w:right w:val="single" w:sz="4" w:space="0" w:color="auto"/>
            </w:tcBorders>
          </w:tcPr>
          <w:p w14:paraId="2BD5DB71" w14:textId="605B3776" w:rsidR="003E4559" w:rsidRPr="009C4A1B" w:rsidRDefault="003E4559" w:rsidP="003C0EB0">
            <w:pPr>
              <w:suppressAutoHyphens/>
              <w:spacing w:after="0" w:line="276"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110013343064-201</w:t>
            </w:r>
            <w:r>
              <w:rPr>
                <w:rFonts w:ascii="Century Gothic" w:eastAsia="Century Gothic" w:hAnsi="Century Gothic" w:cs="Century Gothic"/>
                <w:b/>
                <w:bCs/>
                <w:spacing w:val="-3"/>
                <w:lang w:val="es-ES"/>
              </w:rPr>
              <w:t>9</w:t>
            </w:r>
            <w:r w:rsidRPr="009C4A1B">
              <w:rPr>
                <w:rFonts w:ascii="Century Gothic" w:eastAsia="Century Gothic" w:hAnsi="Century Gothic" w:cs="Century Gothic"/>
                <w:b/>
                <w:bCs/>
                <w:spacing w:val="-3"/>
                <w:lang w:val="es-ES"/>
              </w:rPr>
              <w:t>-00</w:t>
            </w:r>
            <w:r>
              <w:rPr>
                <w:rFonts w:ascii="Century Gothic" w:eastAsia="Century Gothic" w:hAnsi="Century Gothic" w:cs="Century Gothic"/>
                <w:b/>
                <w:bCs/>
                <w:spacing w:val="-3"/>
                <w:lang w:val="es-ES"/>
              </w:rPr>
              <w:t>068</w:t>
            </w:r>
            <w:r w:rsidRPr="009C4A1B">
              <w:rPr>
                <w:rFonts w:ascii="Century Gothic" w:eastAsia="Century Gothic" w:hAnsi="Century Gothic" w:cs="Century Gothic"/>
                <w:b/>
                <w:bCs/>
                <w:spacing w:val="-3"/>
                <w:lang w:val="es-ES"/>
              </w:rPr>
              <w:t>-00</w:t>
            </w:r>
          </w:p>
        </w:tc>
      </w:tr>
      <w:tr w:rsidR="003E4559" w:rsidRPr="003E4559" w14:paraId="531C9FEB" w14:textId="77777777" w:rsidTr="00270BFE">
        <w:trPr>
          <w:jc w:val="center"/>
        </w:trPr>
        <w:tc>
          <w:tcPr>
            <w:tcW w:w="2273" w:type="dxa"/>
            <w:tcBorders>
              <w:top w:val="single" w:sz="4" w:space="0" w:color="auto"/>
              <w:left w:val="single" w:sz="4" w:space="0" w:color="auto"/>
              <w:bottom w:val="single" w:sz="4" w:space="0" w:color="auto"/>
              <w:right w:val="single" w:sz="4" w:space="0" w:color="auto"/>
            </w:tcBorders>
          </w:tcPr>
          <w:p w14:paraId="0EAE0C87" w14:textId="77777777" w:rsidR="003E4559" w:rsidRPr="009C4A1B" w:rsidRDefault="003E4559" w:rsidP="003C0EB0">
            <w:pPr>
              <w:suppressAutoHyphens/>
              <w:spacing w:after="0" w:line="276"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Demandante</w:t>
            </w:r>
          </w:p>
        </w:tc>
        <w:tc>
          <w:tcPr>
            <w:tcW w:w="6658" w:type="dxa"/>
            <w:tcBorders>
              <w:top w:val="single" w:sz="4" w:space="0" w:color="auto"/>
              <w:left w:val="single" w:sz="4" w:space="0" w:color="auto"/>
              <w:bottom w:val="single" w:sz="4" w:space="0" w:color="auto"/>
              <w:right w:val="single" w:sz="4" w:space="0" w:color="auto"/>
            </w:tcBorders>
          </w:tcPr>
          <w:p w14:paraId="46234BB8" w14:textId="69A5A5A8" w:rsidR="003E4559" w:rsidRPr="009C4A1B" w:rsidRDefault="003E4559" w:rsidP="003C0EB0">
            <w:pPr>
              <w:suppressAutoHyphens/>
              <w:spacing w:after="0" w:line="276" w:lineRule="auto"/>
              <w:jc w:val="both"/>
              <w:rPr>
                <w:rFonts w:ascii="Century Gothic" w:eastAsia="Century Gothic" w:hAnsi="Century Gothic" w:cs="Century Gothic"/>
                <w:spacing w:val="-3"/>
                <w:lang w:val="es-ES"/>
              </w:rPr>
            </w:pPr>
            <w:r>
              <w:rPr>
                <w:rFonts w:ascii="Century Gothic" w:eastAsia="Century Gothic" w:hAnsi="Century Gothic" w:cs="Century Gothic"/>
                <w:spacing w:val="-3"/>
                <w:lang w:val="es-ES"/>
              </w:rPr>
              <w:t xml:space="preserve">Oscar David Zabala González </w:t>
            </w:r>
          </w:p>
        </w:tc>
      </w:tr>
      <w:tr w:rsidR="003E4559" w:rsidRPr="009E6C7F" w14:paraId="0B4D1E30" w14:textId="77777777" w:rsidTr="00270BFE">
        <w:trPr>
          <w:trHeight w:val="215"/>
          <w:jc w:val="center"/>
        </w:trPr>
        <w:tc>
          <w:tcPr>
            <w:tcW w:w="2273" w:type="dxa"/>
            <w:tcBorders>
              <w:top w:val="single" w:sz="4" w:space="0" w:color="auto"/>
              <w:left w:val="single" w:sz="4" w:space="0" w:color="auto"/>
              <w:bottom w:val="single" w:sz="4" w:space="0" w:color="auto"/>
              <w:right w:val="single" w:sz="4" w:space="0" w:color="auto"/>
            </w:tcBorders>
          </w:tcPr>
          <w:p w14:paraId="0C2FDE8E" w14:textId="77777777" w:rsidR="003E4559" w:rsidRPr="009C4A1B" w:rsidRDefault="003E4559" w:rsidP="003C0EB0">
            <w:pPr>
              <w:suppressAutoHyphens/>
              <w:spacing w:after="0" w:line="276"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Demandado</w:t>
            </w:r>
          </w:p>
        </w:tc>
        <w:tc>
          <w:tcPr>
            <w:tcW w:w="6658" w:type="dxa"/>
            <w:tcBorders>
              <w:top w:val="single" w:sz="4" w:space="0" w:color="auto"/>
              <w:left w:val="single" w:sz="4" w:space="0" w:color="auto"/>
              <w:bottom w:val="single" w:sz="4" w:space="0" w:color="auto"/>
              <w:right w:val="single" w:sz="4" w:space="0" w:color="auto"/>
            </w:tcBorders>
          </w:tcPr>
          <w:p w14:paraId="23799B72" w14:textId="5B49EFEC" w:rsidR="003E4559" w:rsidRPr="009C4A1B" w:rsidRDefault="003E4559" w:rsidP="003C0EB0">
            <w:pPr>
              <w:suppressAutoHyphens/>
              <w:spacing w:after="0" w:line="276" w:lineRule="auto"/>
              <w:jc w:val="both"/>
              <w:rPr>
                <w:rFonts w:ascii="Century Gothic" w:eastAsia="Century Gothic" w:hAnsi="Century Gothic" w:cs="Century Gothic"/>
                <w:spacing w:val="-3"/>
                <w:lang w:val="es-ES"/>
              </w:rPr>
            </w:pPr>
            <w:r>
              <w:rPr>
                <w:rFonts w:ascii="Century Gothic" w:eastAsia="Century Gothic" w:hAnsi="Century Gothic" w:cs="Century Gothic"/>
                <w:spacing w:val="-3"/>
                <w:lang w:val="es-ES"/>
              </w:rPr>
              <w:t xml:space="preserve">Nación – Ministerio de Defensa – Policía Nacional. </w:t>
            </w:r>
          </w:p>
        </w:tc>
      </w:tr>
    </w:tbl>
    <w:p w14:paraId="288BCCA3" w14:textId="77777777" w:rsidR="003E4559" w:rsidRPr="009C4A1B" w:rsidRDefault="003E4559" w:rsidP="003C0EB0">
      <w:pPr>
        <w:spacing w:after="0" w:line="276" w:lineRule="auto"/>
        <w:rPr>
          <w:rFonts w:ascii="Century Gothic" w:eastAsia="Century Gothic" w:hAnsi="Century Gothic" w:cs="Century Gothic"/>
          <w:lang w:val="es-ES"/>
        </w:rPr>
      </w:pPr>
    </w:p>
    <w:p w14:paraId="163661B5" w14:textId="377A4527" w:rsidR="003E4559" w:rsidRPr="009C4A1B" w:rsidRDefault="003E4559" w:rsidP="003C0EB0">
      <w:pPr>
        <w:pStyle w:val="Sangradetextonormal"/>
        <w:tabs>
          <w:tab w:val="left" w:pos="142"/>
          <w:tab w:val="left" w:pos="6615"/>
        </w:tabs>
        <w:spacing w:after="0" w:line="276" w:lineRule="auto"/>
        <w:ind w:right="-84"/>
        <w:jc w:val="center"/>
        <w:rPr>
          <w:rFonts w:ascii="Century Gothic" w:hAnsi="Century Gothic" w:cs="Arial"/>
          <w:b/>
          <w:bCs/>
          <w:color w:val="000000" w:themeColor="text1"/>
          <w:sz w:val="23"/>
          <w:szCs w:val="23"/>
          <w:u w:val="single"/>
        </w:rPr>
      </w:pPr>
      <w:r w:rsidRPr="009C4A1B">
        <w:rPr>
          <w:rFonts w:ascii="Century Gothic" w:hAnsi="Century Gothic" w:cs="Arial"/>
          <w:b/>
          <w:bCs/>
          <w:color w:val="000000" w:themeColor="text1"/>
          <w:sz w:val="23"/>
          <w:szCs w:val="23"/>
          <w:u w:val="single"/>
        </w:rPr>
        <w:t xml:space="preserve">PONE EN CONOCIMIENTO </w:t>
      </w:r>
      <w:r w:rsidR="00BA1472">
        <w:rPr>
          <w:rFonts w:ascii="Century Gothic" w:hAnsi="Century Gothic" w:cs="Arial"/>
          <w:b/>
          <w:bCs/>
          <w:color w:val="000000" w:themeColor="text1"/>
          <w:sz w:val="23"/>
          <w:szCs w:val="23"/>
          <w:u w:val="single"/>
        </w:rPr>
        <w:t>RESPUESTA OFICIO</w:t>
      </w:r>
    </w:p>
    <w:p w14:paraId="3F4F2416" w14:textId="77777777" w:rsidR="003E4559" w:rsidRPr="009C4A1B" w:rsidRDefault="003E4559" w:rsidP="003C0EB0">
      <w:pPr>
        <w:spacing w:after="0" w:line="276" w:lineRule="auto"/>
        <w:jc w:val="both"/>
        <w:rPr>
          <w:rFonts w:ascii="Century Gothic" w:hAnsi="Century Gothic"/>
          <w:sz w:val="23"/>
          <w:szCs w:val="23"/>
          <w:lang w:val="es-ES"/>
        </w:rPr>
      </w:pPr>
    </w:p>
    <w:p w14:paraId="5A2836D5" w14:textId="4D935022" w:rsidR="003E4559" w:rsidRDefault="003E4559" w:rsidP="003C0EB0">
      <w:pPr>
        <w:spacing w:after="0" w:line="276" w:lineRule="auto"/>
        <w:jc w:val="both"/>
        <w:rPr>
          <w:rFonts w:ascii="Century Gothic" w:hAnsi="Century Gothic"/>
          <w:sz w:val="23"/>
          <w:szCs w:val="23"/>
          <w:lang w:val="es-ES"/>
        </w:rPr>
      </w:pPr>
      <w:r w:rsidRPr="009C4A1B">
        <w:rPr>
          <w:rFonts w:ascii="Century Gothic" w:hAnsi="Century Gothic"/>
          <w:sz w:val="23"/>
          <w:szCs w:val="23"/>
          <w:lang w:val="es-ES"/>
        </w:rPr>
        <w:t xml:space="preserve">En auto de fecha </w:t>
      </w:r>
      <w:r w:rsidR="00EC5F17">
        <w:rPr>
          <w:rFonts w:ascii="Century Gothic" w:hAnsi="Century Gothic"/>
          <w:sz w:val="23"/>
          <w:szCs w:val="23"/>
          <w:lang w:val="es-ES"/>
        </w:rPr>
        <w:t>24</w:t>
      </w:r>
      <w:r w:rsidRPr="009C4A1B">
        <w:rPr>
          <w:rFonts w:ascii="Century Gothic" w:hAnsi="Century Gothic"/>
          <w:sz w:val="23"/>
          <w:szCs w:val="23"/>
          <w:lang w:val="es-ES"/>
        </w:rPr>
        <w:t xml:space="preserve"> de </w:t>
      </w:r>
      <w:r>
        <w:rPr>
          <w:rFonts w:ascii="Century Gothic" w:hAnsi="Century Gothic"/>
          <w:sz w:val="23"/>
          <w:szCs w:val="23"/>
          <w:lang w:val="es-ES"/>
        </w:rPr>
        <w:t>a</w:t>
      </w:r>
      <w:r w:rsidR="00EC5F17">
        <w:rPr>
          <w:rFonts w:ascii="Century Gothic" w:hAnsi="Century Gothic"/>
          <w:sz w:val="23"/>
          <w:szCs w:val="23"/>
          <w:lang w:val="es-ES"/>
        </w:rPr>
        <w:t>bril</w:t>
      </w:r>
      <w:r w:rsidRPr="009C4A1B">
        <w:rPr>
          <w:rFonts w:ascii="Century Gothic" w:hAnsi="Century Gothic"/>
          <w:sz w:val="23"/>
          <w:szCs w:val="23"/>
          <w:lang w:val="es-ES"/>
        </w:rPr>
        <w:t xml:space="preserve"> de 202</w:t>
      </w:r>
      <w:r w:rsidR="00EC5F17">
        <w:rPr>
          <w:rFonts w:ascii="Century Gothic" w:hAnsi="Century Gothic"/>
          <w:sz w:val="23"/>
          <w:szCs w:val="23"/>
          <w:lang w:val="es-ES"/>
        </w:rPr>
        <w:t>3</w:t>
      </w:r>
      <w:r w:rsidRPr="009C4A1B">
        <w:rPr>
          <w:rFonts w:ascii="Century Gothic" w:hAnsi="Century Gothic"/>
          <w:sz w:val="23"/>
          <w:szCs w:val="23"/>
          <w:lang w:val="es-ES"/>
        </w:rPr>
        <w:t xml:space="preserve">, </w:t>
      </w:r>
      <w:r w:rsidR="00EC5F17">
        <w:rPr>
          <w:rFonts w:ascii="Century Gothic" w:hAnsi="Century Gothic"/>
          <w:sz w:val="23"/>
          <w:szCs w:val="23"/>
          <w:lang w:val="es-ES"/>
        </w:rPr>
        <w:t xml:space="preserve">se inició tramite sancionatorio contra el Coronel Manuel Guillermo Gracia Carvajar – Jede del Departamento de control, comercio de armas, municiones y explosivos del Comando General de las Fuerzas Militares, con el fin de que aportará los antecedentes administrativos relacionados con la incautación del arma de fuego tipo pistola marca Berbardelli, calibre 9mm, con número de serie 08G01434. </w:t>
      </w:r>
    </w:p>
    <w:p w14:paraId="1BBE380B" w14:textId="77777777" w:rsidR="003C0EB0" w:rsidRDefault="003C0EB0" w:rsidP="003C0EB0">
      <w:pPr>
        <w:spacing w:after="0" w:line="276" w:lineRule="auto"/>
        <w:jc w:val="both"/>
        <w:rPr>
          <w:rFonts w:ascii="Century Gothic" w:hAnsi="Century Gothic"/>
          <w:sz w:val="23"/>
          <w:szCs w:val="23"/>
          <w:lang w:val="es-ES"/>
        </w:rPr>
      </w:pPr>
    </w:p>
    <w:p w14:paraId="60D0B590" w14:textId="2F24397D" w:rsidR="00EC5F17" w:rsidRDefault="00EC5F17" w:rsidP="003C0EB0">
      <w:pPr>
        <w:spacing w:after="0" w:line="276" w:lineRule="auto"/>
        <w:jc w:val="both"/>
        <w:rPr>
          <w:rFonts w:ascii="Century Gothic" w:hAnsi="Century Gothic"/>
          <w:sz w:val="23"/>
          <w:szCs w:val="23"/>
          <w:lang w:val="es-ES"/>
        </w:rPr>
      </w:pPr>
      <w:r>
        <w:rPr>
          <w:rFonts w:ascii="Century Gothic" w:hAnsi="Century Gothic"/>
          <w:sz w:val="23"/>
          <w:szCs w:val="23"/>
          <w:lang w:val="es-ES"/>
        </w:rPr>
        <w:t xml:space="preserve">Dicha decisión fue notifica por la parte actora y demandada. </w:t>
      </w:r>
    </w:p>
    <w:p w14:paraId="13F795B2" w14:textId="77777777" w:rsidR="003C0EB0" w:rsidRDefault="003C0EB0" w:rsidP="003C0EB0">
      <w:pPr>
        <w:pStyle w:val="paragraph"/>
        <w:spacing w:before="0" w:beforeAutospacing="0" w:after="0" w:afterAutospacing="0" w:line="276" w:lineRule="auto"/>
        <w:jc w:val="both"/>
        <w:rPr>
          <w:rFonts w:ascii="Century Gothic" w:hAnsi="Century Gothic"/>
          <w:sz w:val="23"/>
          <w:szCs w:val="23"/>
          <w:lang w:val="es-ES" w:eastAsia="es-ES"/>
        </w:rPr>
      </w:pPr>
    </w:p>
    <w:p w14:paraId="7E6E91D4" w14:textId="6B78CA58" w:rsidR="003E4559" w:rsidRDefault="003E4559" w:rsidP="003C0EB0">
      <w:pPr>
        <w:pStyle w:val="paragraph"/>
        <w:spacing w:before="0" w:beforeAutospacing="0" w:after="0" w:afterAutospacing="0" w:line="276" w:lineRule="auto"/>
        <w:jc w:val="both"/>
        <w:rPr>
          <w:rFonts w:ascii="Century Gothic" w:hAnsi="Century Gothic"/>
          <w:sz w:val="23"/>
          <w:szCs w:val="23"/>
          <w:lang w:val="es-ES" w:eastAsia="es-ES"/>
        </w:rPr>
      </w:pPr>
      <w:r>
        <w:rPr>
          <w:rFonts w:ascii="Century Gothic" w:hAnsi="Century Gothic"/>
          <w:sz w:val="23"/>
          <w:szCs w:val="23"/>
          <w:lang w:val="es-ES" w:eastAsia="es-ES"/>
        </w:rPr>
        <w:t xml:space="preserve">Revisado el expediente se advierte que obran las siguientes respuestas: </w:t>
      </w:r>
    </w:p>
    <w:p w14:paraId="72DD76F0" w14:textId="77777777" w:rsidR="003E4559" w:rsidRDefault="003E4559" w:rsidP="003C0EB0">
      <w:pPr>
        <w:pStyle w:val="paragraph"/>
        <w:spacing w:before="0" w:beforeAutospacing="0" w:after="0" w:afterAutospacing="0" w:line="276" w:lineRule="auto"/>
        <w:jc w:val="both"/>
        <w:rPr>
          <w:rFonts w:ascii="Century Gothic" w:hAnsi="Century Gothic"/>
          <w:sz w:val="23"/>
          <w:szCs w:val="23"/>
          <w:lang w:val="es-ES" w:eastAsia="es-ES"/>
        </w:rPr>
      </w:pPr>
    </w:p>
    <w:p w14:paraId="618F778D" w14:textId="2FA80CEA" w:rsidR="003417AB" w:rsidRDefault="003E4559" w:rsidP="003C0EB0">
      <w:pPr>
        <w:pStyle w:val="Prrafodelista"/>
        <w:numPr>
          <w:ilvl w:val="0"/>
          <w:numId w:val="2"/>
        </w:numPr>
        <w:spacing w:after="0" w:line="276" w:lineRule="auto"/>
        <w:jc w:val="both"/>
        <w:rPr>
          <w:rFonts w:ascii="Century Gothic" w:hAnsi="Century Gothic"/>
          <w:sz w:val="23"/>
          <w:szCs w:val="23"/>
          <w:lang w:val="es-ES"/>
        </w:rPr>
      </w:pPr>
      <w:r w:rsidRPr="003417AB">
        <w:rPr>
          <w:rFonts w:ascii="Century Gothic" w:hAnsi="Century Gothic"/>
          <w:sz w:val="23"/>
          <w:szCs w:val="23"/>
          <w:lang w:val="es-ES" w:eastAsia="es-ES"/>
        </w:rPr>
        <w:t xml:space="preserve">Memorial de fecha </w:t>
      </w:r>
      <w:r w:rsidR="003417AB" w:rsidRPr="003417AB">
        <w:rPr>
          <w:rFonts w:ascii="Century Gothic" w:hAnsi="Century Gothic"/>
          <w:sz w:val="23"/>
          <w:szCs w:val="23"/>
          <w:lang w:val="es-ES" w:eastAsia="es-ES"/>
        </w:rPr>
        <w:t>10</w:t>
      </w:r>
      <w:r w:rsidRPr="003417AB">
        <w:rPr>
          <w:rFonts w:ascii="Century Gothic" w:hAnsi="Century Gothic"/>
          <w:sz w:val="23"/>
          <w:szCs w:val="23"/>
          <w:lang w:val="es-ES" w:eastAsia="es-ES"/>
        </w:rPr>
        <w:t xml:space="preserve"> de </w:t>
      </w:r>
      <w:r w:rsidR="003417AB" w:rsidRPr="003417AB">
        <w:rPr>
          <w:rFonts w:ascii="Century Gothic" w:hAnsi="Century Gothic"/>
          <w:sz w:val="23"/>
          <w:szCs w:val="23"/>
          <w:lang w:val="es-ES" w:eastAsia="es-ES"/>
        </w:rPr>
        <w:t>mayo</w:t>
      </w:r>
      <w:r w:rsidRPr="003417AB">
        <w:rPr>
          <w:rFonts w:ascii="Century Gothic" w:hAnsi="Century Gothic"/>
          <w:sz w:val="23"/>
          <w:szCs w:val="23"/>
          <w:lang w:val="es-ES" w:eastAsia="es-ES"/>
        </w:rPr>
        <w:t xml:space="preserve"> de 202</w:t>
      </w:r>
      <w:r w:rsidR="003417AB" w:rsidRPr="003417AB">
        <w:rPr>
          <w:rFonts w:ascii="Century Gothic" w:hAnsi="Century Gothic"/>
          <w:sz w:val="23"/>
          <w:szCs w:val="23"/>
          <w:lang w:val="es-ES" w:eastAsia="es-ES"/>
        </w:rPr>
        <w:t>3</w:t>
      </w:r>
      <w:r w:rsidR="003417AB">
        <w:rPr>
          <w:rFonts w:ascii="Century Gothic" w:hAnsi="Century Gothic"/>
          <w:sz w:val="23"/>
          <w:szCs w:val="23"/>
          <w:lang w:val="es-ES" w:eastAsia="es-ES"/>
        </w:rPr>
        <w:t xml:space="preserve"> y 14 de septiembre de 2023</w:t>
      </w:r>
      <w:r w:rsidRPr="003417AB">
        <w:rPr>
          <w:rFonts w:ascii="Century Gothic" w:hAnsi="Century Gothic"/>
          <w:sz w:val="23"/>
          <w:szCs w:val="23"/>
          <w:lang w:val="es-ES" w:eastAsia="es-ES"/>
        </w:rPr>
        <w:t xml:space="preserve"> por medio del cual se remite </w:t>
      </w:r>
      <w:r w:rsidR="003417AB" w:rsidRPr="003417AB">
        <w:rPr>
          <w:rFonts w:ascii="Century Gothic" w:hAnsi="Century Gothic"/>
          <w:sz w:val="23"/>
          <w:szCs w:val="23"/>
          <w:lang w:val="es-ES" w:eastAsia="es-ES"/>
        </w:rPr>
        <w:t xml:space="preserve">oficios con el valor estimado del arma </w:t>
      </w:r>
      <w:r w:rsidR="003417AB" w:rsidRPr="003417AB">
        <w:rPr>
          <w:rFonts w:ascii="Century Gothic" w:hAnsi="Century Gothic"/>
          <w:sz w:val="23"/>
          <w:szCs w:val="23"/>
          <w:lang w:val="es-ES"/>
        </w:rPr>
        <w:t xml:space="preserve">marca Berbardelli, calibre 9mm, con número de serie 08G01434. </w:t>
      </w:r>
    </w:p>
    <w:p w14:paraId="73E23E47" w14:textId="77777777" w:rsidR="003C0EB0" w:rsidRDefault="003C0EB0" w:rsidP="003C0EB0">
      <w:pPr>
        <w:spacing w:after="0" w:line="276" w:lineRule="auto"/>
        <w:jc w:val="both"/>
        <w:rPr>
          <w:rFonts w:ascii="Century Gothic" w:hAnsi="Century Gothic"/>
          <w:sz w:val="23"/>
          <w:szCs w:val="23"/>
          <w:lang w:val="es-ES"/>
        </w:rPr>
      </w:pPr>
    </w:p>
    <w:p w14:paraId="056E2A6A" w14:textId="1C368D95" w:rsidR="003E4559" w:rsidRPr="009C4A1B" w:rsidRDefault="003417AB" w:rsidP="003C0EB0">
      <w:pPr>
        <w:spacing w:after="0" w:line="276" w:lineRule="auto"/>
        <w:jc w:val="both"/>
        <w:rPr>
          <w:rFonts w:ascii="Century Gothic" w:hAnsi="Century Gothic"/>
          <w:sz w:val="23"/>
          <w:szCs w:val="23"/>
          <w:lang w:val="es-ES"/>
        </w:rPr>
      </w:pPr>
      <w:r>
        <w:rPr>
          <w:rFonts w:ascii="Century Gothic" w:hAnsi="Century Gothic"/>
          <w:sz w:val="23"/>
          <w:szCs w:val="23"/>
          <w:lang w:val="es-ES"/>
        </w:rPr>
        <w:t xml:space="preserve">Revisada dichas respuestas, se advierte que la entidad no emitió pronunciamiento respecto de los demás antecedentes requeridos, así las cosas, se analizará la respuesta de conformidad con el art. 241 del C.G.P.  </w:t>
      </w:r>
    </w:p>
    <w:p w14:paraId="6E5DC5C6" w14:textId="27A029F1" w:rsidR="003E4559" w:rsidRPr="009C4A1B" w:rsidRDefault="003417AB" w:rsidP="003C0EB0">
      <w:pPr>
        <w:pStyle w:val="paragraph"/>
        <w:spacing w:before="0" w:beforeAutospacing="0" w:after="0" w:afterAutospacing="0" w:line="276" w:lineRule="auto"/>
        <w:jc w:val="both"/>
        <w:rPr>
          <w:rStyle w:val="eop"/>
          <w:rFonts w:ascii="Century Gothic" w:eastAsiaTheme="majorEastAsia" w:hAnsi="Century Gothic"/>
          <w:color w:val="000000"/>
          <w:sz w:val="23"/>
          <w:szCs w:val="23"/>
          <w:shd w:val="clear" w:color="auto" w:fill="FFFFFF"/>
        </w:rPr>
      </w:pPr>
      <w:r>
        <w:rPr>
          <w:rFonts w:ascii="Century Gothic" w:hAnsi="Century Gothic"/>
          <w:sz w:val="23"/>
          <w:szCs w:val="23"/>
          <w:lang w:val="es-ES" w:eastAsia="es-ES"/>
        </w:rPr>
        <w:t xml:space="preserve">Por último, </w:t>
      </w:r>
      <w:r w:rsidR="003E4559" w:rsidRPr="009C4A1B">
        <w:rPr>
          <w:rFonts w:ascii="Century Gothic" w:hAnsi="Century Gothic"/>
          <w:sz w:val="23"/>
          <w:szCs w:val="23"/>
          <w:lang w:val="es-ES" w:eastAsia="es-ES"/>
        </w:rPr>
        <w:t xml:space="preserve">se dará traslado de dicho documental a las partes </w:t>
      </w:r>
      <w:r w:rsidR="003E4559" w:rsidRPr="009C4A1B">
        <w:rPr>
          <w:rStyle w:val="normaltextrun"/>
          <w:rFonts w:ascii="Century Gothic" w:eastAsiaTheme="majorEastAsia" w:hAnsi="Century Gothic"/>
          <w:color w:val="000000"/>
          <w:sz w:val="23"/>
          <w:szCs w:val="23"/>
          <w:shd w:val="clear" w:color="auto" w:fill="FFFFFF"/>
          <w:lang w:val="es-ES"/>
        </w:rPr>
        <w:t>por el termino de tres (3) días siguientes a la notificación del auto, para los efectos previstos en los artículos 173 (oportunidades probatorias), 269 (tacha de falsedad) y 272 (desconocimiento de documento) del CGP y demás normas concordantes, en virtud del principio de contradicción.</w:t>
      </w:r>
      <w:r w:rsidR="003E4559" w:rsidRPr="009C4A1B">
        <w:rPr>
          <w:rStyle w:val="normaltextrun"/>
          <w:rFonts w:ascii="Century Gothic" w:eastAsiaTheme="majorEastAsia" w:hAnsi="Century Gothic"/>
          <w:b/>
          <w:bCs/>
          <w:color w:val="000000"/>
          <w:sz w:val="23"/>
          <w:szCs w:val="23"/>
          <w:shd w:val="clear" w:color="auto" w:fill="FFFFFF"/>
          <w:lang w:val="es-ES"/>
        </w:rPr>
        <w:t> </w:t>
      </w:r>
      <w:r w:rsidR="003E4559" w:rsidRPr="009C4A1B">
        <w:rPr>
          <w:rStyle w:val="eop"/>
          <w:rFonts w:ascii="Century Gothic" w:eastAsiaTheme="majorEastAsia" w:hAnsi="Century Gothic"/>
          <w:color w:val="000000"/>
          <w:sz w:val="23"/>
          <w:szCs w:val="23"/>
          <w:shd w:val="clear" w:color="auto" w:fill="FFFFFF"/>
        </w:rPr>
        <w:t> </w:t>
      </w:r>
    </w:p>
    <w:p w14:paraId="1E792FA6" w14:textId="77777777" w:rsidR="003E4559" w:rsidRPr="009C4A1B" w:rsidRDefault="003E4559" w:rsidP="003C0EB0">
      <w:pPr>
        <w:pStyle w:val="paragraph"/>
        <w:spacing w:before="0" w:beforeAutospacing="0" w:after="0" w:afterAutospacing="0" w:line="276" w:lineRule="auto"/>
        <w:jc w:val="both"/>
        <w:rPr>
          <w:rFonts w:ascii="Century Gothic" w:hAnsi="Century Gothic"/>
          <w:color w:val="000000"/>
          <w:sz w:val="23"/>
          <w:szCs w:val="23"/>
          <w:shd w:val="clear" w:color="auto" w:fill="FFFFFF"/>
          <w:lang w:val="es-ES"/>
        </w:rPr>
      </w:pPr>
    </w:p>
    <w:p w14:paraId="2A25AA61" w14:textId="77777777" w:rsidR="003E4559" w:rsidRPr="009C4A1B" w:rsidRDefault="003E4559" w:rsidP="003C0EB0">
      <w:pPr>
        <w:pStyle w:val="paragraph"/>
        <w:spacing w:before="0" w:beforeAutospacing="0" w:after="0" w:afterAutospacing="0" w:line="276" w:lineRule="auto"/>
        <w:jc w:val="both"/>
        <w:rPr>
          <w:rStyle w:val="eop"/>
          <w:rFonts w:ascii="Century Gothic" w:eastAsiaTheme="majorEastAsia" w:hAnsi="Century Gothic"/>
          <w:color w:val="000000"/>
          <w:sz w:val="23"/>
          <w:szCs w:val="23"/>
          <w:shd w:val="clear" w:color="auto" w:fill="FFFFFF"/>
        </w:rPr>
      </w:pPr>
      <w:r w:rsidRPr="009C4A1B">
        <w:rPr>
          <w:rFonts w:ascii="Century Gothic" w:hAnsi="Century Gothic"/>
          <w:sz w:val="23"/>
          <w:szCs w:val="23"/>
          <w:lang w:val="es-ES"/>
        </w:rPr>
        <w:lastRenderedPageBreak/>
        <w:t>V</w:t>
      </w:r>
      <w:r w:rsidRPr="009C4A1B">
        <w:rPr>
          <w:rStyle w:val="eop"/>
          <w:rFonts w:ascii="Century Gothic" w:eastAsiaTheme="majorEastAsia" w:hAnsi="Century Gothic"/>
          <w:color w:val="000000"/>
          <w:sz w:val="23"/>
          <w:szCs w:val="23"/>
          <w:shd w:val="clear" w:color="auto" w:fill="FFFFFF"/>
        </w:rPr>
        <w:t xml:space="preserve">encido el término anterior, deberá ingresarse el expediente a fin de incorporar la prueba en mención y de ser el caso cerrar etapa probatoria. </w:t>
      </w:r>
    </w:p>
    <w:p w14:paraId="02061220" w14:textId="77777777" w:rsidR="003E4559" w:rsidRPr="009C4A1B" w:rsidRDefault="003E4559" w:rsidP="003C0EB0">
      <w:pPr>
        <w:pStyle w:val="Textoindependiente2"/>
        <w:spacing w:after="0" w:line="276" w:lineRule="auto"/>
        <w:jc w:val="both"/>
        <w:rPr>
          <w:rFonts w:ascii="Century Gothic" w:eastAsia="Century Gothic" w:hAnsi="Century Gothic" w:cs="Century Gothic"/>
          <w:sz w:val="22"/>
          <w:szCs w:val="22"/>
        </w:rPr>
      </w:pPr>
    </w:p>
    <w:p w14:paraId="3DF202A8" w14:textId="77777777" w:rsidR="003E4559" w:rsidRPr="009C4A1B" w:rsidRDefault="003E4559" w:rsidP="003C0EB0">
      <w:pPr>
        <w:pStyle w:val="Textoindependiente2"/>
        <w:spacing w:after="0" w:line="276" w:lineRule="auto"/>
        <w:jc w:val="both"/>
        <w:rPr>
          <w:rFonts w:ascii="Century Gothic" w:eastAsia="Century Gothic" w:hAnsi="Century Gothic" w:cs="Century Gothic"/>
          <w:sz w:val="22"/>
          <w:szCs w:val="22"/>
        </w:rPr>
      </w:pPr>
      <w:r w:rsidRPr="009C4A1B">
        <w:rPr>
          <w:rFonts w:ascii="Century Gothic" w:eastAsia="Century Gothic" w:hAnsi="Century Gothic" w:cs="Century Gothic"/>
          <w:sz w:val="22"/>
          <w:szCs w:val="22"/>
        </w:rPr>
        <w:t xml:space="preserve">En consecuencia, el </w:t>
      </w:r>
      <w:r w:rsidRPr="009C4A1B">
        <w:rPr>
          <w:rFonts w:ascii="Century Gothic" w:eastAsia="Century Gothic" w:hAnsi="Century Gothic" w:cs="Century Gothic"/>
          <w:b/>
          <w:bCs/>
          <w:sz w:val="22"/>
          <w:szCs w:val="22"/>
        </w:rPr>
        <w:t>JUZGADO SESENTA Y CUATRO (64) ADMINISTRATIVO DE ORALIDAD DEL CIRCUITO JUDICIAL DE BOGOTÁ D.C.</w:t>
      </w:r>
      <w:r w:rsidRPr="009C4A1B">
        <w:rPr>
          <w:rFonts w:ascii="Century Gothic" w:eastAsia="Century Gothic" w:hAnsi="Century Gothic" w:cs="Century Gothic"/>
          <w:sz w:val="22"/>
          <w:szCs w:val="22"/>
        </w:rPr>
        <w:t>,</w:t>
      </w:r>
    </w:p>
    <w:p w14:paraId="085CC73F" w14:textId="77777777" w:rsidR="003E4559" w:rsidRPr="009C4A1B" w:rsidRDefault="003E4559" w:rsidP="003C0EB0">
      <w:pPr>
        <w:pStyle w:val="Textoindependiente2"/>
        <w:spacing w:after="0" w:line="276" w:lineRule="auto"/>
        <w:jc w:val="both"/>
        <w:rPr>
          <w:rFonts w:ascii="Century Gothic" w:eastAsia="Century Gothic" w:hAnsi="Century Gothic" w:cs="Century Gothic"/>
          <w:sz w:val="22"/>
          <w:szCs w:val="22"/>
        </w:rPr>
      </w:pPr>
    </w:p>
    <w:p w14:paraId="6A5468B1" w14:textId="77777777" w:rsidR="003E4559" w:rsidRPr="009C4A1B" w:rsidRDefault="003E4559" w:rsidP="003C0EB0">
      <w:pPr>
        <w:pStyle w:val="paragraph"/>
        <w:spacing w:before="0" w:beforeAutospacing="0" w:after="0" w:afterAutospacing="0" w:line="276" w:lineRule="auto"/>
        <w:ind w:right="45"/>
        <w:jc w:val="center"/>
        <w:textAlignment w:val="baseline"/>
        <w:rPr>
          <w:rStyle w:val="eop"/>
          <w:rFonts w:ascii="Century Gothic" w:eastAsia="Century Gothic" w:hAnsi="Century Gothic" w:cs="Century Gothic"/>
          <w:sz w:val="22"/>
          <w:szCs w:val="22"/>
        </w:rPr>
      </w:pPr>
      <w:r w:rsidRPr="009C4A1B">
        <w:rPr>
          <w:rStyle w:val="normaltextrun"/>
          <w:rFonts w:ascii="Century Gothic" w:eastAsia="Century Gothic" w:hAnsi="Century Gothic" w:cs="Century Gothic"/>
          <w:b/>
          <w:bCs/>
          <w:sz w:val="22"/>
          <w:szCs w:val="22"/>
          <w:lang w:val="es-ES"/>
        </w:rPr>
        <w:t>RESUELVE:</w:t>
      </w:r>
      <w:r w:rsidRPr="009C4A1B">
        <w:rPr>
          <w:rStyle w:val="eop"/>
          <w:rFonts w:ascii="Century Gothic" w:eastAsia="Century Gothic" w:hAnsi="Century Gothic" w:cs="Century Gothic"/>
          <w:sz w:val="22"/>
          <w:szCs w:val="22"/>
        </w:rPr>
        <w:t> </w:t>
      </w:r>
    </w:p>
    <w:p w14:paraId="43413FF8" w14:textId="77777777" w:rsidR="003E4559" w:rsidRPr="009C4A1B" w:rsidRDefault="003E4559" w:rsidP="003C0EB0">
      <w:pPr>
        <w:pStyle w:val="paragraph"/>
        <w:spacing w:before="0" w:beforeAutospacing="0" w:after="0" w:afterAutospacing="0" w:line="276" w:lineRule="auto"/>
        <w:ind w:right="45"/>
        <w:jc w:val="both"/>
        <w:textAlignment w:val="baseline"/>
        <w:rPr>
          <w:rFonts w:ascii="Century Gothic" w:eastAsia="Century Gothic" w:hAnsi="Century Gothic" w:cs="Century Gothic"/>
          <w:sz w:val="22"/>
          <w:szCs w:val="22"/>
          <w:lang w:val="es-ES"/>
        </w:rPr>
      </w:pPr>
    </w:p>
    <w:p w14:paraId="393FD5A0" w14:textId="5007AFFC" w:rsidR="003E4559" w:rsidRPr="009C4A1B" w:rsidRDefault="003E4559" w:rsidP="003C0EB0">
      <w:pPr>
        <w:spacing w:after="0" w:line="276" w:lineRule="auto"/>
        <w:ind w:right="45"/>
        <w:jc w:val="both"/>
        <w:textAlignment w:val="baseline"/>
        <w:rPr>
          <w:rFonts w:ascii="Century Gothic" w:hAnsi="Century Gothic"/>
          <w:b/>
          <w:bCs/>
          <w:color w:val="000000" w:themeColor="text1"/>
          <w:sz w:val="23"/>
          <w:szCs w:val="23"/>
          <w:lang w:val="es-ES"/>
        </w:rPr>
      </w:pPr>
      <w:r w:rsidRPr="009C4A1B">
        <w:rPr>
          <w:rFonts w:ascii="Century Gothic" w:hAnsi="Century Gothic"/>
          <w:b/>
          <w:bCs/>
          <w:sz w:val="23"/>
          <w:szCs w:val="23"/>
          <w:lang w:val="es-ES"/>
        </w:rPr>
        <w:t>PRIMERO.</w:t>
      </w:r>
      <w:r w:rsidRPr="009C4A1B">
        <w:rPr>
          <w:rFonts w:ascii="Century Gothic" w:hAnsi="Century Gothic"/>
          <w:sz w:val="23"/>
          <w:szCs w:val="23"/>
          <w:lang w:val="es-ES"/>
        </w:rPr>
        <w:tab/>
      </w:r>
      <w:r w:rsidRPr="009C4A1B">
        <w:rPr>
          <w:rFonts w:ascii="Century Gothic" w:hAnsi="Century Gothic"/>
          <w:b/>
          <w:bCs/>
          <w:sz w:val="23"/>
          <w:szCs w:val="23"/>
          <w:lang w:val="es-ES"/>
        </w:rPr>
        <w:t xml:space="preserve">CORRER TRASLADO </w:t>
      </w:r>
      <w:r w:rsidRPr="009C4A1B">
        <w:rPr>
          <w:rFonts w:ascii="Century Gothic" w:hAnsi="Century Gothic"/>
          <w:sz w:val="23"/>
          <w:szCs w:val="23"/>
          <w:lang w:val="es-ES"/>
        </w:rPr>
        <w:t xml:space="preserve">de </w:t>
      </w:r>
      <w:r w:rsidR="003417AB">
        <w:rPr>
          <w:rFonts w:ascii="Century Gothic" w:hAnsi="Century Gothic"/>
          <w:bCs/>
          <w:sz w:val="23"/>
          <w:szCs w:val="23"/>
          <w:lang w:val="es-ES"/>
        </w:rPr>
        <w:t xml:space="preserve">la respuesta referida </w:t>
      </w:r>
      <w:r w:rsidRPr="009C4A1B">
        <w:rPr>
          <w:rFonts w:ascii="Century Gothic" w:hAnsi="Century Gothic"/>
          <w:bCs/>
          <w:sz w:val="23"/>
          <w:szCs w:val="23"/>
          <w:lang w:val="es-ES"/>
        </w:rPr>
        <w:t xml:space="preserve">en la parte motiva de este auto.  </w:t>
      </w:r>
    </w:p>
    <w:p w14:paraId="3C49E30A" w14:textId="77777777" w:rsidR="003C0EB0" w:rsidRDefault="003C0EB0" w:rsidP="003C0EB0">
      <w:pPr>
        <w:spacing w:after="0" w:line="276" w:lineRule="auto"/>
        <w:ind w:right="45"/>
        <w:jc w:val="both"/>
        <w:textAlignment w:val="baseline"/>
        <w:rPr>
          <w:rFonts w:ascii="Century Gothic" w:hAnsi="Century Gothic"/>
          <w:b/>
          <w:sz w:val="23"/>
          <w:szCs w:val="23"/>
          <w:lang w:val="es-ES"/>
        </w:rPr>
      </w:pPr>
    </w:p>
    <w:p w14:paraId="60F32E5E" w14:textId="05C08827" w:rsidR="003E4559" w:rsidRPr="009C4A1B" w:rsidRDefault="003E4559" w:rsidP="003C0EB0">
      <w:pPr>
        <w:spacing w:after="0" w:line="276" w:lineRule="auto"/>
        <w:ind w:right="45"/>
        <w:jc w:val="both"/>
        <w:textAlignment w:val="baseline"/>
        <w:rPr>
          <w:rFonts w:ascii="Century Gothic" w:hAnsi="Century Gothic"/>
          <w:b/>
          <w:bCs/>
          <w:color w:val="000000" w:themeColor="text1"/>
          <w:sz w:val="23"/>
          <w:szCs w:val="23"/>
          <w:lang w:val="es-ES"/>
        </w:rPr>
      </w:pPr>
      <w:r w:rsidRPr="009C4A1B">
        <w:rPr>
          <w:rFonts w:ascii="Century Gothic" w:hAnsi="Century Gothic"/>
          <w:b/>
          <w:sz w:val="23"/>
          <w:szCs w:val="23"/>
          <w:lang w:val="es-ES"/>
        </w:rPr>
        <w:t>SEGUNDO</w:t>
      </w:r>
      <w:r w:rsidRPr="009C4A1B">
        <w:rPr>
          <w:rFonts w:ascii="Century Gothic" w:hAnsi="Century Gothic"/>
          <w:sz w:val="23"/>
          <w:szCs w:val="23"/>
          <w:lang w:val="es-ES"/>
        </w:rPr>
        <w:t xml:space="preserve">.  </w:t>
      </w:r>
      <w:r w:rsidRPr="009C4A1B">
        <w:rPr>
          <w:rFonts w:ascii="Century Gothic" w:hAnsi="Century Gothic"/>
          <w:b/>
          <w:bCs/>
          <w:color w:val="000000" w:themeColor="text1"/>
          <w:sz w:val="23"/>
          <w:szCs w:val="23"/>
          <w:lang w:val="es-ES"/>
        </w:rPr>
        <w:tab/>
      </w:r>
      <w:r w:rsidRPr="009C4A1B">
        <w:rPr>
          <w:rFonts w:ascii="Century Gothic" w:hAnsi="Century Gothic" w:cs="Segoe UI"/>
          <w:sz w:val="23"/>
          <w:szCs w:val="23"/>
          <w:lang w:val="es-ES" w:eastAsia="es-CO"/>
        </w:rPr>
        <w:t xml:space="preserve"> </w:t>
      </w:r>
      <w:r w:rsidRPr="003E4559">
        <w:rPr>
          <w:rStyle w:val="eop"/>
          <w:rFonts w:ascii="Century Gothic" w:hAnsi="Century Gothic"/>
          <w:color w:val="000000"/>
          <w:sz w:val="23"/>
          <w:szCs w:val="23"/>
          <w:shd w:val="clear" w:color="auto" w:fill="FFFFFF"/>
          <w:lang w:val="es-CO"/>
        </w:rPr>
        <w:t>De no existir solicitud adicional</w:t>
      </w:r>
      <w:r w:rsidR="00BA1472">
        <w:rPr>
          <w:rStyle w:val="eop"/>
          <w:rFonts w:ascii="Century Gothic" w:hAnsi="Century Gothic"/>
          <w:color w:val="000000"/>
          <w:sz w:val="23"/>
          <w:szCs w:val="23"/>
          <w:shd w:val="clear" w:color="auto" w:fill="FFFFFF"/>
          <w:lang w:val="es-CO"/>
        </w:rPr>
        <w:t xml:space="preserve"> </w:t>
      </w:r>
      <w:r w:rsidR="00050F7F">
        <w:rPr>
          <w:rStyle w:val="eop"/>
          <w:rFonts w:ascii="Century Gothic" w:hAnsi="Century Gothic"/>
          <w:color w:val="000000"/>
          <w:sz w:val="23"/>
          <w:szCs w:val="23"/>
          <w:shd w:val="clear" w:color="auto" w:fill="FFFFFF"/>
          <w:lang w:val="es-CO"/>
        </w:rPr>
        <w:t>INGRESAR</w:t>
      </w:r>
      <w:r w:rsidR="00BA1472">
        <w:rPr>
          <w:rStyle w:val="eop"/>
          <w:rFonts w:ascii="Century Gothic" w:hAnsi="Century Gothic"/>
          <w:color w:val="000000"/>
          <w:sz w:val="23"/>
          <w:szCs w:val="23"/>
          <w:shd w:val="clear" w:color="auto" w:fill="FFFFFF"/>
          <w:lang w:val="es-CO"/>
        </w:rPr>
        <w:t xml:space="preserve"> el expediente con el fin de cerrar etapa probatoria. </w:t>
      </w:r>
    </w:p>
    <w:p w14:paraId="4DB5BFB1" w14:textId="77777777" w:rsidR="003C0EB0" w:rsidRDefault="003C0EB0" w:rsidP="003C0EB0">
      <w:pPr>
        <w:spacing w:after="0" w:line="276" w:lineRule="auto"/>
        <w:jc w:val="both"/>
        <w:rPr>
          <w:rFonts w:ascii="Century Gothic" w:eastAsia="Century Gothic" w:hAnsi="Century Gothic" w:cs="Century Gothic"/>
          <w:b/>
          <w:bCs/>
          <w:lang w:val="es-ES" w:eastAsia="es-CO"/>
        </w:rPr>
      </w:pPr>
    </w:p>
    <w:p w14:paraId="7B6DABAA" w14:textId="7997C036" w:rsidR="003E4559" w:rsidRDefault="003E4559" w:rsidP="003C0EB0">
      <w:pPr>
        <w:spacing w:after="0" w:line="276" w:lineRule="auto"/>
        <w:jc w:val="both"/>
        <w:rPr>
          <w:rFonts w:ascii="Century Gothic" w:eastAsia="Century Gothic" w:hAnsi="Century Gothic" w:cs="Century Gothic"/>
          <w:lang w:val="es-ES" w:eastAsia="es-CO"/>
        </w:rPr>
      </w:pPr>
      <w:r w:rsidRPr="009C4A1B">
        <w:rPr>
          <w:rFonts w:ascii="Century Gothic" w:eastAsia="Century Gothic" w:hAnsi="Century Gothic" w:cs="Century Gothic"/>
          <w:b/>
          <w:bCs/>
          <w:lang w:val="es-ES" w:eastAsia="es-CO"/>
        </w:rPr>
        <w:t>TERCERO</w:t>
      </w:r>
      <w:r w:rsidRPr="009C4A1B">
        <w:rPr>
          <w:rFonts w:ascii="Century Gothic" w:eastAsia="Century Gothic" w:hAnsi="Century Gothic" w:cs="Century Gothic"/>
          <w:lang w:val="es-ES" w:eastAsia="es-CO"/>
        </w:rPr>
        <w:t xml:space="preserve">. </w:t>
      </w:r>
      <w:r>
        <w:rPr>
          <w:rFonts w:ascii="Century Gothic" w:eastAsia="Century Gothic" w:hAnsi="Century Gothic" w:cs="Century Gothic"/>
          <w:lang w:val="es-ES" w:eastAsia="es-CO"/>
        </w:rPr>
        <w:t xml:space="preserve">    </w:t>
      </w:r>
      <w:r w:rsidRPr="009C4A1B">
        <w:rPr>
          <w:rFonts w:ascii="Century Gothic" w:eastAsia="Century Gothic" w:hAnsi="Century Gothic" w:cs="Century Gothic"/>
          <w:b/>
          <w:bCs/>
          <w:color w:val="000000" w:themeColor="text1"/>
          <w:sz w:val="23"/>
          <w:szCs w:val="23"/>
          <w:lang w:val="es-ES"/>
        </w:rPr>
        <w:t xml:space="preserve">NOTIFICAR </w:t>
      </w:r>
      <w:r w:rsidRPr="009C4A1B">
        <w:rPr>
          <w:rFonts w:ascii="Century Gothic" w:eastAsia="Century Gothic" w:hAnsi="Century Gothic" w:cs="Century Gothic"/>
          <w:color w:val="000000" w:themeColor="text1"/>
          <w:sz w:val="23"/>
          <w:szCs w:val="23"/>
          <w:lang w:val="es-ES"/>
        </w:rPr>
        <w:t xml:space="preserve">por secretaría la presente decisión a las partes y al Ministerio Público conformidad con lo dispuesto en el artículo 201 de la Ley 1437 de 2011. </w:t>
      </w:r>
      <w:r w:rsidRPr="009C4A1B">
        <w:rPr>
          <w:rFonts w:ascii="Century Gothic" w:eastAsia="Century Gothic" w:hAnsi="Century Gothic" w:cs="Century Gothic"/>
          <w:lang w:val="es-ES"/>
        </w:rPr>
        <w:t xml:space="preserve"> </w:t>
      </w:r>
    </w:p>
    <w:p w14:paraId="395F90DE" w14:textId="77777777" w:rsidR="003E4559" w:rsidRPr="009C4A1B" w:rsidRDefault="003E4559" w:rsidP="003C0EB0">
      <w:pPr>
        <w:spacing w:after="0" w:line="276" w:lineRule="auto"/>
        <w:jc w:val="both"/>
        <w:rPr>
          <w:rFonts w:ascii="Century Gothic" w:eastAsia="Century Gothic" w:hAnsi="Century Gothic" w:cs="Century Gothic"/>
          <w:lang w:val="es-ES" w:eastAsia="es-CO"/>
        </w:rPr>
      </w:pPr>
    </w:p>
    <w:p w14:paraId="22457515" w14:textId="77777777" w:rsidR="003E4559" w:rsidRPr="009C4A1B" w:rsidRDefault="003E4559" w:rsidP="003C0EB0">
      <w:pPr>
        <w:spacing w:after="0" w:line="276" w:lineRule="auto"/>
        <w:jc w:val="both"/>
        <w:rPr>
          <w:rFonts w:ascii="Century Gothic" w:eastAsia="Century Gothic" w:hAnsi="Century Gothic" w:cs="Century Gothic"/>
          <w:b/>
          <w:bCs/>
          <w:lang w:val="es-ES"/>
        </w:rPr>
      </w:pPr>
      <w:r w:rsidRPr="009C4A1B">
        <w:rPr>
          <w:rFonts w:ascii="Century Gothic" w:eastAsia="Century Gothic" w:hAnsi="Century Gothic" w:cs="Century Gothic"/>
          <w:b/>
          <w:bCs/>
          <w:lang w:val="es-ES"/>
        </w:rPr>
        <w:t>NOTIFÍQUESE Y CÚMPLASE</w:t>
      </w:r>
    </w:p>
    <w:p w14:paraId="5DA977B3" w14:textId="77777777" w:rsidR="003E4559" w:rsidRDefault="003E4559" w:rsidP="003C0EB0">
      <w:pPr>
        <w:tabs>
          <w:tab w:val="left" w:pos="3720"/>
        </w:tabs>
        <w:spacing w:after="0" w:line="276" w:lineRule="auto"/>
        <w:rPr>
          <w:rFonts w:ascii="Century Gothic" w:eastAsia="Century Gothic" w:hAnsi="Century Gothic" w:cs="Century Gothic"/>
          <w:b/>
          <w:bCs/>
          <w:lang w:val="es-ES"/>
        </w:rPr>
      </w:pPr>
    </w:p>
    <w:p w14:paraId="4961FC65" w14:textId="77777777" w:rsidR="003E4559" w:rsidRPr="009C4A1B" w:rsidRDefault="003E4559" w:rsidP="003C0EB0">
      <w:pPr>
        <w:tabs>
          <w:tab w:val="left" w:pos="3720"/>
        </w:tabs>
        <w:spacing w:after="0" w:line="276" w:lineRule="auto"/>
        <w:rPr>
          <w:rFonts w:ascii="Century Gothic" w:eastAsia="Century Gothic" w:hAnsi="Century Gothic" w:cs="Century Gothic"/>
          <w:b/>
          <w:bCs/>
          <w:lang w:val="es-ES"/>
        </w:rPr>
      </w:pPr>
    </w:p>
    <w:p w14:paraId="4F1C9DE2" w14:textId="77777777" w:rsidR="003E4559" w:rsidRPr="009C4A1B" w:rsidRDefault="003E4559" w:rsidP="003C0EB0">
      <w:pPr>
        <w:tabs>
          <w:tab w:val="left" w:pos="3720"/>
        </w:tabs>
        <w:spacing w:after="0" w:line="276" w:lineRule="auto"/>
        <w:ind w:firstLine="708"/>
        <w:jc w:val="center"/>
        <w:rPr>
          <w:rFonts w:ascii="Century Gothic" w:eastAsia="Century Gothic" w:hAnsi="Century Gothic" w:cs="Century Gothic"/>
          <w:b/>
          <w:bCs/>
          <w:lang w:val="es-ES"/>
        </w:rPr>
      </w:pPr>
      <w:r w:rsidRPr="009C4A1B">
        <w:rPr>
          <w:rFonts w:ascii="Century Gothic" w:eastAsia="Century Gothic" w:hAnsi="Century Gothic" w:cs="Century Gothic"/>
          <w:b/>
          <w:bCs/>
          <w:lang w:val="es-ES"/>
        </w:rPr>
        <w:t>John Alexander Ceballos Gaviria</w:t>
      </w:r>
    </w:p>
    <w:p w14:paraId="17E1D639" w14:textId="77777777" w:rsidR="003E4559" w:rsidRPr="009C4A1B" w:rsidRDefault="003E4559" w:rsidP="003C0EB0">
      <w:pPr>
        <w:spacing w:after="0" w:line="276" w:lineRule="auto"/>
        <w:jc w:val="center"/>
        <w:rPr>
          <w:rFonts w:ascii="Century Gothic" w:eastAsia="Century Gothic" w:hAnsi="Century Gothic" w:cs="Century Gothic"/>
          <w:b/>
          <w:bCs/>
          <w:lang w:val="es-ES"/>
        </w:rPr>
      </w:pPr>
      <w:r w:rsidRPr="009C4A1B">
        <w:rPr>
          <w:rFonts w:ascii="Century Gothic" w:eastAsia="Century Gothic" w:hAnsi="Century Gothic" w:cs="Century Gothic"/>
          <w:b/>
          <w:bCs/>
          <w:lang w:val="es-ES"/>
        </w:rPr>
        <w:t>JUEZ</w:t>
      </w:r>
    </w:p>
    <w:p w14:paraId="4DE40A7E" w14:textId="77777777" w:rsidR="003E4559" w:rsidRPr="009C4A1B" w:rsidRDefault="003E4559" w:rsidP="003E4559">
      <w:pPr>
        <w:spacing w:line="240" w:lineRule="auto"/>
        <w:rPr>
          <w:rFonts w:ascii="Century Gothic" w:eastAsia="Century Gothic" w:hAnsi="Century Gothic" w:cs="Century Gothic"/>
          <w:sz w:val="16"/>
          <w:szCs w:val="16"/>
          <w:lang w:val="es-ES"/>
        </w:rPr>
      </w:pPr>
      <w:r w:rsidRPr="009C4A1B">
        <w:rPr>
          <w:rFonts w:ascii="Century Gothic" w:eastAsia="Century Gothic" w:hAnsi="Century Gothic" w:cs="Century Gothic"/>
          <w:sz w:val="16"/>
          <w:szCs w:val="16"/>
          <w:lang w:val="es-ES"/>
        </w:rPr>
        <w:t>As</w:t>
      </w:r>
    </w:p>
    <w:p w14:paraId="4073700C" w14:textId="77777777" w:rsidR="003E4559" w:rsidRPr="009C4A1B" w:rsidRDefault="003E4559" w:rsidP="003E4559">
      <w:pPr>
        <w:spacing w:line="240" w:lineRule="auto"/>
        <w:rPr>
          <w:lang w:val="es-ES"/>
        </w:rPr>
      </w:pPr>
    </w:p>
    <w:p w14:paraId="279E41E5" w14:textId="77777777" w:rsidR="003E4559" w:rsidRPr="009C4A1B" w:rsidRDefault="003E4559" w:rsidP="003E4559">
      <w:pPr>
        <w:spacing w:line="240" w:lineRule="auto"/>
        <w:rPr>
          <w:lang w:val="es-ES"/>
        </w:rPr>
      </w:pPr>
    </w:p>
    <w:p w14:paraId="7D52B73E" w14:textId="77777777" w:rsidR="003E4559" w:rsidRPr="009C4A1B" w:rsidRDefault="003E4559" w:rsidP="003E4559">
      <w:pPr>
        <w:rPr>
          <w:lang w:val="es-ES"/>
        </w:rPr>
      </w:pPr>
    </w:p>
    <w:p w14:paraId="694CC98B" w14:textId="77777777" w:rsidR="003E4559" w:rsidRPr="009C4A1B" w:rsidRDefault="003E4559" w:rsidP="003E4559">
      <w:pPr>
        <w:rPr>
          <w:lang w:val="es-ES"/>
        </w:rPr>
      </w:pPr>
    </w:p>
    <w:p w14:paraId="41DCDBCC" w14:textId="77777777" w:rsidR="003E4559" w:rsidRPr="009C4A1B" w:rsidRDefault="003E4559" w:rsidP="003E4559">
      <w:pPr>
        <w:rPr>
          <w:lang w:val="es-ES"/>
        </w:rPr>
      </w:pPr>
    </w:p>
    <w:p w14:paraId="50E8F614" w14:textId="77777777" w:rsidR="003E4559" w:rsidRDefault="003E4559" w:rsidP="003E4559"/>
    <w:p w14:paraId="33AB3E46" w14:textId="77777777" w:rsidR="003D23AF" w:rsidRDefault="003D23AF"/>
    <w:sectPr w:rsidR="003D23AF" w:rsidSect="003E455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1C1D31"/>
    <w:multiLevelType w:val="hybridMultilevel"/>
    <w:tmpl w:val="EB804154"/>
    <w:lvl w:ilvl="0" w:tplc="240A0001">
      <w:start w:val="1"/>
      <w:numFmt w:val="bullet"/>
      <w:lvlText w:val=""/>
      <w:lvlJc w:val="left"/>
      <w:pPr>
        <w:ind w:left="783" w:hanging="360"/>
      </w:pPr>
      <w:rPr>
        <w:rFonts w:ascii="Symbol" w:hAnsi="Symbol" w:hint="default"/>
      </w:rPr>
    </w:lvl>
    <w:lvl w:ilvl="1" w:tplc="240A0003" w:tentative="1">
      <w:start w:val="1"/>
      <w:numFmt w:val="bullet"/>
      <w:lvlText w:val="o"/>
      <w:lvlJc w:val="left"/>
      <w:pPr>
        <w:ind w:left="1503" w:hanging="360"/>
      </w:pPr>
      <w:rPr>
        <w:rFonts w:ascii="Courier New" w:hAnsi="Courier New" w:cs="Courier New" w:hint="default"/>
      </w:rPr>
    </w:lvl>
    <w:lvl w:ilvl="2" w:tplc="240A0005" w:tentative="1">
      <w:start w:val="1"/>
      <w:numFmt w:val="bullet"/>
      <w:lvlText w:val=""/>
      <w:lvlJc w:val="left"/>
      <w:pPr>
        <w:ind w:left="2223" w:hanging="360"/>
      </w:pPr>
      <w:rPr>
        <w:rFonts w:ascii="Wingdings" w:hAnsi="Wingdings" w:hint="default"/>
      </w:rPr>
    </w:lvl>
    <w:lvl w:ilvl="3" w:tplc="240A0001" w:tentative="1">
      <w:start w:val="1"/>
      <w:numFmt w:val="bullet"/>
      <w:lvlText w:val=""/>
      <w:lvlJc w:val="left"/>
      <w:pPr>
        <w:ind w:left="2943" w:hanging="360"/>
      </w:pPr>
      <w:rPr>
        <w:rFonts w:ascii="Symbol" w:hAnsi="Symbol" w:hint="default"/>
      </w:rPr>
    </w:lvl>
    <w:lvl w:ilvl="4" w:tplc="240A0003" w:tentative="1">
      <w:start w:val="1"/>
      <w:numFmt w:val="bullet"/>
      <w:lvlText w:val="o"/>
      <w:lvlJc w:val="left"/>
      <w:pPr>
        <w:ind w:left="3663" w:hanging="360"/>
      </w:pPr>
      <w:rPr>
        <w:rFonts w:ascii="Courier New" w:hAnsi="Courier New" w:cs="Courier New" w:hint="default"/>
      </w:rPr>
    </w:lvl>
    <w:lvl w:ilvl="5" w:tplc="240A0005" w:tentative="1">
      <w:start w:val="1"/>
      <w:numFmt w:val="bullet"/>
      <w:lvlText w:val=""/>
      <w:lvlJc w:val="left"/>
      <w:pPr>
        <w:ind w:left="4383" w:hanging="360"/>
      </w:pPr>
      <w:rPr>
        <w:rFonts w:ascii="Wingdings" w:hAnsi="Wingdings" w:hint="default"/>
      </w:rPr>
    </w:lvl>
    <w:lvl w:ilvl="6" w:tplc="240A0001" w:tentative="1">
      <w:start w:val="1"/>
      <w:numFmt w:val="bullet"/>
      <w:lvlText w:val=""/>
      <w:lvlJc w:val="left"/>
      <w:pPr>
        <w:ind w:left="5103" w:hanging="360"/>
      </w:pPr>
      <w:rPr>
        <w:rFonts w:ascii="Symbol" w:hAnsi="Symbol" w:hint="default"/>
      </w:rPr>
    </w:lvl>
    <w:lvl w:ilvl="7" w:tplc="240A0003" w:tentative="1">
      <w:start w:val="1"/>
      <w:numFmt w:val="bullet"/>
      <w:lvlText w:val="o"/>
      <w:lvlJc w:val="left"/>
      <w:pPr>
        <w:ind w:left="5823" w:hanging="360"/>
      </w:pPr>
      <w:rPr>
        <w:rFonts w:ascii="Courier New" w:hAnsi="Courier New" w:cs="Courier New" w:hint="default"/>
      </w:rPr>
    </w:lvl>
    <w:lvl w:ilvl="8" w:tplc="240A0005" w:tentative="1">
      <w:start w:val="1"/>
      <w:numFmt w:val="bullet"/>
      <w:lvlText w:val=""/>
      <w:lvlJc w:val="left"/>
      <w:pPr>
        <w:ind w:left="6543" w:hanging="360"/>
      </w:pPr>
      <w:rPr>
        <w:rFonts w:ascii="Wingdings" w:hAnsi="Wingdings" w:hint="default"/>
      </w:rPr>
    </w:lvl>
  </w:abstractNum>
  <w:abstractNum w:abstractNumId="1" w15:restartNumberingAfterBreak="0">
    <w:nsid w:val="59D5103B"/>
    <w:multiLevelType w:val="hybridMultilevel"/>
    <w:tmpl w:val="CA14E6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73540861">
    <w:abstractNumId w:val="1"/>
  </w:num>
  <w:num w:numId="2" w16cid:durableId="464085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8FD"/>
    <w:rsid w:val="00050F7F"/>
    <w:rsid w:val="00076CDB"/>
    <w:rsid w:val="003417AB"/>
    <w:rsid w:val="003864D4"/>
    <w:rsid w:val="003C0EB0"/>
    <w:rsid w:val="003D23AF"/>
    <w:rsid w:val="003E4559"/>
    <w:rsid w:val="005975F3"/>
    <w:rsid w:val="00756413"/>
    <w:rsid w:val="008028FD"/>
    <w:rsid w:val="00853FA2"/>
    <w:rsid w:val="00887010"/>
    <w:rsid w:val="009E6C7F"/>
    <w:rsid w:val="00AF1F06"/>
    <w:rsid w:val="00BA1472"/>
    <w:rsid w:val="00EC5F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01169"/>
  <w15:chartTrackingRefBased/>
  <w15:docId w15:val="{71F68D14-8FF6-4984-839F-17178CFE1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559"/>
    <w:pPr>
      <w:spacing w:line="256" w:lineRule="auto"/>
    </w:pPr>
    <w:rPr>
      <w:kern w:val="0"/>
      <w:lang w:val="en-US"/>
      <w14:ligatures w14:val="none"/>
    </w:rPr>
  </w:style>
  <w:style w:type="paragraph" w:styleId="Ttulo1">
    <w:name w:val="heading 1"/>
    <w:basedOn w:val="Normal"/>
    <w:next w:val="Normal"/>
    <w:link w:val="Ttulo1Car"/>
    <w:uiPriority w:val="9"/>
    <w:qFormat/>
    <w:rsid w:val="008028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028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028F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028F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028F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028F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028F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028F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028F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028F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028F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028F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028F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028F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028F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028F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028F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028FD"/>
    <w:rPr>
      <w:rFonts w:eastAsiaTheme="majorEastAsia" w:cstheme="majorBidi"/>
      <w:color w:val="272727" w:themeColor="text1" w:themeTint="D8"/>
    </w:rPr>
  </w:style>
  <w:style w:type="paragraph" w:styleId="Ttulo">
    <w:name w:val="Title"/>
    <w:basedOn w:val="Normal"/>
    <w:next w:val="Normal"/>
    <w:link w:val="TtuloCar"/>
    <w:uiPriority w:val="10"/>
    <w:qFormat/>
    <w:rsid w:val="008028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028F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028F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028F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028FD"/>
    <w:pPr>
      <w:spacing w:before="160"/>
      <w:jc w:val="center"/>
    </w:pPr>
    <w:rPr>
      <w:i/>
      <w:iCs/>
      <w:color w:val="404040" w:themeColor="text1" w:themeTint="BF"/>
    </w:rPr>
  </w:style>
  <w:style w:type="character" w:customStyle="1" w:styleId="CitaCar">
    <w:name w:val="Cita Car"/>
    <w:basedOn w:val="Fuentedeprrafopredeter"/>
    <w:link w:val="Cita"/>
    <w:uiPriority w:val="29"/>
    <w:rsid w:val="008028FD"/>
    <w:rPr>
      <w:i/>
      <w:iCs/>
      <w:color w:val="404040" w:themeColor="text1" w:themeTint="BF"/>
    </w:rPr>
  </w:style>
  <w:style w:type="paragraph" w:styleId="Prrafodelista">
    <w:name w:val="List Paragraph"/>
    <w:basedOn w:val="Normal"/>
    <w:uiPriority w:val="34"/>
    <w:qFormat/>
    <w:rsid w:val="008028FD"/>
    <w:pPr>
      <w:ind w:left="720"/>
      <w:contextualSpacing/>
    </w:pPr>
  </w:style>
  <w:style w:type="character" w:styleId="nfasisintenso">
    <w:name w:val="Intense Emphasis"/>
    <w:basedOn w:val="Fuentedeprrafopredeter"/>
    <w:uiPriority w:val="21"/>
    <w:qFormat/>
    <w:rsid w:val="008028FD"/>
    <w:rPr>
      <w:i/>
      <w:iCs/>
      <w:color w:val="0F4761" w:themeColor="accent1" w:themeShade="BF"/>
    </w:rPr>
  </w:style>
  <w:style w:type="paragraph" w:styleId="Citadestacada">
    <w:name w:val="Intense Quote"/>
    <w:basedOn w:val="Normal"/>
    <w:next w:val="Normal"/>
    <w:link w:val="CitadestacadaCar"/>
    <w:uiPriority w:val="30"/>
    <w:qFormat/>
    <w:rsid w:val="008028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028FD"/>
    <w:rPr>
      <w:i/>
      <w:iCs/>
      <w:color w:val="0F4761" w:themeColor="accent1" w:themeShade="BF"/>
    </w:rPr>
  </w:style>
  <w:style w:type="character" w:styleId="Referenciaintensa">
    <w:name w:val="Intense Reference"/>
    <w:basedOn w:val="Fuentedeprrafopredeter"/>
    <w:uiPriority w:val="32"/>
    <w:qFormat/>
    <w:rsid w:val="008028FD"/>
    <w:rPr>
      <w:b/>
      <w:bCs/>
      <w:smallCaps/>
      <w:color w:val="0F4761" w:themeColor="accent1" w:themeShade="BF"/>
      <w:spacing w:val="5"/>
    </w:rPr>
  </w:style>
  <w:style w:type="paragraph" w:styleId="Textoindependiente2">
    <w:name w:val="Body Text 2"/>
    <w:basedOn w:val="Normal"/>
    <w:link w:val="Textoindependiente2Car"/>
    <w:uiPriority w:val="99"/>
    <w:unhideWhenUsed/>
    <w:rsid w:val="003E4559"/>
    <w:pPr>
      <w:spacing w:after="120" w:line="480" w:lineRule="auto"/>
    </w:pPr>
    <w:rPr>
      <w:rFonts w:ascii="Times New Roman" w:eastAsia="Times New Roman" w:hAnsi="Times New Roman" w:cs="Times New Roman"/>
      <w:sz w:val="20"/>
      <w:szCs w:val="20"/>
      <w:lang w:val="es-ES" w:eastAsia="es-ES"/>
    </w:rPr>
  </w:style>
  <w:style w:type="character" w:customStyle="1" w:styleId="Textoindependiente2Car">
    <w:name w:val="Texto independiente 2 Car"/>
    <w:basedOn w:val="Fuentedeprrafopredeter"/>
    <w:link w:val="Textoindependiente2"/>
    <w:uiPriority w:val="99"/>
    <w:rsid w:val="003E4559"/>
    <w:rPr>
      <w:rFonts w:ascii="Times New Roman" w:eastAsia="Times New Roman" w:hAnsi="Times New Roman" w:cs="Times New Roman"/>
      <w:kern w:val="0"/>
      <w:sz w:val="20"/>
      <w:szCs w:val="20"/>
      <w:lang w:val="es-ES" w:eastAsia="es-ES"/>
      <w14:ligatures w14:val="none"/>
    </w:rPr>
  </w:style>
  <w:style w:type="paragraph" w:customStyle="1" w:styleId="paragraph">
    <w:name w:val="paragraph"/>
    <w:basedOn w:val="Normal"/>
    <w:rsid w:val="003E4559"/>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E4559"/>
  </w:style>
  <w:style w:type="character" w:customStyle="1" w:styleId="eop">
    <w:name w:val="eop"/>
    <w:basedOn w:val="Fuentedeprrafopredeter"/>
    <w:rsid w:val="003E4559"/>
  </w:style>
  <w:style w:type="paragraph" w:styleId="Sangradetextonormal">
    <w:name w:val="Body Text Indent"/>
    <w:basedOn w:val="Normal"/>
    <w:link w:val="SangradetextonormalCar"/>
    <w:uiPriority w:val="99"/>
    <w:unhideWhenUsed/>
    <w:rsid w:val="003E4559"/>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3E4559"/>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B48AA5-C89C-4CDC-BC6F-F18E3606879A}">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3CC422BF-2A7D-4290-9689-3DC242E0289D}">
  <ds:schemaRefs>
    <ds:schemaRef ds:uri="http://schemas.microsoft.com/sharepoint/v3/contenttype/forms"/>
  </ds:schemaRefs>
</ds:datastoreItem>
</file>

<file path=customXml/itemProps3.xml><?xml version="1.0" encoding="utf-8"?>
<ds:datastoreItem xmlns:ds="http://schemas.openxmlformats.org/officeDocument/2006/customXml" ds:itemID="{04D986C8-A162-4D75-AF87-EB4899238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382</Words>
  <Characters>2107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John Ceballos</cp:lastModifiedBy>
  <cp:revision>8</cp:revision>
  <dcterms:created xsi:type="dcterms:W3CDTF">2024-05-24T20:42:00Z</dcterms:created>
  <dcterms:modified xsi:type="dcterms:W3CDTF">2024-05-27T20:10:00Z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