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4AF67" w14:textId="77777777" w:rsidR="00275112" w:rsidRDefault="00275112" w:rsidP="001D2ECE"/>
    <w:p w14:paraId="7E27909E" w14:textId="77777777" w:rsidR="00275112" w:rsidRDefault="00275112" w:rsidP="001D2ECE">
      <w:pPr>
        <w:jc w:val="both"/>
        <w:rPr>
          <w:rFonts w:ascii="Arial" w:hAnsi="Arial" w:cs="Arial"/>
          <w:sz w:val="22"/>
          <w:szCs w:val="22"/>
        </w:rPr>
      </w:pPr>
    </w:p>
    <w:p w14:paraId="5C0B1703" w14:textId="77777777" w:rsidR="00043C1C" w:rsidRDefault="00043C1C" w:rsidP="001D2ECE">
      <w:pPr>
        <w:jc w:val="both"/>
        <w:rPr>
          <w:rFonts w:ascii="Arial" w:hAnsi="Arial" w:cs="Arial"/>
          <w:sz w:val="22"/>
          <w:szCs w:val="22"/>
        </w:rPr>
      </w:pPr>
    </w:p>
    <w:p w14:paraId="0ABD106E" w14:textId="77777777" w:rsidR="00043C1C" w:rsidRDefault="00043C1C" w:rsidP="001D2ECE">
      <w:pPr>
        <w:jc w:val="both"/>
        <w:rPr>
          <w:rFonts w:ascii="Arial" w:hAnsi="Arial" w:cs="Arial"/>
          <w:sz w:val="22"/>
          <w:szCs w:val="22"/>
        </w:rPr>
      </w:pPr>
    </w:p>
    <w:p w14:paraId="401AF905" w14:textId="77777777" w:rsidR="00043C1C" w:rsidRDefault="00043C1C" w:rsidP="001D2ECE">
      <w:pPr>
        <w:jc w:val="both"/>
        <w:rPr>
          <w:rFonts w:ascii="Arial" w:hAnsi="Arial" w:cs="Arial"/>
          <w:sz w:val="22"/>
          <w:szCs w:val="22"/>
        </w:rPr>
      </w:pPr>
    </w:p>
    <w:p w14:paraId="78ACC1C3" w14:textId="77777777" w:rsidR="00043C1C" w:rsidRDefault="00043C1C" w:rsidP="001D2ECE">
      <w:pPr>
        <w:jc w:val="both"/>
        <w:rPr>
          <w:rFonts w:ascii="Arial" w:hAnsi="Arial" w:cs="Arial"/>
          <w:sz w:val="22"/>
          <w:szCs w:val="22"/>
        </w:rPr>
      </w:pPr>
    </w:p>
    <w:p w14:paraId="060D2068" w14:textId="77777777" w:rsidR="00043C1C" w:rsidRDefault="00043C1C" w:rsidP="001D2ECE">
      <w:pPr>
        <w:jc w:val="both"/>
        <w:rPr>
          <w:rFonts w:ascii="Arial" w:hAnsi="Arial" w:cs="Arial"/>
          <w:sz w:val="22"/>
          <w:szCs w:val="22"/>
        </w:rPr>
      </w:pPr>
    </w:p>
    <w:p w14:paraId="779480FB" w14:textId="77777777" w:rsidR="00043C1C" w:rsidRDefault="00043C1C" w:rsidP="001D2ECE">
      <w:pPr>
        <w:jc w:val="both"/>
        <w:rPr>
          <w:rFonts w:ascii="Arial" w:hAnsi="Arial" w:cs="Arial"/>
          <w:sz w:val="22"/>
          <w:szCs w:val="22"/>
        </w:rPr>
      </w:pPr>
    </w:p>
    <w:p w14:paraId="0757FFF5" w14:textId="77777777" w:rsidR="00043C1C" w:rsidRDefault="00043C1C" w:rsidP="001D2ECE">
      <w:pPr>
        <w:jc w:val="both"/>
        <w:rPr>
          <w:rFonts w:ascii="Arial" w:hAnsi="Arial" w:cs="Arial"/>
          <w:sz w:val="22"/>
          <w:szCs w:val="22"/>
        </w:rPr>
      </w:pPr>
    </w:p>
    <w:p w14:paraId="4EE990B1" w14:textId="77777777" w:rsidR="00043C1C" w:rsidRDefault="00043C1C" w:rsidP="001D2ECE">
      <w:pPr>
        <w:jc w:val="both"/>
        <w:rPr>
          <w:rFonts w:ascii="Arial" w:hAnsi="Arial" w:cs="Arial"/>
          <w:sz w:val="22"/>
          <w:szCs w:val="22"/>
        </w:rPr>
      </w:pPr>
    </w:p>
    <w:p w14:paraId="241E9497" w14:textId="77777777" w:rsidR="00043C1C" w:rsidRDefault="00043C1C" w:rsidP="001D2ECE">
      <w:pPr>
        <w:jc w:val="both"/>
        <w:rPr>
          <w:rFonts w:ascii="Arial" w:hAnsi="Arial" w:cs="Arial"/>
          <w:sz w:val="22"/>
          <w:szCs w:val="22"/>
        </w:rPr>
      </w:pPr>
    </w:p>
    <w:p w14:paraId="1376267B" w14:textId="77777777" w:rsidR="00043C1C" w:rsidRDefault="00043C1C" w:rsidP="001D2ECE">
      <w:pPr>
        <w:jc w:val="both"/>
        <w:rPr>
          <w:rFonts w:ascii="Arial" w:hAnsi="Arial" w:cs="Arial"/>
          <w:sz w:val="22"/>
          <w:szCs w:val="22"/>
        </w:rPr>
      </w:pPr>
    </w:p>
    <w:p w14:paraId="723FCF8B" w14:textId="77777777" w:rsidR="00043C1C" w:rsidRDefault="00043C1C" w:rsidP="001D2ECE">
      <w:pPr>
        <w:jc w:val="both"/>
        <w:rPr>
          <w:rFonts w:ascii="Arial" w:hAnsi="Arial" w:cs="Arial"/>
          <w:sz w:val="22"/>
          <w:szCs w:val="22"/>
        </w:rPr>
      </w:pPr>
    </w:p>
    <w:p w14:paraId="3C12B892" w14:textId="77777777" w:rsidR="00043C1C" w:rsidRDefault="00043C1C" w:rsidP="001D2ECE">
      <w:pPr>
        <w:jc w:val="both"/>
        <w:rPr>
          <w:rFonts w:ascii="Arial" w:hAnsi="Arial" w:cs="Arial"/>
          <w:sz w:val="22"/>
          <w:szCs w:val="22"/>
        </w:rPr>
      </w:pPr>
    </w:p>
    <w:p w14:paraId="353C1FCF" w14:textId="77777777" w:rsidR="00043C1C" w:rsidRPr="000876AA" w:rsidRDefault="00043C1C" w:rsidP="00043C1C">
      <w:pPr>
        <w:jc w:val="center"/>
        <w:rPr>
          <w:rFonts w:ascii="Montserrat" w:hAnsi="Montserrat" w:cs="Arial"/>
          <w:color w:val="F06D33"/>
          <w:sz w:val="66"/>
          <w:szCs w:val="66"/>
        </w:rPr>
      </w:pPr>
      <w:r w:rsidRPr="000876AA">
        <w:rPr>
          <w:rFonts w:ascii="Montserrat" w:hAnsi="Montserrat" w:cs="Arial"/>
          <w:color w:val="F06D33"/>
          <w:sz w:val="66"/>
          <w:szCs w:val="66"/>
        </w:rPr>
        <w:t>INFORME DE</w:t>
      </w:r>
    </w:p>
    <w:p w14:paraId="0451DD99" w14:textId="77777777" w:rsidR="00043C1C" w:rsidRPr="000876AA" w:rsidRDefault="00043C1C" w:rsidP="00043C1C">
      <w:pPr>
        <w:jc w:val="center"/>
        <w:rPr>
          <w:rFonts w:ascii="Montserrat" w:hAnsi="Montserrat" w:cs="Arial"/>
          <w:color w:val="378E86"/>
          <w:sz w:val="108"/>
          <w:szCs w:val="108"/>
        </w:rPr>
      </w:pPr>
      <w:r w:rsidRPr="000876AA">
        <w:rPr>
          <w:rFonts w:ascii="Montserrat" w:hAnsi="Montserrat" w:cs="Arial"/>
          <w:color w:val="378E86"/>
          <w:sz w:val="108"/>
          <w:szCs w:val="108"/>
        </w:rPr>
        <w:t xml:space="preserve">REVISIÓN </w:t>
      </w:r>
      <w:r w:rsidRPr="000876AA">
        <w:rPr>
          <w:rFonts w:ascii="Montserrat Light" w:hAnsi="Montserrat Light" w:cs="Arial"/>
          <w:color w:val="378E86"/>
          <w:sz w:val="108"/>
          <w:szCs w:val="108"/>
        </w:rPr>
        <w:t>POR</w:t>
      </w:r>
      <w:r w:rsidRPr="000876AA">
        <w:rPr>
          <w:rFonts w:ascii="Montserrat" w:hAnsi="Montserrat" w:cs="Arial"/>
          <w:color w:val="378E86"/>
          <w:sz w:val="108"/>
          <w:szCs w:val="108"/>
        </w:rPr>
        <w:t xml:space="preserve"> </w:t>
      </w:r>
    </w:p>
    <w:p w14:paraId="51DAE408" w14:textId="77777777" w:rsidR="00043C1C" w:rsidRPr="000876AA" w:rsidRDefault="00043C1C" w:rsidP="00043C1C">
      <w:pPr>
        <w:jc w:val="center"/>
        <w:rPr>
          <w:rFonts w:ascii="Montserrat" w:hAnsi="Montserrat" w:cs="Arial"/>
          <w:color w:val="378E86"/>
          <w:sz w:val="108"/>
          <w:szCs w:val="108"/>
        </w:rPr>
      </w:pPr>
      <w:r w:rsidRPr="000876AA">
        <w:rPr>
          <w:rFonts w:ascii="Montserrat Light" w:hAnsi="Montserrat Light" w:cs="Arial"/>
          <w:color w:val="378E86"/>
          <w:sz w:val="108"/>
          <w:szCs w:val="108"/>
        </w:rPr>
        <w:t>LA</w:t>
      </w:r>
      <w:r w:rsidRPr="000876AA">
        <w:rPr>
          <w:rFonts w:ascii="Montserrat" w:hAnsi="Montserrat" w:cs="Arial"/>
          <w:color w:val="378E86"/>
          <w:sz w:val="108"/>
          <w:szCs w:val="108"/>
        </w:rPr>
        <w:t xml:space="preserve"> DIRECCIÓN</w:t>
      </w:r>
    </w:p>
    <w:p w14:paraId="5669FFC6" w14:textId="4B3F0A2A" w:rsidR="00043C1C" w:rsidRPr="000876AA" w:rsidRDefault="00043C1C" w:rsidP="00043C1C">
      <w:pPr>
        <w:jc w:val="right"/>
        <w:rPr>
          <w:rFonts w:ascii="Montserrat Light" w:hAnsi="Montserrat Light" w:cs="Arial"/>
          <w:color w:val="F06D33"/>
          <w:sz w:val="60"/>
          <w:szCs w:val="60"/>
        </w:rPr>
        <w:sectPr w:rsidR="00043C1C" w:rsidRPr="000876AA" w:rsidSect="00452492">
          <w:headerReference w:type="default" r:id="rId11"/>
          <w:footerReference w:type="default" r:id="rId12"/>
          <w:headerReference w:type="first" r:id="rId13"/>
          <w:footerReference w:type="first" r:id="rId14"/>
          <w:pgSz w:w="12242" w:h="15842" w:code="1"/>
          <w:pgMar w:top="1701" w:right="1134" w:bottom="1134" w:left="1134" w:header="284" w:footer="284" w:gutter="0"/>
          <w:cols w:space="708"/>
          <w:titlePg/>
          <w:docGrid w:linePitch="326"/>
        </w:sectPr>
      </w:pPr>
      <w:r w:rsidRPr="000876AA">
        <w:rPr>
          <w:rFonts w:ascii="Montserrat Light" w:hAnsi="Montserrat Light" w:cs="Arial"/>
          <w:color w:val="F06D33"/>
          <w:sz w:val="60"/>
          <w:szCs w:val="60"/>
        </w:rPr>
        <w:t>Vigencia 2022</w:t>
      </w:r>
    </w:p>
    <w:tbl>
      <w:tblPr>
        <w:tblW w:w="10043" w:type="dxa"/>
        <w:tblCellMar>
          <w:left w:w="70" w:type="dxa"/>
          <w:right w:w="70" w:type="dxa"/>
        </w:tblCellMar>
        <w:tblLook w:val="04A0" w:firstRow="1" w:lastRow="0" w:firstColumn="1" w:lastColumn="0" w:noHBand="0" w:noVBand="1"/>
      </w:tblPr>
      <w:tblGrid>
        <w:gridCol w:w="2964"/>
        <w:gridCol w:w="1841"/>
        <w:gridCol w:w="3114"/>
        <w:gridCol w:w="2124"/>
      </w:tblGrid>
      <w:tr w:rsidR="00044A42" w:rsidRPr="000876AA" w14:paraId="2B2BAAD9" w14:textId="77777777" w:rsidTr="00CB6D58">
        <w:trPr>
          <w:trHeight w:val="270"/>
        </w:trPr>
        <w:tc>
          <w:tcPr>
            <w:tcW w:w="2964" w:type="dxa"/>
            <w:tcBorders>
              <w:top w:val="single" w:sz="8" w:space="0" w:color="002060"/>
              <w:left w:val="single" w:sz="8" w:space="0" w:color="002060"/>
              <w:bottom w:val="single" w:sz="4" w:space="0" w:color="808080"/>
              <w:right w:val="single" w:sz="4" w:space="0" w:color="808080"/>
            </w:tcBorders>
            <w:shd w:val="clear" w:color="000000" w:fill="8ED8F8"/>
            <w:vAlign w:val="center"/>
            <w:hideMark/>
          </w:tcPr>
          <w:p w14:paraId="6989BA6F" w14:textId="77777777" w:rsidR="00044A42" w:rsidRPr="000876AA" w:rsidRDefault="00044A42" w:rsidP="00AB6499">
            <w:pPr>
              <w:overflowPunct/>
              <w:autoSpaceDE/>
              <w:autoSpaceDN/>
              <w:adjustRightInd/>
              <w:jc w:val="center"/>
              <w:textAlignment w:val="auto"/>
              <w:rPr>
                <w:rFonts w:ascii="Arial" w:hAnsi="Arial" w:cs="Arial"/>
                <w:b/>
                <w:bCs/>
                <w:color w:val="000000"/>
                <w:sz w:val="18"/>
                <w:szCs w:val="18"/>
                <w:lang w:eastAsia="es-CO"/>
              </w:rPr>
            </w:pPr>
            <w:r w:rsidRPr="000876AA">
              <w:rPr>
                <w:rFonts w:ascii="Arial" w:hAnsi="Arial" w:cs="Arial"/>
                <w:b/>
                <w:bCs/>
                <w:color w:val="000000"/>
                <w:sz w:val="18"/>
                <w:szCs w:val="18"/>
                <w:lang w:eastAsia="es-CO"/>
              </w:rPr>
              <w:lastRenderedPageBreak/>
              <w:t>DEPENDENCIA</w:t>
            </w:r>
          </w:p>
        </w:tc>
        <w:tc>
          <w:tcPr>
            <w:tcW w:w="1841" w:type="dxa"/>
            <w:tcBorders>
              <w:top w:val="single" w:sz="8" w:space="0" w:color="002060"/>
              <w:left w:val="nil"/>
              <w:bottom w:val="single" w:sz="4" w:space="0" w:color="808080"/>
              <w:right w:val="single" w:sz="4" w:space="0" w:color="808080"/>
            </w:tcBorders>
            <w:shd w:val="clear" w:color="auto" w:fill="auto"/>
            <w:vAlign w:val="center"/>
            <w:hideMark/>
          </w:tcPr>
          <w:p w14:paraId="63C234C0" w14:textId="4BA9E70D" w:rsidR="00044A42" w:rsidRPr="000876AA" w:rsidRDefault="00044A42" w:rsidP="00AB6499">
            <w:pPr>
              <w:overflowPunct/>
              <w:autoSpaceDE/>
              <w:autoSpaceDN/>
              <w:adjustRightInd/>
              <w:jc w:val="center"/>
              <w:textAlignment w:val="auto"/>
              <w:rPr>
                <w:rFonts w:ascii="Arial" w:hAnsi="Arial" w:cs="Arial"/>
                <w:color w:val="000000"/>
                <w:sz w:val="18"/>
                <w:szCs w:val="18"/>
                <w:lang w:eastAsia="es-CO"/>
              </w:rPr>
            </w:pPr>
            <w:r w:rsidRPr="000876AA">
              <w:rPr>
                <w:rFonts w:ascii="Arial" w:hAnsi="Arial" w:cs="Arial"/>
                <w:color w:val="000000"/>
                <w:sz w:val="18"/>
                <w:szCs w:val="18"/>
                <w:lang w:eastAsia="es-CO"/>
              </w:rPr>
              <w:t> </w:t>
            </w:r>
            <w:r w:rsidR="000C3A0D" w:rsidRPr="000876AA">
              <w:rPr>
                <w:rFonts w:ascii="Arial" w:hAnsi="Arial" w:cs="Arial"/>
                <w:color w:val="000000"/>
                <w:sz w:val="18"/>
                <w:szCs w:val="18"/>
                <w:lang w:eastAsia="es-CO"/>
              </w:rPr>
              <w:t xml:space="preserve">Unidades de Presupuesto y Planeación </w:t>
            </w:r>
          </w:p>
        </w:tc>
        <w:tc>
          <w:tcPr>
            <w:tcW w:w="3114" w:type="dxa"/>
            <w:tcBorders>
              <w:top w:val="single" w:sz="8" w:space="0" w:color="002060"/>
              <w:left w:val="nil"/>
              <w:bottom w:val="single" w:sz="4" w:space="0" w:color="808080"/>
              <w:right w:val="single" w:sz="4" w:space="0" w:color="808080"/>
            </w:tcBorders>
            <w:shd w:val="clear" w:color="000000" w:fill="8ED8F8"/>
            <w:vAlign w:val="center"/>
            <w:hideMark/>
          </w:tcPr>
          <w:p w14:paraId="2C6E9054" w14:textId="77777777" w:rsidR="00044A42" w:rsidRPr="000876AA" w:rsidRDefault="00044A42" w:rsidP="00AB6499">
            <w:pPr>
              <w:overflowPunct/>
              <w:autoSpaceDE/>
              <w:autoSpaceDN/>
              <w:adjustRightInd/>
              <w:jc w:val="center"/>
              <w:textAlignment w:val="auto"/>
              <w:rPr>
                <w:rFonts w:ascii="Arial" w:hAnsi="Arial" w:cs="Arial"/>
                <w:b/>
                <w:bCs/>
                <w:color w:val="000000"/>
                <w:sz w:val="18"/>
                <w:szCs w:val="18"/>
                <w:lang w:eastAsia="es-CO"/>
              </w:rPr>
            </w:pPr>
            <w:r w:rsidRPr="000876AA">
              <w:rPr>
                <w:rFonts w:ascii="Arial" w:hAnsi="Arial" w:cs="Arial"/>
                <w:b/>
                <w:bCs/>
                <w:color w:val="000000"/>
                <w:sz w:val="18"/>
                <w:szCs w:val="18"/>
                <w:lang w:eastAsia="es-CO"/>
              </w:rPr>
              <w:t>LÍDER DEL SIGCMA</w:t>
            </w:r>
          </w:p>
        </w:tc>
        <w:tc>
          <w:tcPr>
            <w:tcW w:w="2124" w:type="dxa"/>
            <w:tcBorders>
              <w:top w:val="single" w:sz="8" w:space="0" w:color="002060"/>
              <w:left w:val="nil"/>
              <w:bottom w:val="single" w:sz="4" w:space="0" w:color="808080"/>
              <w:right w:val="single" w:sz="8" w:space="0" w:color="002060"/>
            </w:tcBorders>
            <w:shd w:val="clear" w:color="auto" w:fill="auto"/>
            <w:vAlign w:val="center"/>
            <w:hideMark/>
          </w:tcPr>
          <w:p w14:paraId="60EF27AA" w14:textId="77777777" w:rsidR="00044A42" w:rsidRPr="000876AA" w:rsidRDefault="000C3A0D" w:rsidP="00AB6499">
            <w:pPr>
              <w:overflowPunct/>
              <w:autoSpaceDE/>
              <w:autoSpaceDN/>
              <w:adjustRightInd/>
              <w:jc w:val="center"/>
              <w:textAlignment w:val="auto"/>
              <w:rPr>
                <w:rFonts w:ascii="Arial" w:hAnsi="Arial" w:cs="Arial"/>
                <w:color w:val="000000"/>
                <w:sz w:val="18"/>
                <w:szCs w:val="18"/>
                <w:lang w:eastAsia="es-CO"/>
              </w:rPr>
            </w:pPr>
            <w:r w:rsidRPr="000876AA">
              <w:rPr>
                <w:rFonts w:ascii="Arial" w:hAnsi="Arial" w:cs="Arial"/>
                <w:color w:val="000000"/>
                <w:sz w:val="18"/>
                <w:szCs w:val="18"/>
                <w:lang w:eastAsia="es-CO"/>
              </w:rPr>
              <w:t>William Hernández</w:t>
            </w:r>
          </w:p>
          <w:p w14:paraId="28A3B38B" w14:textId="6BFF4453" w:rsidR="000C3A0D" w:rsidRPr="000876AA" w:rsidRDefault="000C3A0D" w:rsidP="00AB6499">
            <w:pPr>
              <w:overflowPunct/>
              <w:autoSpaceDE/>
              <w:autoSpaceDN/>
              <w:adjustRightInd/>
              <w:jc w:val="center"/>
              <w:textAlignment w:val="auto"/>
              <w:rPr>
                <w:rFonts w:ascii="Arial" w:hAnsi="Arial" w:cs="Arial"/>
                <w:color w:val="000000"/>
                <w:sz w:val="18"/>
                <w:szCs w:val="18"/>
                <w:lang w:eastAsia="es-CO"/>
              </w:rPr>
            </w:pPr>
            <w:r w:rsidRPr="000876AA">
              <w:rPr>
                <w:rFonts w:ascii="Arial" w:hAnsi="Arial" w:cs="Arial"/>
                <w:color w:val="000000"/>
                <w:sz w:val="18"/>
                <w:szCs w:val="18"/>
                <w:lang w:eastAsia="es-CO"/>
              </w:rPr>
              <w:t>Luis Antonio Suárez</w:t>
            </w:r>
          </w:p>
        </w:tc>
      </w:tr>
      <w:tr w:rsidR="00044A42" w:rsidRPr="000876AA" w14:paraId="6C8566B8" w14:textId="77777777" w:rsidTr="00AB6499">
        <w:trPr>
          <w:trHeight w:val="516"/>
        </w:trPr>
        <w:tc>
          <w:tcPr>
            <w:tcW w:w="2964" w:type="dxa"/>
            <w:tcBorders>
              <w:top w:val="nil"/>
              <w:left w:val="single" w:sz="8" w:space="0" w:color="002060"/>
              <w:bottom w:val="single" w:sz="4" w:space="0" w:color="808080"/>
              <w:right w:val="single" w:sz="4" w:space="0" w:color="808080"/>
            </w:tcBorders>
            <w:shd w:val="clear" w:color="000000" w:fill="8ED8F8"/>
            <w:vAlign w:val="center"/>
            <w:hideMark/>
          </w:tcPr>
          <w:p w14:paraId="45460805" w14:textId="77777777" w:rsidR="00044A42" w:rsidRPr="000876AA" w:rsidRDefault="00044A42" w:rsidP="00AB6499">
            <w:pPr>
              <w:overflowPunct/>
              <w:autoSpaceDE/>
              <w:autoSpaceDN/>
              <w:adjustRightInd/>
              <w:jc w:val="center"/>
              <w:textAlignment w:val="auto"/>
              <w:rPr>
                <w:rFonts w:ascii="Arial" w:hAnsi="Arial" w:cs="Arial"/>
                <w:b/>
                <w:bCs/>
                <w:color w:val="000000"/>
                <w:sz w:val="18"/>
                <w:szCs w:val="18"/>
                <w:lang w:eastAsia="es-CO"/>
              </w:rPr>
            </w:pPr>
            <w:r w:rsidRPr="000876AA">
              <w:rPr>
                <w:rFonts w:ascii="Arial" w:hAnsi="Arial" w:cs="Arial"/>
                <w:b/>
                <w:bCs/>
                <w:color w:val="000000"/>
                <w:sz w:val="18"/>
                <w:szCs w:val="18"/>
                <w:lang w:eastAsia="es-CO"/>
              </w:rPr>
              <w:t>FECHA DE REALIZACIÓN</w:t>
            </w:r>
          </w:p>
        </w:tc>
        <w:tc>
          <w:tcPr>
            <w:tcW w:w="1841" w:type="dxa"/>
            <w:tcBorders>
              <w:top w:val="nil"/>
              <w:left w:val="nil"/>
              <w:bottom w:val="single" w:sz="4" w:space="0" w:color="808080"/>
              <w:right w:val="single" w:sz="4" w:space="0" w:color="808080"/>
            </w:tcBorders>
            <w:shd w:val="clear" w:color="auto" w:fill="auto"/>
            <w:vAlign w:val="center"/>
            <w:hideMark/>
          </w:tcPr>
          <w:p w14:paraId="2AAE82B5" w14:textId="5E9B5C96" w:rsidR="00044A42" w:rsidRPr="000876AA" w:rsidRDefault="00044A42" w:rsidP="00AB6499">
            <w:pPr>
              <w:overflowPunct/>
              <w:autoSpaceDE/>
              <w:autoSpaceDN/>
              <w:adjustRightInd/>
              <w:jc w:val="center"/>
              <w:textAlignment w:val="auto"/>
              <w:rPr>
                <w:rFonts w:ascii="Arial" w:hAnsi="Arial" w:cs="Arial"/>
                <w:color w:val="000000"/>
                <w:sz w:val="18"/>
                <w:szCs w:val="18"/>
                <w:lang w:eastAsia="es-CO"/>
              </w:rPr>
            </w:pPr>
            <w:r w:rsidRPr="000876AA">
              <w:rPr>
                <w:rFonts w:ascii="Arial" w:hAnsi="Arial" w:cs="Arial"/>
                <w:color w:val="000000"/>
                <w:sz w:val="18"/>
                <w:szCs w:val="18"/>
                <w:lang w:eastAsia="es-CO"/>
              </w:rPr>
              <w:t>11/0</w:t>
            </w:r>
            <w:r w:rsidR="00AB6499" w:rsidRPr="000876AA">
              <w:rPr>
                <w:rFonts w:ascii="Arial" w:hAnsi="Arial" w:cs="Arial"/>
                <w:color w:val="000000"/>
                <w:sz w:val="18"/>
                <w:szCs w:val="18"/>
                <w:lang w:eastAsia="es-CO"/>
              </w:rPr>
              <w:t>5</w:t>
            </w:r>
            <w:r w:rsidRPr="000876AA">
              <w:rPr>
                <w:rFonts w:ascii="Arial" w:hAnsi="Arial" w:cs="Arial"/>
                <w:color w:val="000000"/>
                <w:sz w:val="18"/>
                <w:szCs w:val="18"/>
                <w:lang w:eastAsia="es-CO"/>
              </w:rPr>
              <w:t>/2023</w:t>
            </w:r>
          </w:p>
        </w:tc>
        <w:tc>
          <w:tcPr>
            <w:tcW w:w="3114" w:type="dxa"/>
            <w:tcBorders>
              <w:top w:val="nil"/>
              <w:left w:val="nil"/>
              <w:bottom w:val="single" w:sz="4" w:space="0" w:color="808080"/>
              <w:right w:val="single" w:sz="4" w:space="0" w:color="808080"/>
            </w:tcBorders>
            <w:shd w:val="clear" w:color="000000" w:fill="8ED8F8"/>
            <w:vAlign w:val="center"/>
            <w:hideMark/>
          </w:tcPr>
          <w:p w14:paraId="03D919E6" w14:textId="77777777" w:rsidR="00044A42" w:rsidRPr="000876AA" w:rsidRDefault="00044A42" w:rsidP="00AB6499">
            <w:pPr>
              <w:overflowPunct/>
              <w:autoSpaceDE/>
              <w:autoSpaceDN/>
              <w:adjustRightInd/>
              <w:jc w:val="center"/>
              <w:textAlignment w:val="auto"/>
              <w:rPr>
                <w:rFonts w:ascii="Arial" w:hAnsi="Arial" w:cs="Arial"/>
                <w:b/>
                <w:bCs/>
                <w:color w:val="000000"/>
                <w:sz w:val="18"/>
                <w:szCs w:val="18"/>
                <w:lang w:eastAsia="es-CO"/>
              </w:rPr>
            </w:pPr>
            <w:r w:rsidRPr="000876AA">
              <w:rPr>
                <w:rFonts w:ascii="Arial" w:hAnsi="Arial" w:cs="Arial"/>
                <w:b/>
                <w:bCs/>
                <w:color w:val="000000"/>
                <w:sz w:val="18"/>
                <w:szCs w:val="18"/>
                <w:lang w:eastAsia="es-CO"/>
              </w:rPr>
              <w:t>FECHA DE REMISIÓN A LA COORDINACIÓN NACIONAL SIGCMA</w:t>
            </w:r>
          </w:p>
        </w:tc>
        <w:tc>
          <w:tcPr>
            <w:tcW w:w="2124" w:type="dxa"/>
            <w:tcBorders>
              <w:top w:val="nil"/>
              <w:left w:val="nil"/>
              <w:bottom w:val="single" w:sz="4" w:space="0" w:color="808080"/>
              <w:right w:val="single" w:sz="8" w:space="0" w:color="002060"/>
            </w:tcBorders>
            <w:shd w:val="clear" w:color="auto" w:fill="auto"/>
            <w:vAlign w:val="center"/>
            <w:hideMark/>
          </w:tcPr>
          <w:p w14:paraId="3AC32C40" w14:textId="579E5F67" w:rsidR="00044A42" w:rsidRPr="000876AA" w:rsidRDefault="00044A42" w:rsidP="00AB6499">
            <w:pPr>
              <w:overflowPunct/>
              <w:autoSpaceDE/>
              <w:autoSpaceDN/>
              <w:adjustRightInd/>
              <w:jc w:val="center"/>
              <w:textAlignment w:val="auto"/>
              <w:rPr>
                <w:rFonts w:ascii="Arial" w:hAnsi="Arial" w:cs="Arial"/>
                <w:color w:val="000000"/>
                <w:sz w:val="18"/>
                <w:szCs w:val="18"/>
                <w:lang w:eastAsia="es-CO"/>
              </w:rPr>
            </w:pPr>
            <w:r w:rsidRPr="000876AA">
              <w:rPr>
                <w:rFonts w:ascii="Arial" w:hAnsi="Arial" w:cs="Arial"/>
                <w:color w:val="000000"/>
                <w:sz w:val="18"/>
                <w:szCs w:val="18"/>
                <w:lang w:eastAsia="es-CO"/>
              </w:rPr>
              <w:t>12/0</w:t>
            </w:r>
            <w:r w:rsidR="00AB6499" w:rsidRPr="000876AA">
              <w:rPr>
                <w:rFonts w:ascii="Arial" w:hAnsi="Arial" w:cs="Arial"/>
                <w:color w:val="000000"/>
                <w:sz w:val="18"/>
                <w:szCs w:val="18"/>
                <w:lang w:eastAsia="es-CO"/>
              </w:rPr>
              <w:t>5</w:t>
            </w:r>
            <w:r w:rsidRPr="000876AA">
              <w:rPr>
                <w:rFonts w:ascii="Arial" w:hAnsi="Arial" w:cs="Arial"/>
                <w:color w:val="000000"/>
                <w:sz w:val="18"/>
                <w:szCs w:val="18"/>
                <w:lang w:eastAsia="es-CO"/>
              </w:rPr>
              <w:t>/2023</w:t>
            </w:r>
          </w:p>
        </w:tc>
      </w:tr>
      <w:tr w:rsidR="00044A42" w:rsidRPr="000876AA" w14:paraId="46F8F074" w14:textId="77777777" w:rsidTr="00AB6499">
        <w:trPr>
          <w:trHeight w:val="399"/>
        </w:trPr>
        <w:tc>
          <w:tcPr>
            <w:tcW w:w="2964" w:type="dxa"/>
            <w:tcBorders>
              <w:top w:val="nil"/>
              <w:left w:val="single" w:sz="8" w:space="0" w:color="002060"/>
              <w:bottom w:val="single" w:sz="4" w:space="0" w:color="808080"/>
              <w:right w:val="single" w:sz="4" w:space="0" w:color="808080"/>
            </w:tcBorders>
            <w:shd w:val="clear" w:color="000000" w:fill="E1F4FD"/>
            <w:vAlign w:val="center"/>
            <w:hideMark/>
          </w:tcPr>
          <w:p w14:paraId="54C28805" w14:textId="77777777" w:rsidR="00044A42" w:rsidRPr="000876AA" w:rsidRDefault="00044A42" w:rsidP="00AB6499">
            <w:pPr>
              <w:overflowPunct/>
              <w:autoSpaceDE/>
              <w:autoSpaceDN/>
              <w:adjustRightInd/>
              <w:jc w:val="center"/>
              <w:textAlignment w:val="auto"/>
              <w:rPr>
                <w:rFonts w:ascii="Arial" w:hAnsi="Arial" w:cs="Arial"/>
                <w:b/>
                <w:bCs/>
                <w:color w:val="000000"/>
                <w:sz w:val="18"/>
                <w:szCs w:val="18"/>
                <w:lang w:eastAsia="es-CO"/>
              </w:rPr>
            </w:pPr>
            <w:r w:rsidRPr="000876AA">
              <w:rPr>
                <w:rFonts w:ascii="Arial" w:hAnsi="Arial" w:cs="Arial"/>
                <w:b/>
                <w:bCs/>
                <w:color w:val="000000"/>
                <w:sz w:val="18"/>
                <w:szCs w:val="18"/>
                <w:lang w:eastAsia="es-CO"/>
              </w:rPr>
              <w:t>OBJETIVOS ESTRATÉGICOS</w:t>
            </w:r>
          </w:p>
        </w:tc>
        <w:tc>
          <w:tcPr>
            <w:tcW w:w="1841" w:type="dxa"/>
            <w:tcBorders>
              <w:top w:val="nil"/>
              <w:left w:val="nil"/>
              <w:bottom w:val="single" w:sz="4" w:space="0" w:color="808080"/>
              <w:right w:val="single" w:sz="4" w:space="0" w:color="808080"/>
            </w:tcBorders>
            <w:shd w:val="clear" w:color="000000" w:fill="E1F4FD"/>
            <w:vAlign w:val="center"/>
            <w:hideMark/>
          </w:tcPr>
          <w:p w14:paraId="45E9064D" w14:textId="77777777" w:rsidR="00044A42" w:rsidRPr="000876AA" w:rsidRDefault="00044A42" w:rsidP="00AB6499">
            <w:pPr>
              <w:overflowPunct/>
              <w:autoSpaceDE/>
              <w:autoSpaceDN/>
              <w:adjustRightInd/>
              <w:jc w:val="center"/>
              <w:textAlignment w:val="auto"/>
              <w:rPr>
                <w:rFonts w:ascii="Arial" w:hAnsi="Arial" w:cs="Arial"/>
                <w:b/>
                <w:bCs/>
                <w:color w:val="000000"/>
                <w:sz w:val="18"/>
                <w:szCs w:val="18"/>
                <w:lang w:eastAsia="es-CO"/>
              </w:rPr>
            </w:pPr>
            <w:r w:rsidRPr="000876AA">
              <w:rPr>
                <w:rFonts w:ascii="Arial" w:hAnsi="Arial" w:cs="Arial"/>
                <w:b/>
                <w:bCs/>
                <w:color w:val="000000"/>
                <w:sz w:val="18"/>
                <w:szCs w:val="18"/>
                <w:lang w:eastAsia="es-CO"/>
              </w:rPr>
              <w:t>MACRO - PROCESOS</w:t>
            </w:r>
          </w:p>
        </w:tc>
        <w:tc>
          <w:tcPr>
            <w:tcW w:w="3114" w:type="dxa"/>
            <w:tcBorders>
              <w:top w:val="nil"/>
              <w:left w:val="nil"/>
              <w:bottom w:val="single" w:sz="4" w:space="0" w:color="808080"/>
              <w:right w:val="single" w:sz="4" w:space="0" w:color="808080"/>
            </w:tcBorders>
            <w:shd w:val="clear" w:color="000000" w:fill="E1F4FD"/>
            <w:vAlign w:val="center"/>
            <w:hideMark/>
          </w:tcPr>
          <w:p w14:paraId="17A393B0" w14:textId="77777777" w:rsidR="00044A42" w:rsidRPr="000876AA" w:rsidRDefault="00044A42" w:rsidP="00AB6499">
            <w:pPr>
              <w:overflowPunct/>
              <w:autoSpaceDE/>
              <w:autoSpaceDN/>
              <w:adjustRightInd/>
              <w:jc w:val="center"/>
              <w:textAlignment w:val="auto"/>
              <w:rPr>
                <w:rFonts w:ascii="Arial" w:hAnsi="Arial" w:cs="Arial"/>
                <w:b/>
                <w:bCs/>
                <w:color w:val="000000"/>
                <w:sz w:val="18"/>
                <w:szCs w:val="18"/>
                <w:lang w:eastAsia="es-CO"/>
              </w:rPr>
            </w:pPr>
            <w:r w:rsidRPr="000876AA">
              <w:rPr>
                <w:rFonts w:ascii="Arial" w:hAnsi="Arial" w:cs="Arial"/>
                <w:b/>
                <w:bCs/>
                <w:color w:val="000000"/>
                <w:sz w:val="18"/>
                <w:szCs w:val="18"/>
                <w:lang w:eastAsia="es-CO"/>
              </w:rPr>
              <w:t>PROCESOS</w:t>
            </w:r>
          </w:p>
        </w:tc>
        <w:tc>
          <w:tcPr>
            <w:tcW w:w="2124" w:type="dxa"/>
            <w:tcBorders>
              <w:top w:val="nil"/>
              <w:left w:val="nil"/>
              <w:bottom w:val="single" w:sz="4" w:space="0" w:color="808080"/>
              <w:right w:val="single" w:sz="8" w:space="0" w:color="002060"/>
            </w:tcBorders>
            <w:shd w:val="clear" w:color="000000" w:fill="E1F4FD"/>
            <w:vAlign w:val="center"/>
            <w:hideMark/>
          </w:tcPr>
          <w:p w14:paraId="796586FF" w14:textId="77777777" w:rsidR="00044A42" w:rsidRPr="000876AA" w:rsidRDefault="00044A42" w:rsidP="00AB6499">
            <w:pPr>
              <w:overflowPunct/>
              <w:autoSpaceDE/>
              <w:autoSpaceDN/>
              <w:adjustRightInd/>
              <w:jc w:val="center"/>
              <w:textAlignment w:val="auto"/>
              <w:rPr>
                <w:rFonts w:ascii="Arial" w:hAnsi="Arial" w:cs="Arial"/>
                <w:color w:val="000000"/>
                <w:sz w:val="18"/>
                <w:szCs w:val="18"/>
                <w:lang w:eastAsia="es-CO"/>
              </w:rPr>
            </w:pPr>
            <w:r w:rsidRPr="000876AA">
              <w:rPr>
                <w:rFonts w:ascii="Arial" w:hAnsi="Arial" w:cs="Arial"/>
                <w:color w:val="000000"/>
                <w:sz w:val="18"/>
                <w:szCs w:val="18"/>
                <w:lang w:eastAsia="es-CO"/>
              </w:rPr>
              <w:t>Señale con una equis (X) los procesos que cubre el presente Informe de Revisión por la Dirección</w:t>
            </w:r>
          </w:p>
        </w:tc>
      </w:tr>
      <w:tr w:rsidR="00D97C65" w:rsidRPr="000876AA" w14:paraId="5E23E548" w14:textId="77777777" w:rsidTr="00D97C65">
        <w:trPr>
          <w:trHeight w:val="587"/>
        </w:trPr>
        <w:tc>
          <w:tcPr>
            <w:tcW w:w="2964" w:type="dxa"/>
            <w:vMerge w:val="restart"/>
            <w:tcBorders>
              <w:top w:val="nil"/>
              <w:left w:val="single" w:sz="8" w:space="0" w:color="002060"/>
              <w:bottom w:val="single" w:sz="8" w:space="0" w:color="002060"/>
              <w:right w:val="single" w:sz="4" w:space="0" w:color="808080"/>
            </w:tcBorders>
            <w:shd w:val="clear" w:color="000000" w:fill="F5E5A8"/>
            <w:vAlign w:val="center"/>
            <w:hideMark/>
          </w:tcPr>
          <w:p w14:paraId="572D69E1" w14:textId="77777777" w:rsidR="00D97C65" w:rsidRPr="000876AA" w:rsidRDefault="00D97C65" w:rsidP="00D97C65">
            <w:pPr>
              <w:overflowPunct/>
              <w:autoSpaceDE/>
              <w:autoSpaceDN/>
              <w:adjustRightInd/>
              <w:jc w:val="center"/>
              <w:textAlignment w:val="auto"/>
              <w:rPr>
                <w:rFonts w:ascii="Arial" w:hAnsi="Arial" w:cs="Arial"/>
                <w:color w:val="000000"/>
                <w:sz w:val="18"/>
                <w:szCs w:val="18"/>
                <w:lang w:eastAsia="es-CO"/>
              </w:rPr>
            </w:pPr>
            <w:r w:rsidRPr="000876AA">
              <w:rPr>
                <w:rFonts w:ascii="Arial" w:hAnsi="Arial" w:cs="Arial"/>
                <w:b/>
                <w:bCs/>
                <w:color w:val="000000"/>
                <w:sz w:val="18"/>
                <w:szCs w:val="18"/>
                <w:lang w:eastAsia="es-CO"/>
              </w:rPr>
              <w:t>Acceso e Infraestructura Física:</w:t>
            </w:r>
            <w:r w:rsidRPr="000876AA">
              <w:rPr>
                <w:rFonts w:ascii="Arial" w:hAnsi="Arial" w:cs="Arial"/>
                <w:color w:val="000000"/>
                <w:sz w:val="18"/>
                <w:szCs w:val="18"/>
                <w:lang w:eastAsia="es-CO"/>
              </w:rPr>
              <w:t xml:space="preserve"> Ampliar, en todo el territorio nacional, el acceso a una justicia efectiva, pronta, equitativa e incluyente, reduciendo el atraso y la congestión, de acuerdo con las necesidades de la demanda de justicia por jurisdicción y especialidad, y mejorando la articulación con la justicia restaurativa y terapéutica, y otros mecanismos de solución de conflictos y consolidando una infraestructura física óptima para el acceso a la justicia.</w:t>
            </w:r>
            <w:r w:rsidRPr="000876AA">
              <w:rPr>
                <w:rFonts w:ascii="Arial" w:hAnsi="Arial" w:cs="Arial"/>
                <w:color w:val="000000"/>
                <w:sz w:val="18"/>
                <w:szCs w:val="18"/>
                <w:lang w:eastAsia="es-CO"/>
              </w:rPr>
              <w:br/>
            </w:r>
            <w:r w:rsidRPr="000876AA">
              <w:rPr>
                <w:rFonts w:ascii="Arial" w:hAnsi="Arial" w:cs="Arial"/>
                <w:color w:val="000000"/>
                <w:sz w:val="18"/>
                <w:szCs w:val="18"/>
                <w:lang w:eastAsia="es-CO"/>
              </w:rPr>
              <w:br/>
            </w:r>
            <w:r w:rsidRPr="000876AA">
              <w:rPr>
                <w:rFonts w:ascii="Arial" w:hAnsi="Arial" w:cs="Arial"/>
                <w:b/>
                <w:bCs/>
                <w:color w:val="000000"/>
                <w:sz w:val="18"/>
                <w:szCs w:val="18"/>
                <w:lang w:eastAsia="es-CO"/>
              </w:rPr>
              <w:t>Confianza pública, transparencia y rendición de cuentas:</w:t>
            </w:r>
            <w:r w:rsidRPr="000876AA">
              <w:rPr>
                <w:rFonts w:ascii="Arial" w:hAnsi="Arial" w:cs="Arial"/>
                <w:color w:val="000000"/>
                <w:sz w:val="18"/>
                <w:szCs w:val="18"/>
                <w:lang w:eastAsia="es-CO"/>
              </w:rPr>
              <w:t xml:space="preserve"> Aumentar la confianza pública en la justicia a través de la transparencia, la rendición de cuentas y la participación, incluyendo la información de justicia y la producción, gestión y acceso a las fuentes de derecho, el fortalecimiento del sistema de gestión de calidad y medio ambiente (SIGCMA) y el mejoramiento de la calidad y publicidad de la información. </w:t>
            </w:r>
            <w:r w:rsidRPr="000876AA">
              <w:rPr>
                <w:rFonts w:ascii="Arial" w:hAnsi="Arial" w:cs="Arial"/>
                <w:color w:val="000000"/>
                <w:sz w:val="18"/>
                <w:szCs w:val="18"/>
                <w:lang w:eastAsia="es-CO"/>
              </w:rPr>
              <w:br/>
            </w:r>
            <w:r w:rsidRPr="000876AA">
              <w:rPr>
                <w:rFonts w:ascii="Arial" w:hAnsi="Arial" w:cs="Arial"/>
                <w:color w:val="000000"/>
                <w:sz w:val="18"/>
                <w:szCs w:val="18"/>
                <w:lang w:eastAsia="es-CO"/>
              </w:rPr>
              <w:br/>
            </w:r>
            <w:r w:rsidRPr="000876AA">
              <w:rPr>
                <w:rFonts w:ascii="Arial" w:hAnsi="Arial" w:cs="Arial"/>
                <w:b/>
                <w:bCs/>
                <w:color w:val="000000"/>
                <w:sz w:val="18"/>
                <w:szCs w:val="18"/>
                <w:lang w:eastAsia="es-CO"/>
              </w:rPr>
              <w:t xml:space="preserve">Gobernanza, planeación estratégica y capacidad de toma de decisiones: </w:t>
            </w:r>
            <w:r w:rsidRPr="000876AA">
              <w:rPr>
                <w:rFonts w:ascii="Arial" w:hAnsi="Arial" w:cs="Arial"/>
                <w:color w:val="000000"/>
                <w:sz w:val="18"/>
                <w:szCs w:val="18"/>
                <w:lang w:eastAsia="es-CO"/>
              </w:rPr>
              <w:t>Fortalecer la gobernanza, la planeación estratégica y la capacidad de toma de decisiones de la Rama Judicial con base en la evidencia empírica y la articulación efectiva con las demás entidades, para que la perspectiva de género y el enfoque diferencial sean transversales en el presente plan.</w:t>
            </w:r>
            <w:r w:rsidRPr="000876AA">
              <w:rPr>
                <w:rFonts w:ascii="Arial" w:hAnsi="Arial" w:cs="Arial"/>
                <w:color w:val="000000"/>
                <w:sz w:val="18"/>
                <w:szCs w:val="18"/>
                <w:lang w:eastAsia="es-CO"/>
              </w:rPr>
              <w:br/>
            </w:r>
            <w:r w:rsidRPr="000876AA">
              <w:rPr>
                <w:rFonts w:ascii="Arial" w:hAnsi="Arial" w:cs="Arial"/>
                <w:color w:val="000000"/>
                <w:sz w:val="18"/>
                <w:szCs w:val="18"/>
                <w:lang w:eastAsia="es-CO"/>
              </w:rPr>
              <w:br/>
            </w:r>
            <w:r w:rsidRPr="000876AA">
              <w:rPr>
                <w:rFonts w:ascii="Arial" w:hAnsi="Arial" w:cs="Arial"/>
                <w:b/>
                <w:bCs/>
                <w:color w:val="000000"/>
                <w:sz w:val="18"/>
                <w:szCs w:val="18"/>
                <w:lang w:eastAsia="es-CO"/>
              </w:rPr>
              <w:t>Servicios digitales y de tecnología, innovación y análisis de la información:</w:t>
            </w:r>
            <w:r w:rsidRPr="000876AA">
              <w:rPr>
                <w:rFonts w:ascii="Arial" w:hAnsi="Arial" w:cs="Arial"/>
                <w:color w:val="000000"/>
                <w:sz w:val="18"/>
                <w:szCs w:val="18"/>
                <w:lang w:eastAsia="es-CO"/>
              </w:rPr>
              <w:t xml:space="preserve"> Consolidar una justicia integrada y soportada en servicios digitales y de tecnología, </w:t>
            </w:r>
            <w:r w:rsidRPr="000876AA">
              <w:rPr>
                <w:rFonts w:ascii="Arial" w:hAnsi="Arial" w:cs="Arial"/>
                <w:color w:val="000000"/>
                <w:sz w:val="18"/>
                <w:szCs w:val="18"/>
                <w:lang w:eastAsia="es-CO"/>
              </w:rPr>
              <w:lastRenderedPageBreak/>
              <w:t xml:space="preserve">innovación y análisis de la información, con una cultura digital apropiada, segura y sensible a las realidades del territorio nacional.  </w:t>
            </w:r>
            <w:r w:rsidRPr="000876AA">
              <w:rPr>
                <w:rFonts w:ascii="Arial" w:hAnsi="Arial" w:cs="Arial"/>
                <w:color w:val="000000"/>
                <w:sz w:val="18"/>
                <w:szCs w:val="18"/>
                <w:lang w:eastAsia="es-CO"/>
              </w:rPr>
              <w:br/>
            </w:r>
            <w:r w:rsidRPr="000876AA">
              <w:rPr>
                <w:rFonts w:ascii="Arial" w:hAnsi="Arial" w:cs="Arial"/>
                <w:color w:val="000000"/>
                <w:sz w:val="18"/>
                <w:szCs w:val="18"/>
                <w:lang w:eastAsia="es-CO"/>
              </w:rPr>
              <w:br/>
            </w:r>
            <w:r w:rsidRPr="000876AA">
              <w:rPr>
                <w:rFonts w:ascii="Arial" w:hAnsi="Arial" w:cs="Arial"/>
                <w:b/>
                <w:bCs/>
                <w:color w:val="000000"/>
                <w:sz w:val="18"/>
                <w:szCs w:val="18"/>
                <w:lang w:eastAsia="es-CO"/>
              </w:rPr>
              <w:t>Talento Humano:</w:t>
            </w:r>
            <w:r w:rsidRPr="000876AA">
              <w:rPr>
                <w:rFonts w:ascii="Arial" w:hAnsi="Arial" w:cs="Arial"/>
                <w:color w:val="000000"/>
                <w:sz w:val="18"/>
                <w:szCs w:val="18"/>
                <w:lang w:eastAsia="es-CO"/>
              </w:rPr>
              <w:t xml:space="preserve"> Fortalecer el talento humano en la Rama Judicial para que sea eficiente, capacitado y realice su labor en ambientes saludables y seguros. Ampliar la cobertura de la carrera judicial y mejorar la oferta de formación, que esté disponible para todos los servidores judiciales e impacte positivamente el servicio de justicia y responda a las necesidades reales del ejercicio de la función judicial."</w:t>
            </w: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0443D17B" w14:textId="77777777" w:rsidR="00D97C65" w:rsidRPr="000876AA" w:rsidRDefault="00D97C65" w:rsidP="00D97C65">
            <w:pPr>
              <w:overflowPunct/>
              <w:autoSpaceDE/>
              <w:autoSpaceDN/>
              <w:adjustRightInd/>
              <w:jc w:val="center"/>
              <w:textAlignment w:val="auto"/>
              <w:rPr>
                <w:rFonts w:ascii="Arial" w:hAnsi="Arial" w:cs="Arial"/>
                <w:b/>
                <w:bCs/>
                <w:color w:val="000000"/>
                <w:sz w:val="18"/>
                <w:szCs w:val="18"/>
                <w:lang w:eastAsia="es-CO"/>
              </w:rPr>
            </w:pPr>
            <w:r w:rsidRPr="000876AA">
              <w:rPr>
                <w:rFonts w:ascii="Arial" w:hAnsi="Arial" w:cs="Arial"/>
                <w:b/>
                <w:bCs/>
                <w:color w:val="000000"/>
                <w:sz w:val="18"/>
                <w:szCs w:val="18"/>
                <w:lang w:eastAsia="es-CO"/>
              </w:rPr>
              <w:lastRenderedPageBreak/>
              <w:t>ESTRATÉGICOS</w:t>
            </w:r>
          </w:p>
        </w:tc>
        <w:tc>
          <w:tcPr>
            <w:tcW w:w="3114" w:type="dxa"/>
            <w:tcBorders>
              <w:top w:val="nil"/>
              <w:left w:val="nil"/>
              <w:bottom w:val="single" w:sz="4" w:space="0" w:color="808080"/>
              <w:right w:val="single" w:sz="4" w:space="0" w:color="808080"/>
            </w:tcBorders>
            <w:shd w:val="clear" w:color="auto" w:fill="auto"/>
            <w:vAlign w:val="center"/>
            <w:hideMark/>
          </w:tcPr>
          <w:p w14:paraId="38C80F03" w14:textId="77777777" w:rsidR="00D97C65" w:rsidRPr="000876AA" w:rsidRDefault="00D97C65" w:rsidP="00D97C65">
            <w:pPr>
              <w:overflowPunct/>
              <w:autoSpaceDE/>
              <w:autoSpaceDN/>
              <w:adjustRightInd/>
              <w:jc w:val="both"/>
              <w:textAlignment w:val="auto"/>
              <w:rPr>
                <w:rFonts w:ascii="Arial" w:hAnsi="Arial" w:cs="Arial"/>
                <w:color w:val="000000"/>
                <w:sz w:val="18"/>
                <w:szCs w:val="18"/>
                <w:lang w:eastAsia="es-CO"/>
              </w:rPr>
            </w:pPr>
            <w:r w:rsidRPr="000876AA">
              <w:rPr>
                <w:rFonts w:ascii="Arial" w:hAnsi="Arial" w:cs="Arial"/>
                <w:color w:val="000000"/>
                <w:sz w:val="18"/>
                <w:szCs w:val="18"/>
                <w:lang w:eastAsia="es-CO"/>
              </w:rPr>
              <w:t xml:space="preserve">Planeación Estratégica </w:t>
            </w:r>
          </w:p>
        </w:tc>
        <w:tc>
          <w:tcPr>
            <w:tcW w:w="2124" w:type="dxa"/>
            <w:tcBorders>
              <w:top w:val="nil"/>
              <w:left w:val="nil"/>
              <w:bottom w:val="single" w:sz="4" w:space="0" w:color="808080"/>
              <w:right w:val="single" w:sz="8" w:space="0" w:color="002060"/>
            </w:tcBorders>
            <w:shd w:val="clear" w:color="auto" w:fill="auto"/>
            <w:vAlign w:val="center"/>
            <w:hideMark/>
          </w:tcPr>
          <w:p w14:paraId="6DF4A9D3" w14:textId="57DC68AD" w:rsidR="00D97C65" w:rsidRPr="000876AA" w:rsidRDefault="00D97C65" w:rsidP="00D97C65">
            <w:pPr>
              <w:overflowPunct/>
              <w:autoSpaceDE/>
              <w:autoSpaceDN/>
              <w:adjustRightInd/>
              <w:jc w:val="center"/>
              <w:textAlignment w:val="auto"/>
              <w:rPr>
                <w:rFonts w:ascii="Arial" w:hAnsi="Arial" w:cs="Arial"/>
                <w:b/>
                <w:bCs/>
                <w:color w:val="000000"/>
                <w:sz w:val="18"/>
                <w:szCs w:val="18"/>
                <w:lang w:eastAsia="es-CO"/>
              </w:rPr>
            </w:pPr>
          </w:p>
        </w:tc>
      </w:tr>
      <w:tr w:rsidR="00D97C65" w:rsidRPr="000876AA" w14:paraId="5508904A"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221FEF13" w14:textId="77777777" w:rsidR="00D97C65" w:rsidRPr="000876AA"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E235F4E" w14:textId="77777777" w:rsidR="00D97C65" w:rsidRPr="000876AA"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6E0BFE09" w14:textId="77777777" w:rsidR="00D97C65" w:rsidRPr="000876AA" w:rsidRDefault="00D97C65" w:rsidP="00D97C65">
            <w:pPr>
              <w:overflowPunct/>
              <w:autoSpaceDE/>
              <w:autoSpaceDN/>
              <w:adjustRightInd/>
              <w:jc w:val="both"/>
              <w:textAlignment w:val="auto"/>
              <w:rPr>
                <w:rFonts w:ascii="Arial" w:hAnsi="Arial" w:cs="Arial"/>
                <w:color w:val="000000"/>
                <w:sz w:val="18"/>
                <w:szCs w:val="18"/>
                <w:lang w:eastAsia="es-CO"/>
              </w:rPr>
            </w:pPr>
            <w:r w:rsidRPr="000876AA">
              <w:rPr>
                <w:rFonts w:ascii="Arial" w:hAnsi="Arial" w:cs="Arial"/>
                <w:color w:val="000000"/>
                <w:sz w:val="18"/>
                <w:szCs w:val="18"/>
                <w:lang w:eastAsia="es-CO"/>
              </w:rPr>
              <w:t xml:space="preserve">Comunicación Institucional, </w:t>
            </w:r>
          </w:p>
        </w:tc>
        <w:tc>
          <w:tcPr>
            <w:tcW w:w="2124" w:type="dxa"/>
            <w:tcBorders>
              <w:top w:val="nil"/>
              <w:left w:val="nil"/>
              <w:bottom w:val="single" w:sz="4" w:space="0" w:color="808080"/>
              <w:right w:val="single" w:sz="8" w:space="0" w:color="002060"/>
            </w:tcBorders>
            <w:shd w:val="clear" w:color="auto" w:fill="auto"/>
            <w:vAlign w:val="center"/>
            <w:hideMark/>
          </w:tcPr>
          <w:p w14:paraId="5D1DA324" w14:textId="125CB9A3" w:rsidR="00D97C65" w:rsidRPr="000876AA" w:rsidRDefault="00D97C65" w:rsidP="00D97C65">
            <w:pPr>
              <w:overflowPunct/>
              <w:autoSpaceDE/>
              <w:autoSpaceDN/>
              <w:adjustRightInd/>
              <w:jc w:val="center"/>
              <w:textAlignment w:val="auto"/>
              <w:rPr>
                <w:rFonts w:ascii="Arial" w:hAnsi="Arial" w:cs="Arial"/>
                <w:b/>
                <w:bCs/>
                <w:color w:val="000000"/>
                <w:sz w:val="18"/>
                <w:szCs w:val="18"/>
                <w:lang w:eastAsia="es-CO"/>
              </w:rPr>
            </w:pPr>
          </w:p>
        </w:tc>
      </w:tr>
      <w:tr w:rsidR="00D97C65" w:rsidRPr="000876AA" w14:paraId="2A1FB2A2"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44945C85" w14:textId="77777777" w:rsidR="00D97C65" w:rsidRPr="000876AA"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AAE3AE7" w14:textId="77777777" w:rsidR="00D97C65" w:rsidRPr="000876AA"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59166890" w14:textId="77777777" w:rsidR="00D97C65" w:rsidRPr="000876AA" w:rsidRDefault="00D97C65" w:rsidP="00D97C65">
            <w:pPr>
              <w:overflowPunct/>
              <w:autoSpaceDE/>
              <w:autoSpaceDN/>
              <w:adjustRightInd/>
              <w:jc w:val="both"/>
              <w:textAlignment w:val="auto"/>
              <w:rPr>
                <w:rFonts w:ascii="Arial" w:hAnsi="Arial" w:cs="Arial"/>
                <w:color w:val="000000"/>
                <w:sz w:val="18"/>
                <w:szCs w:val="18"/>
                <w:lang w:eastAsia="es-CO"/>
              </w:rPr>
            </w:pPr>
            <w:r w:rsidRPr="000876AA">
              <w:rPr>
                <w:rFonts w:ascii="Arial" w:hAnsi="Arial" w:cs="Arial"/>
                <w:color w:val="000000"/>
                <w:sz w:val="18"/>
                <w:szCs w:val="18"/>
                <w:lang w:eastAsia="es-CO"/>
              </w:rPr>
              <w:t>Gestión para la Integración de Listas de Altas Cortes</w:t>
            </w:r>
          </w:p>
        </w:tc>
        <w:tc>
          <w:tcPr>
            <w:tcW w:w="2124" w:type="dxa"/>
            <w:tcBorders>
              <w:top w:val="nil"/>
              <w:left w:val="nil"/>
              <w:bottom w:val="single" w:sz="4" w:space="0" w:color="808080"/>
              <w:right w:val="single" w:sz="8" w:space="0" w:color="002060"/>
            </w:tcBorders>
            <w:shd w:val="clear" w:color="auto" w:fill="auto"/>
            <w:vAlign w:val="center"/>
            <w:hideMark/>
          </w:tcPr>
          <w:p w14:paraId="4BB64270" w14:textId="34D60A7A" w:rsidR="00D97C65" w:rsidRPr="000876AA" w:rsidRDefault="00D97C65" w:rsidP="00D97C65">
            <w:pPr>
              <w:overflowPunct/>
              <w:autoSpaceDE/>
              <w:autoSpaceDN/>
              <w:adjustRightInd/>
              <w:jc w:val="center"/>
              <w:textAlignment w:val="auto"/>
              <w:rPr>
                <w:rFonts w:ascii="Arial" w:hAnsi="Arial" w:cs="Arial"/>
                <w:b/>
                <w:bCs/>
                <w:color w:val="000000"/>
                <w:sz w:val="18"/>
                <w:szCs w:val="18"/>
                <w:lang w:eastAsia="es-CO"/>
              </w:rPr>
            </w:pPr>
          </w:p>
        </w:tc>
      </w:tr>
      <w:tr w:rsidR="00D97C65" w:rsidRPr="000876AA" w14:paraId="2C2C1B89"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1D14B291" w14:textId="77777777" w:rsidR="00D97C65" w:rsidRPr="000876AA"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3E13239E" w14:textId="77777777" w:rsidR="00D97C65" w:rsidRPr="000876AA" w:rsidRDefault="00D97C65" w:rsidP="00D97C65">
            <w:pPr>
              <w:overflowPunct/>
              <w:autoSpaceDE/>
              <w:autoSpaceDN/>
              <w:adjustRightInd/>
              <w:jc w:val="center"/>
              <w:textAlignment w:val="auto"/>
              <w:rPr>
                <w:rFonts w:ascii="Arial" w:hAnsi="Arial" w:cs="Arial"/>
                <w:b/>
                <w:bCs/>
                <w:color w:val="000000"/>
                <w:sz w:val="18"/>
                <w:szCs w:val="18"/>
                <w:lang w:eastAsia="es-CO"/>
              </w:rPr>
            </w:pPr>
            <w:r w:rsidRPr="000876AA">
              <w:rPr>
                <w:rFonts w:ascii="Arial" w:hAnsi="Arial" w:cs="Arial"/>
                <w:b/>
                <w:bCs/>
                <w:color w:val="000000"/>
                <w:sz w:val="18"/>
                <w:szCs w:val="18"/>
                <w:lang w:eastAsia="es-CO"/>
              </w:rPr>
              <w:t>MISIONALES</w:t>
            </w:r>
          </w:p>
        </w:tc>
        <w:tc>
          <w:tcPr>
            <w:tcW w:w="3114" w:type="dxa"/>
            <w:tcBorders>
              <w:top w:val="nil"/>
              <w:left w:val="nil"/>
              <w:bottom w:val="single" w:sz="4" w:space="0" w:color="808080"/>
              <w:right w:val="single" w:sz="4" w:space="0" w:color="808080"/>
            </w:tcBorders>
            <w:shd w:val="clear" w:color="auto" w:fill="auto"/>
            <w:vAlign w:val="center"/>
            <w:hideMark/>
          </w:tcPr>
          <w:p w14:paraId="7F4A2E0D" w14:textId="77777777" w:rsidR="00D97C65" w:rsidRPr="000876AA" w:rsidRDefault="00D97C65" w:rsidP="00D97C65">
            <w:pPr>
              <w:overflowPunct/>
              <w:autoSpaceDE/>
              <w:autoSpaceDN/>
              <w:adjustRightInd/>
              <w:jc w:val="both"/>
              <w:textAlignment w:val="auto"/>
              <w:rPr>
                <w:rFonts w:ascii="Arial" w:hAnsi="Arial" w:cs="Arial"/>
                <w:color w:val="000000"/>
                <w:sz w:val="18"/>
                <w:szCs w:val="18"/>
                <w:lang w:eastAsia="es-CO"/>
              </w:rPr>
            </w:pPr>
            <w:r w:rsidRPr="000876AA">
              <w:rPr>
                <w:rFonts w:ascii="Arial" w:hAnsi="Arial" w:cs="Arial"/>
                <w:color w:val="000000"/>
                <w:sz w:val="18"/>
                <w:szCs w:val="18"/>
                <w:lang w:eastAsia="es-CO"/>
              </w:rPr>
              <w:t>Modernización de la Gestión Judicial</w:t>
            </w:r>
          </w:p>
        </w:tc>
        <w:tc>
          <w:tcPr>
            <w:tcW w:w="2124" w:type="dxa"/>
            <w:tcBorders>
              <w:top w:val="nil"/>
              <w:left w:val="nil"/>
              <w:bottom w:val="single" w:sz="4" w:space="0" w:color="808080"/>
              <w:right w:val="single" w:sz="8" w:space="0" w:color="002060"/>
            </w:tcBorders>
            <w:shd w:val="clear" w:color="auto" w:fill="auto"/>
            <w:vAlign w:val="center"/>
            <w:hideMark/>
          </w:tcPr>
          <w:p w14:paraId="5BD597C4" w14:textId="0B7C264D" w:rsidR="00D97C65" w:rsidRPr="000876AA"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0876AA" w14:paraId="534EB9E8"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33292EBD" w14:textId="77777777" w:rsidR="00D97C65" w:rsidRPr="000876AA"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4DF2C594" w14:textId="77777777" w:rsidR="00D97C65" w:rsidRPr="000876AA"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75928C17" w14:textId="77777777" w:rsidR="00D97C65" w:rsidRPr="000876AA" w:rsidRDefault="00D97C65" w:rsidP="00D97C65">
            <w:pPr>
              <w:overflowPunct/>
              <w:autoSpaceDE/>
              <w:autoSpaceDN/>
              <w:adjustRightInd/>
              <w:jc w:val="both"/>
              <w:textAlignment w:val="auto"/>
              <w:rPr>
                <w:rFonts w:ascii="Arial" w:hAnsi="Arial" w:cs="Arial"/>
                <w:color w:val="000000"/>
                <w:sz w:val="18"/>
                <w:szCs w:val="18"/>
                <w:lang w:eastAsia="es-CO"/>
              </w:rPr>
            </w:pPr>
            <w:r w:rsidRPr="000876AA">
              <w:rPr>
                <w:rFonts w:ascii="Arial" w:hAnsi="Arial" w:cs="Arial"/>
                <w:color w:val="000000"/>
                <w:sz w:val="18"/>
                <w:szCs w:val="18"/>
                <w:lang w:eastAsia="es-CO"/>
              </w:rPr>
              <w:t>Reordenamiento Judicial</w:t>
            </w:r>
          </w:p>
        </w:tc>
        <w:tc>
          <w:tcPr>
            <w:tcW w:w="2124" w:type="dxa"/>
            <w:tcBorders>
              <w:top w:val="nil"/>
              <w:left w:val="nil"/>
              <w:bottom w:val="single" w:sz="4" w:space="0" w:color="808080"/>
              <w:right w:val="single" w:sz="8" w:space="0" w:color="002060"/>
            </w:tcBorders>
            <w:shd w:val="clear" w:color="auto" w:fill="auto"/>
            <w:vAlign w:val="center"/>
            <w:hideMark/>
          </w:tcPr>
          <w:p w14:paraId="12153995" w14:textId="01148698" w:rsidR="00D97C65" w:rsidRPr="000876AA"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0876AA" w14:paraId="2DBAFBDF"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E3EDCA4" w14:textId="77777777" w:rsidR="00D97C65" w:rsidRPr="000876AA"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CA32D83" w14:textId="77777777" w:rsidR="00D97C65" w:rsidRPr="000876AA"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B15BB54" w14:textId="77777777" w:rsidR="00D97C65" w:rsidRPr="000876AA" w:rsidRDefault="00D97C65" w:rsidP="00D97C65">
            <w:pPr>
              <w:overflowPunct/>
              <w:autoSpaceDE/>
              <w:autoSpaceDN/>
              <w:adjustRightInd/>
              <w:jc w:val="both"/>
              <w:textAlignment w:val="auto"/>
              <w:rPr>
                <w:rFonts w:ascii="Arial" w:hAnsi="Arial" w:cs="Arial"/>
                <w:color w:val="000000"/>
                <w:sz w:val="18"/>
                <w:szCs w:val="18"/>
                <w:lang w:eastAsia="es-CO"/>
              </w:rPr>
            </w:pPr>
            <w:r w:rsidRPr="000876AA">
              <w:rPr>
                <w:rFonts w:ascii="Arial" w:hAnsi="Arial" w:cs="Arial"/>
                <w:color w:val="000000"/>
                <w:sz w:val="18"/>
                <w:szCs w:val="18"/>
                <w:lang w:eastAsia="es-CO"/>
              </w:rPr>
              <w:t>Mejoramiento de la Infraestructura Física</w:t>
            </w:r>
          </w:p>
        </w:tc>
        <w:tc>
          <w:tcPr>
            <w:tcW w:w="2124" w:type="dxa"/>
            <w:tcBorders>
              <w:top w:val="nil"/>
              <w:left w:val="nil"/>
              <w:bottom w:val="single" w:sz="4" w:space="0" w:color="808080"/>
              <w:right w:val="single" w:sz="8" w:space="0" w:color="002060"/>
            </w:tcBorders>
            <w:shd w:val="clear" w:color="auto" w:fill="auto"/>
            <w:vAlign w:val="center"/>
            <w:hideMark/>
          </w:tcPr>
          <w:p w14:paraId="4BC05CF5" w14:textId="40DCB34E" w:rsidR="00D97C65" w:rsidRPr="000876AA"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0876AA" w14:paraId="0AC54331"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95D5DD2" w14:textId="77777777" w:rsidR="00D97C65" w:rsidRPr="000876AA"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DE529E4" w14:textId="77777777" w:rsidR="00D97C65" w:rsidRPr="000876AA"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B84D92F" w14:textId="77777777" w:rsidR="00D97C65" w:rsidRPr="000876AA" w:rsidRDefault="00D97C65" w:rsidP="00D97C65">
            <w:pPr>
              <w:overflowPunct/>
              <w:autoSpaceDE/>
              <w:autoSpaceDN/>
              <w:adjustRightInd/>
              <w:jc w:val="both"/>
              <w:textAlignment w:val="auto"/>
              <w:rPr>
                <w:rFonts w:ascii="Arial" w:hAnsi="Arial" w:cs="Arial"/>
                <w:color w:val="000000"/>
                <w:sz w:val="18"/>
                <w:szCs w:val="18"/>
                <w:lang w:eastAsia="es-CO"/>
              </w:rPr>
            </w:pPr>
            <w:r w:rsidRPr="000876AA">
              <w:rPr>
                <w:rFonts w:ascii="Arial" w:hAnsi="Arial" w:cs="Arial"/>
                <w:color w:val="000000"/>
                <w:sz w:val="18"/>
                <w:szCs w:val="18"/>
                <w:lang w:eastAsia="es-CO"/>
              </w:rPr>
              <w:t>Administración de la Carrera Judicial</w:t>
            </w:r>
          </w:p>
        </w:tc>
        <w:tc>
          <w:tcPr>
            <w:tcW w:w="2124" w:type="dxa"/>
            <w:tcBorders>
              <w:top w:val="nil"/>
              <w:left w:val="nil"/>
              <w:bottom w:val="single" w:sz="4" w:space="0" w:color="808080"/>
              <w:right w:val="single" w:sz="8" w:space="0" w:color="002060"/>
            </w:tcBorders>
            <w:shd w:val="clear" w:color="auto" w:fill="auto"/>
            <w:vAlign w:val="center"/>
            <w:hideMark/>
          </w:tcPr>
          <w:p w14:paraId="228CB33F" w14:textId="6DD78BA1" w:rsidR="00D97C65" w:rsidRPr="000876AA"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0876AA" w14:paraId="26FA995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4CAF7755" w14:textId="77777777" w:rsidR="00D97C65" w:rsidRPr="000876AA"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0281CB21" w14:textId="77777777" w:rsidR="00D97C65" w:rsidRPr="000876AA"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485A5CE5" w14:textId="77777777" w:rsidR="00D97C65" w:rsidRPr="000876AA" w:rsidRDefault="00D97C65" w:rsidP="00D97C65">
            <w:pPr>
              <w:overflowPunct/>
              <w:autoSpaceDE/>
              <w:autoSpaceDN/>
              <w:adjustRightInd/>
              <w:jc w:val="both"/>
              <w:textAlignment w:val="auto"/>
              <w:rPr>
                <w:rFonts w:ascii="Arial" w:hAnsi="Arial" w:cs="Arial"/>
                <w:color w:val="000000"/>
                <w:sz w:val="18"/>
                <w:szCs w:val="18"/>
                <w:lang w:eastAsia="es-CO"/>
              </w:rPr>
            </w:pPr>
            <w:r w:rsidRPr="000876AA">
              <w:rPr>
                <w:rFonts w:ascii="Arial" w:hAnsi="Arial" w:cs="Arial"/>
                <w:color w:val="000000"/>
                <w:sz w:val="18"/>
                <w:szCs w:val="18"/>
                <w:lang w:eastAsia="es-CO"/>
              </w:rPr>
              <w:t>Gestión de la Formación Judicial</w:t>
            </w:r>
          </w:p>
        </w:tc>
        <w:tc>
          <w:tcPr>
            <w:tcW w:w="2124" w:type="dxa"/>
            <w:tcBorders>
              <w:top w:val="nil"/>
              <w:left w:val="nil"/>
              <w:bottom w:val="single" w:sz="4" w:space="0" w:color="808080"/>
              <w:right w:val="single" w:sz="8" w:space="0" w:color="002060"/>
            </w:tcBorders>
            <w:shd w:val="clear" w:color="auto" w:fill="auto"/>
            <w:vAlign w:val="center"/>
            <w:hideMark/>
          </w:tcPr>
          <w:p w14:paraId="4DAAA7F7" w14:textId="23F9CA90" w:rsidR="00D97C65" w:rsidRPr="000876AA"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0876AA" w14:paraId="1C94911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6D9FDBD" w14:textId="77777777" w:rsidR="00D97C65" w:rsidRPr="000876AA"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23E83904" w14:textId="77777777" w:rsidR="00D97C65" w:rsidRPr="000876AA"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EE023F3" w14:textId="77777777" w:rsidR="00D97C65" w:rsidRPr="000876AA" w:rsidRDefault="00D97C65" w:rsidP="00D97C65">
            <w:pPr>
              <w:overflowPunct/>
              <w:autoSpaceDE/>
              <w:autoSpaceDN/>
              <w:adjustRightInd/>
              <w:jc w:val="both"/>
              <w:textAlignment w:val="auto"/>
              <w:rPr>
                <w:rFonts w:ascii="Arial" w:hAnsi="Arial" w:cs="Arial"/>
                <w:color w:val="000000"/>
                <w:sz w:val="18"/>
                <w:szCs w:val="18"/>
                <w:lang w:eastAsia="es-CO"/>
              </w:rPr>
            </w:pPr>
            <w:r w:rsidRPr="000876AA">
              <w:rPr>
                <w:rFonts w:ascii="Arial" w:hAnsi="Arial" w:cs="Arial"/>
                <w:color w:val="000000"/>
                <w:sz w:val="18"/>
                <w:szCs w:val="18"/>
                <w:lang w:eastAsia="es-CO"/>
              </w:rPr>
              <w:t>Gestión de la Información Judicial</w:t>
            </w:r>
          </w:p>
        </w:tc>
        <w:tc>
          <w:tcPr>
            <w:tcW w:w="2124" w:type="dxa"/>
            <w:tcBorders>
              <w:top w:val="nil"/>
              <w:left w:val="nil"/>
              <w:bottom w:val="single" w:sz="4" w:space="0" w:color="808080"/>
              <w:right w:val="single" w:sz="8" w:space="0" w:color="002060"/>
            </w:tcBorders>
            <w:shd w:val="clear" w:color="auto" w:fill="auto"/>
            <w:vAlign w:val="center"/>
            <w:hideMark/>
          </w:tcPr>
          <w:p w14:paraId="17CFDE6C" w14:textId="3AF35467" w:rsidR="00D97C65" w:rsidRPr="000876AA"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0876AA" w14:paraId="35B57305"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A8F714F" w14:textId="77777777" w:rsidR="00D97C65" w:rsidRPr="000876AA"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BFA9587" w14:textId="77777777" w:rsidR="00D97C65" w:rsidRPr="000876AA"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7472DDE" w14:textId="77777777" w:rsidR="00D97C65" w:rsidRPr="000876AA" w:rsidRDefault="00D97C65" w:rsidP="00D97C65">
            <w:pPr>
              <w:overflowPunct/>
              <w:autoSpaceDE/>
              <w:autoSpaceDN/>
              <w:adjustRightInd/>
              <w:jc w:val="both"/>
              <w:textAlignment w:val="auto"/>
              <w:rPr>
                <w:rFonts w:ascii="Arial" w:hAnsi="Arial" w:cs="Arial"/>
                <w:color w:val="000000"/>
                <w:sz w:val="18"/>
                <w:szCs w:val="18"/>
                <w:lang w:eastAsia="es-CO"/>
              </w:rPr>
            </w:pPr>
            <w:r w:rsidRPr="000876AA">
              <w:rPr>
                <w:rFonts w:ascii="Arial" w:hAnsi="Arial" w:cs="Arial"/>
                <w:color w:val="000000"/>
                <w:sz w:val="18"/>
                <w:szCs w:val="18"/>
                <w:lang w:eastAsia="es-CO"/>
              </w:rPr>
              <w:t>Registro y Control de Abogados y Auxiliares de la Justicia</w:t>
            </w:r>
          </w:p>
        </w:tc>
        <w:tc>
          <w:tcPr>
            <w:tcW w:w="2124" w:type="dxa"/>
            <w:tcBorders>
              <w:top w:val="nil"/>
              <w:left w:val="nil"/>
              <w:bottom w:val="single" w:sz="4" w:space="0" w:color="808080"/>
              <w:right w:val="single" w:sz="8" w:space="0" w:color="002060"/>
            </w:tcBorders>
            <w:shd w:val="clear" w:color="auto" w:fill="auto"/>
            <w:vAlign w:val="center"/>
            <w:hideMark/>
          </w:tcPr>
          <w:p w14:paraId="20B75E9D" w14:textId="6EE74FF5" w:rsidR="00D97C65" w:rsidRPr="000876AA"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0876AA" w14:paraId="7FDB1052"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D0A5352" w14:textId="77777777" w:rsidR="00D97C65" w:rsidRPr="000876AA"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val="restart"/>
            <w:tcBorders>
              <w:top w:val="nil"/>
              <w:left w:val="single" w:sz="4" w:space="0" w:color="808080"/>
              <w:bottom w:val="single" w:sz="4" w:space="0" w:color="808080"/>
              <w:right w:val="single" w:sz="4" w:space="0" w:color="808080"/>
            </w:tcBorders>
            <w:shd w:val="clear" w:color="auto" w:fill="auto"/>
            <w:vAlign w:val="center"/>
            <w:hideMark/>
          </w:tcPr>
          <w:p w14:paraId="602B35B9" w14:textId="77777777" w:rsidR="00D97C65" w:rsidRPr="000876AA" w:rsidRDefault="00D97C65" w:rsidP="00D97C65">
            <w:pPr>
              <w:overflowPunct/>
              <w:autoSpaceDE/>
              <w:autoSpaceDN/>
              <w:adjustRightInd/>
              <w:jc w:val="center"/>
              <w:textAlignment w:val="auto"/>
              <w:rPr>
                <w:rFonts w:ascii="Arial" w:hAnsi="Arial" w:cs="Arial"/>
                <w:b/>
                <w:bCs/>
                <w:color w:val="000000"/>
                <w:sz w:val="18"/>
                <w:szCs w:val="18"/>
                <w:lang w:eastAsia="es-CO"/>
              </w:rPr>
            </w:pPr>
            <w:r w:rsidRPr="000876AA">
              <w:rPr>
                <w:rFonts w:ascii="Arial" w:hAnsi="Arial" w:cs="Arial"/>
                <w:b/>
                <w:bCs/>
                <w:color w:val="000000"/>
                <w:sz w:val="18"/>
                <w:szCs w:val="18"/>
                <w:lang w:eastAsia="es-CO"/>
              </w:rPr>
              <w:t>APOYO</w:t>
            </w:r>
          </w:p>
        </w:tc>
        <w:tc>
          <w:tcPr>
            <w:tcW w:w="3114" w:type="dxa"/>
            <w:tcBorders>
              <w:top w:val="nil"/>
              <w:left w:val="nil"/>
              <w:bottom w:val="single" w:sz="4" w:space="0" w:color="808080"/>
              <w:right w:val="single" w:sz="4" w:space="0" w:color="808080"/>
            </w:tcBorders>
            <w:shd w:val="clear" w:color="auto" w:fill="auto"/>
            <w:vAlign w:val="center"/>
            <w:hideMark/>
          </w:tcPr>
          <w:p w14:paraId="74B8D83D" w14:textId="77777777" w:rsidR="00D97C65" w:rsidRPr="000876AA" w:rsidRDefault="00D97C65" w:rsidP="00D97C65">
            <w:pPr>
              <w:overflowPunct/>
              <w:autoSpaceDE/>
              <w:autoSpaceDN/>
              <w:adjustRightInd/>
              <w:jc w:val="both"/>
              <w:textAlignment w:val="auto"/>
              <w:rPr>
                <w:rFonts w:ascii="Arial" w:hAnsi="Arial" w:cs="Arial"/>
                <w:color w:val="000000"/>
                <w:sz w:val="18"/>
                <w:szCs w:val="18"/>
                <w:lang w:eastAsia="es-CO"/>
              </w:rPr>
            </w:pPr>
            <w:r w:rsidRPr="000876AA">
              <w:rPr>
                <w:rFonts w:ascii="Arial" w:hAnsi="Arial" w:cs="Arial"/>
                <w:color w:val="000000"/>
                <w:sz w:val="18"/>
                <w:szCs w:val="18"/>
                <w:lang w:eastAsia="es-CO"/>
              </w:rPr>
              <w:t>Gestión Documental</w:t>
            </w:r>
          </w:p>
        </w:tc>
        <w:tc>
          <w:tcPr>
            <w:tcW w:w="2124" w:type="dxa"/>
            <w:tcBorders>
              <w:top w:val="nil"/>
              <w:left w:val="nil"/>
              <w:bottom w:val="single" w:sz="4" w:space="0" w:color="808080"/>
              <w:right w:val="single" w:sz="8" w:space="0" w:color="002060"/>
            </w:tcBorders>
            <w:shd w:val="clear" w:color="auto" w:fill="auto"/>
            <w:vAlign w:val="center"/>
            <w:hideMark/>
          </w:tcPr>
          <w:p w14:paraId="724C9AC9" w14:textId="367984C5" w:rsidR="00D97C65" w:rsidRPr="000876AA"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0876AA" w14:paraId="6EB0C777"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120E0B02" w14:textId="77777777" w:rsidR="00D97C65" w:rsidRPr="000876AA"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FC910E3" w14:textId="77777777" w:rsidR="00D97C65" w:rsidRPr="000876AA"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F99A10B" w14:textId="77777777" w:rsidR="00D97C65" w:rsidRPr="000876AA" w:rsidRDefault="00D97C65" w:rsidP="00D97C65">
            <w:pPr>
              <w:overflowPunct/>
              <w:autoSpaceDE/>
              <w:autoSpaceDN/>
              <w:adjustRightInd/>
              <w:jc w:val="both"/>
              <w:textAlignment w:val="auto"/>
              <w:rPr>
                <w:rFonts w:ascii="Arial" w:hAnsi="Arial" w:cs="Arial"/>
                <w:color w:val="000000"/>
                <w:sz w:val="18"/>
                <w:szCs w:val="18"/>
                <w:lang w:eastAsia="es-CO"/>
              </w:rPr>
            </w:pPr>
            <w:r w:rsidRPr="000876AA">
              <w:rPr>
                <w:rFonts w:ascii="Arial" w:hAnsi="Arial" w:cs="Arial"/>
                <w:color w:val="000000"/>
                <w:sz w:val="18"/>
                <w:szCs w:val="18"/>
                <w:lang w:eastAsia="es-CO"/>
              </w:rPr>
              <w:t>Gestión de Seguridad y Salud Ocupacional</w:t>
            </w:r>
          </w:p>
        </w:tc>
        <w:tc>
          <w:tcPr>
            <w:tcW w:w="2124" w:type="dxa"/>
            <w:tcBorders>
              <w:top w:val="nil"/>
              <w:left w:val="nil"/>
              <w:bottom w:val="single" w:sz="4" w:space="0" w:color="808080"/>
              <w:right w:val="single" w:sz="8" w:space="0" w:color="002060"/>
            </w:tcBorders>
            <w:shd w:val="clear" w:color="auto" w:fill="auto"/>
            <w:vAlign w:val="center"/>
            <w:hideMark/>
          </w:tcPr>
          <w:p w14:paraId="63C3EEE6" w14:textId="77E565A6" w:rsidR="00D97C65" w:rsidRPr="000876AA"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0876AA" w14:paraId="20D10C5C"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EE11F3D" w14:textId="77777777" w:rsidR="00D97C65" w:rsidRPr="000876AA"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6D781623" w14:textId="77777777" w:rsidR="00D97C65" w:rsidRPr="000876AA"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2F638A6" w14:textId="77777777" w:rsidR="00D97C65" w:rsidRPr="000876AA" w:rsidRDefault="00D97C65" w:rsidP="00D97C65">
            <w:pPr>
              <w:overflowPunct/>
              <w:autoSpaceDE/>
              <w:autoSpaceDN/>
              <w:adjustRightInd/>
              <w:jc w:val="both"/>
              <w:textAlignment w:val="auto"/>
              <w:rPr>
                <w:rFonts w:ascii="Arial" w:hAnsi="Arial" w:cs="Arial"/>
                <w:color w:val="000000"/>
                <w:sz w:val="18"/>
                <w:szCs w:val="18"/>
                <w:lang w:eastAsia="es-CO"/>
              </w:rPr>
            </w:pPr>
            <w:r w:rsidRPr="000876AA">
              <w:rPr>
                <w:rFonts w:ascii="Arial" w:hAnsi="Arial" w:cs="Arial"/>
                <w:color w:val="000000"/>
                <w:sz w:val="18"/>
                <w:szCs w:val="18"/>
                <w:lang w:eastAsia="es-CO"/>
              </w:rPr>
              <w:t>Gestión Tecnológica</w:t>
            </w:r>
          </w:p>
        </w:tc>
        <w:tc>
          <w:tcPr>
            <w:tcW w:w="2124" w:type="dxa"/>
            <w:tcBorders>
              <w:top w:val="nil"/>
              <w:left w:val="nil"/>
              <w:bottom w:val="single" w:sz="4" w:space="0" w:color="808080"/>
              <w:right w:val="single" w:sz="8" w:space="0" w:color="002060"/>
            </w:tcBorders>
            <w:shd w:val="clear" w:color="auto" w:fill="auto"/>
            <w:vAlign w:val="center"/>
            <w:hideMark/>
          </w:tcPr>
          <w:p w14:paraId="2AE7FC91" w14:textId="3CC1F51E" w:rsidR="00D97C65" w:rsidRPr="000876AA"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0876AA" w14:paraId="5D1E913F"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ED3FC6B" w14:textId="77777777" w:rsidR="00D97C65" w:rsidRPr="000876AA"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758743EC" w14:textId="77777777" w:rsidR="00D97C65" w:rsidRPr="000876AA"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6145B7A2" w14:textId="77777777" w:rsidR="00D97C65" w:rsidRPr="000876AA" w:rsidRDefault="00D97C65" w:rsidP="00D97C65">
            <w:pPr>
              <w:overflowPunct/>
              <w:autoSpaceDE/>
              <w:autoSpaceDN/>
              <w:adjustRightInd/>
              <w:jc w:val="both"/>
              <w:textAlignment w:val="auto"/>
              <w:rPr>
                <w:rFonts w:ascii="Arial" w:hAnsi="Arial" w:cs="Arial"/>
                <w:color w:val="000000"/>
                <w:sz w:val="18"/>
                <w:szCs w:val="18"/>
                <w:lang w:eastAsia="es-CO"/>
              </w:rPr>
            </w:pPr>
            <w:r w:rsidRPr="000876AA">
              <w:rPr>
                <w:rFonts w:ascii="Arial" w:hAnsi="Arial" w:cs="Arial"/>
                <w:color w:val="000000"/>
                <w:sz w:val="18"/>
                <w:szCs w:val="18"/>
                <w:lang w:eastAsia="es-CO"/>
              </w:rPr>
              <w:t>Administración de la Seguridad</w:t>
            </w:r>
          </w:p>
        </w:tc>
        <w:tc>
          <w:tcPr>
            <w:tcW w:w="2124" w:type="dxa"/>
            <w:tcBorders>
              <w:top w:val="nil"/>
              <w:left w:val="nil"/>
              <w:bottom w:val="single" w:sz="4" w:space="0" w:color="808080"/>
              <w:right w:val="single" w:sz="8" w:space="0" w:color="002060"/>
            </w:tcBorders>
            <w:shd w:val="clear" w:color="auto" w:fill="auto"/>
            <w:vAlign w:val="center"/>
            <w:hideMark/>
          </w:tcPr>
          <w:p w14:paraId="4AA2A847" w14:textId="6E630E75" w:rsidR="00D97C65" w:rsidRPr="000876AA"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0876AA" w14:paraId="48C7267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8B6F57A" w14:textId="77777777" w:rsidR="00D97C65" w:rsidRPr="000876AA"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DF43020" w14:textId="77777777" w:rsidR="00D97C65" w:rsidRPr="000876AA"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BE6F732" w14:textId="77777777" w:rsidR="00D97C65" w:rsidRPr="000876AA" w:rsidRDefault="00D97C65" w:rsidP="00D97C65">
            <w:pPr>
              <w:overflowPunct/>
              <w:autoSpaceDE/>
              <w:autoSpaceDN/>
              <w:adjustRightInd/>
              <w:jc w:val="both"/>
              <w:textAlignment w:val="auto"/>
              <w:rPr>
                <w:rFonts w:ascii="Arial" w:hAnsi="Arial" w:cs="Arial"/>
                <w:color w:val="000000"/>
                <w:sz w:val="18"/>
                <w:szCs w:val="18"/>
                <w:lang w:eastAsia="es-CO"/>
              </w:rPr>
            </w:pPr>
            <w:r w:rsidRPr="000876AA">
              <w:rPr>
                <w:rFonts w:ascii="Arial" w:hAnsi="Arial" w:cs="Arial"/>
                <w:color w:val="000000"/>
                <w:sz w:val="18"/>
                <w:szCs w:val="18"/>
                <w:lang w:eastAsia="es-CO"/>
              </w:rPr>
              <w:t>Gestión Humana</w:t>
            </w:r>
          </w:p>
        </w:tc>
        <w:tc>
          <w:tcPr>
            <w:tcW w:w="2124" w:type="dxa"/>
            <w:tcBorders>
              <w:top w:val="nil"/>
              <w:left w:val="nil"/>
              <w:bottom w:val="single" w:sz="4" w:space="0" w:color="808080"/>
              <w:right w:val="single" w:sz="8" w:space="0" w:color="002060"/>
            </w:tcBorders>
            <w:shd w:val="clear" w:color="auto" w:fill="auto"/>
            <w:vAlign w:val="center"/>
            <w:hideMark/>
          </w:tcPr>
          <w:p w14:paraId="26A5FC27" w14:textId="692EA021" w:rsidR="00D97C65" w:rsidRPr="000876AA"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0876AA" w14:paraId="6947C43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1B1C0D02" w14:textId="77777777" w:rsidR="00D97C65" w:rsidRPr="000876AA"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E2BD4C7" w14:textId="77777777" w:rsidR="00D97C65" w:rsidRPr="000876AA"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28EA1F9" w14:textId="77777777" w:rsidR="00D97C65" w:rsidRPr="000876AA" w:rsidRDefault="00D97C65" w:rsidP="00D97C65">
            <w:pPr>
              <w:overflowPunct/>
              <w:autoSpaceDE/>
              <w:autoSpaceDN/>
              <w:adjustRightInd/>
              <w:jc w:val="both"/>
              <w:textAlignment w:val="auto"/>
              <w:rPr>
                <w:rFonts w:ascii="Arial" w:hAnsi="Arial" w:cs="Arial"/>
                <w:color w:val="000000"/>
                <w:sz w:val="18"/>
                <w:szCs w:val="18"/>
                <w:lang w:eastAsia="es-CO"/>
              </w:rPr>
            </w:pPr>
            <w:r w:rsidRPr="000876AA">
              <w:rPr>
                <w:rFonts w:ascii="Arial" w:hAnsi="Arial" w:cs="Arial"/>
                <w:color w:val="000000"/>
                <w:sz w:val="18"/>
                <w:szCs w:val="18"/>
                <w:lang w:eastAsia="es-CO"/>
              </w:rPr>
              <w:t>Gestión Administrativa</w:t>
            </w:r>
          </w:p>
        </w:tc>
        <w:tc>
          <w:tcPr>
            <w:tcW w:w="2124" w:type="dxa"/>
            <w:tcBorders>
              <w:top w:val="nil"/>
              <w:left w:val="nil"/>
              <w:bottom w:val="single" w:sz="4" w:space="0" w:color="808080"/>
              <w:right w:val="single" w:sz="8" w:space="0" w:color="002060"/>
            </w:tcBorders>
            <w:shd w:val="clear" w:color="auto" w:fill="auto"/>
            <w:vAlign w:val="center"/>
            <w:hideMark/>
          </w:tcPr>
          <w:p w14:paraId="04E89278" w14:textId="0EA516A9" w:rsidR="00D97C65" w:rsidRPr="000876AA"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0876AA" w14:paraId="0225AFD8"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014005F2" w14:textId="77777777" w:rsidR="00D97C65" w:rsidRPr="000876AA"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030C7B8" w14:textId="77777777" w:rsidR="00D97C65" w:rsidRPr="000876AA"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3A6A972A" w14:textId="77777777" w:rsidR="00D97C65" w:rsidRPr="000876AA" w:rsidRDefault="00D97C65" w:rsidP="00D97C65">
            <w:pPr>
              <w:overflowPunct/>
              <w:autoSpaceDE/>
              <w:autoSpaceDN/>
              <w:adjustRightInd/>
              <w:jc w:val="both"/>
              <w:textAlignment w:val="auto"/>
              <w:rPr>
                <w:rFonts w:ascii="Arial" w:hAnsi="Arial" w:cs="Arial"/>
                <w:color w:val="000000"/>
                <w:sz w:val="18"/>
                <w:szCs w:val="18"/>
                <w:lang w:eastAsia="es-CO"/>
              </w:rPr>
            </w:pPr>
            <w:r w:rsidRPr="000876AA">
              <w:rPr>
                <w:rFonts w:ascii="Arial" w:hAnsi="Arial" w:cs="Arial"/>
                <w:color w:val="000000"/>
                <w:sz w:val="18"/>
                <w:szCs w:val="18"/>
                <w:lang w:eastAsia="es-CO"/>
              </w:rPr>
              <w:t>Gestión de Compra Pública</w:t>
            </w:r>
          </w:p>
        </w:tc>
        <w:tc>
          <w:tcPr>
            <w:tcW w:w="2124" w:type="dxa"/>
            <w:tcBorders>
              <w:top w:val="nil"/>
              <w:left w:val="nil"/>
              <w:bottom w:val="single" w:sz="4" w:space="0" w:color="808080"/>
              <w:right w:val="single" w:sz="8" w:space="0" w:color="002060"/>
            </w:tcBorders>
            <w:shd w:val="clear" w:color="auto" w:fill="auto"/>
            <w:vAlign w:val="center"/>
            <w:hideMark/>
          </w:tcPr>
          <w:p w14:paraId="263609E0" w14:textId="51B7AE43" w:rsidR="00D97C65" w:rsidRPr="000876AA"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0876AA" w14:paraId="06C293B8"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AD7A04C" w14:textId="77777777" w:rsidR="00D97C65" w:rsidRPr="000876AA"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3D2D719B" w14:textId="77777777" w:rsidR="00D97C65" w:rsidRPr="000876AA"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136C2ABE" w14:textId="77777777" w:rsidR="00D97C65" w:rsidRPr="000876AA" w:rsidRDefault="00D97C65" w:rsidP="00D97C65">
            <w:pPr>
              <w:overflowPunct/>
              <w:autoSpaceDE/>
              <w:autoSpaceDN/>
              <w:adjustRightInd/>
              <w:jc w:val="both"/>
              <w:textAlignment w:val="auto"/>
              <w:rPr>
                <w:rFonts w:ascii="Arial" w:hAnsi="Arial" w:cs="Arial"/>
                <w:color w:val="000000"/>
                <w:sz w:val="18"/>
                <w:szCs w:val="18"/>
                <w:lang w:eastAsia="es-CO"/>
              </w:rPr>
            </w:pPr>
            <w:r w:rsidRPr="000876AA">
              <w:rPr>
                <w:rFonts w:ascii="Arial" w:hAnsi="Arial" w:cs="Arial"/>
                <w:color w:val="000000"/>
                <w:sz w:val="18"/>
                <w:szCs w:val="18"/>
                <w:lang w:eastAsia="es-CO"/>
              </w:rPr>
              <w:t>Gestión Financiera y Presupuestal</w:t>
            </w:r>
          </w:p>
        </w:tc>
        <w:tc>
          <w:tcPr>
            <w:tcW w:w="2124" w:type="dxa"/>
            <w:tcBorders>
              <w:top w:val="nil"/>
              <w:left w:val="nil"/>
              <w:bottom w:val="single" w:sz="4" w:space="0" w:color="808080"/>
              <w:right w:val="single" w:sz="8" w:space="0" w:color="002060"/>
            </w:tcBorders>
            <w:shd w:val="clear" w:color="auto" w:fill="auto"/>
            <w:vAlign w:val="center"/>
            <w:hideMark/>
          </w:tcPr>
          <w:p w14:paraId="37B06FEC" w14:textId="501E0206" w:rsidR="00D97C65" w:rsidRPr="000876AA" w:rsidRDefault="00AB6499" w:rsidP="00D97C65">
            <w:pPr>
              <w:overflowPunct/>
              <w:autoSpaceDE/>
              <w:autoSpaceDN/>
              <w:adjustRightInd/>
              <w:jc w:val="center"/>
              <w:textAlignment w:val="auto"/>
              <w:rPr>
                <w:rFonts w:ascii="Arial" w:hAnsi="Arial" w:cs="Arial"/>
                <w:b/>
                <w:color w:val="000000"/>
                <w:sz w:val="18"/>
                <w:szCs w:val="18"/>
                <w:lang w:eastAsia="es-CO"/>
              </w:rPr>
            </w:pPr>
            <w:r w:rsidRPr="000876AA">
              <w:rPr>
                <w:rFonts w:ascii="Arial" w:hAnsi="Arial" w:cs="Arial"/>
                <w:b/>
                <w:color w:val="000000"/>
                <w:sz w:val="18"/>
                <w:szCs w:val="18"/>
                <w:lang w:eastAsia="es-CO"/>
              </w:rPr>
              <w:t>X</w:t>
            </w:r>
          </w:p>
        </w:tc>
      </w:tr>
      <w:tr w:rsidR="00D97C65" w:rsidRPr="000876AA" w14:paraId="6F267F92"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71A9AB4B" w14:textId="77777777" w:rsidR="00D97C65" w:rsidRPr="000876AA"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51D57F5" w14:textId="77777777" w:rsidR="00D97C65" w:rsidRPr="000876AA"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1C40149" w14:textId="77777777" w:rsidR="00D97C65" w:rsidRPr="000876AA" w:rsidRDefault="00D97C65" w:rsidP="00D97C65">
            <w:pPr>
              <w:overflowPunct/>
              <w:autoSpaceDE/>
              <w:autoSpaceDN/>
              <w:adjustRightInd/>
              <w:jc w:val="both"/>
              <w:textAlignment w:val="auto"/>
              <w:rPr>
                <w:rFonts w:ascii="Arial" w:hAnsi="Arial" w:cs="Arial"/>
                <w:color w:val="000000"/>
                <w:sz w:val="18"/>
                <w:szCs w:val="18"/>
                <w:lang w:eastAsia="es-CO"/>
              </w:rPr>
            </w:pPr>
            <w:r w:rsidRPr="000876AA">
              <w:rPr>
                <w:rFonts w:ascii="Arial" w:hAnsi="Arial" w:cs="Arial"/>
                <w:color w:val="000000"/>
                <w:sz w:val="18"/>
                <w:szCs w:val="18"/>
                <w:lang w:eastAsia="es-CO"/>
              </w:rPr>
              <w:t>Asistencia Legal</w:t>
            </w:r>
          </w:p>
        </w:tc>
        <w:tc>
          <w:tcPr>
            <w:tcW w:w="2124" w:type="dxa"/>
            <w:tcBorders>
              <w:top w:val="nil"/>
              <w:left w:val="nil"/>
              <w:bottom w:val="single" w:sz="4" w:space="0" w:color="808080"/>
              <w:right w:val="single" w:sz="8" w:space="0" w:color="002060"/>
            </w:tcBorders>
            <w:shd w:val="clear" w:color="auto" w:fill="auto"/>
            <w:vAlign w:val="center"/>
            <w:hideMark/>
          </w:tcPr>
          <w:p w14:paraId="77721898" w14:textId="06D92FEF" w:rsidR="00D97C65" w:rsidRPr="000876AA"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0876AA" w14:paraId="2BB4E960"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32F8E3B9" w14:textId="77777777" w:rsidR="00D97C65" w:rsidRPr="000876AA"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4" w:space="0" w:color="808080"/>
              <w:right w:val="single" w:sz="4" w:space="0" w:color="808080"/>
            </w:tcBorders>
            <w:vAlign w:val="center"/>
            <w:hideMark/>
          </w:tcPr>
          <w:p w14:paraId="11450867" w14:textId="77777777" w:rsidR="00D97C65" w:rsidRPr="000876AA" w:rsidRDefault="00D97C65" w:rsidP="00D97C65">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4" w:space="0" w:color="808080"/>
              <w:right w:val="single" w:sz="4" w:space="0" w:color="808080"/>
            </w:tcBorders>
            <w:shd w:val="clear" w:color="auto" w:fill="auto"/>
            <w:vAlign w:val="center"/>
            <w:hideMark/>
          </w:tcPr>
          <w:p w14:paraId="206002E1" w14:textId="77777777" w:rsidR="00D97C65" w:rsidRPr="000876AA" w:rsidRDefault="00D97C65" w:rsidP="00D97C65">
            <w:pPr>
              <w:overflowPunct/>
              <w:autoSpaceDE/>
              <w:autoSpaceDN/>
              <w:adjustRightInd/>
              <w:jc w:val="both"/>
              <w:textAlignment w:val="auto"/>
              <w:rPr>
                <w:rFonts w:ascii="Arial" w:hAnsi="Arial" w:cs="Arial"/>
                <w:color w:val="000000"/>
                <w:sz w:val="18"/>
                <w:szCs w:val="18"/>
                <w:lang w:eastAsia="es-CO"/>
              </w:rPr>
            </w:pPr>
            <w:r w:rsidRPr="000876AA">
              <w:rPr>
                <w:rFonts w:ascii="Arial" w:hAnsi="Arial" w:cs="Arial"/>
                <w:color w:val="000000"/>
                <w:sz w:val="18"/>
                <w:szCs w:val="18"/>
                <w:lang w:eastAsia="es-CO"/>
              </w:rPr>
              <w:t>Gestión de la Información Estadística</w:t>
            </w:r>
          </w:p>
        </w:tc>
        <w:tc>
          <w:tcPr>
            <w:tcW w:w="2124" w:type="dxa"/>
            <w:tcBorders>
              <w:top w:val="nil"/>
              <w:left w:val="nil"/>
              <w:bottom w:val="single" w:sz="4" w:space="0" w:color="808080"/>
              <w:right w:val="single" w:sz="8" w:space="0" w:color="002060"/>
            </w:tcBorders>
            <w:shd w:val="clear" w:color="auto" w:fill="auto"/>
            <w:vAlign w:val="center"/>
            <w:hideMark/>
          </w:tcPr>
          <w:p w14:paraId="1E5B32B4" w14:textId="6DD45BF8" w:rsidR="00D97C65" w:rsidRPr="000876AA" w:rsidRDefault="00D97C65" w:rsidP="00D97C65">
            <w:pPr>
              <w:overflowPunct/>
              <w:autoSpaceDE/>
              <w:autoSpaceDN/>
              <w:adjustRightInd/>
              <w:jc w:val="center"/>
              <w:textAlignment w:val="auto"/>
              <w:rPr>
                <w:rFonts w:ascii="Arial" w:hAnsi="Arial" w:cs="Arial"/>
                <w:color w:val="000000"/>
                <w:sz w:val="18"/>
                <w:szCs w:val="18"/>
                <w:lang w:eastAsia="es-CO"/>
              </w:rPr>
            </w:pPr>
          </w:p>
        </w:tc>
      </w:tr>
      <w:tr w:rsidR="00D97C65" w:rsidRPr="000876AA" w14:paraId="6520766B" w14:textId="77777777" w:rsidTr="00D97C65">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5669D460" w14:textId="77777777" w:rsidR="00D97C65" w:rsidRPr="000876AA" w:rsidRDefault="00D97C65" w:rsidP="00D97C65">
            <w:pPr>
              <w:overflowPunct/>
              <w:autoSpaceDE/>
              <w:autoSpaceDN/>
              <w:adjustRightInd/>
              <w:textAlignment w:val="auto"/>
              <w:rPr>
                <w:rFonts w:ascii="Arial" w:hAnsi="Arial" w:cs="Arial"/>
                <w:color w:val="000000"/>
                <w:sz w:val="18"/>
                <w:szCs w:val="18"/>
                <w:lang w:eastAsia="es-CO"/>
              </w:rPr>
            </w:pPr>
          </w:p>
        </w:tc>
        <w:tc>
          <w:tcPr>
            <w:tcW w:w="1841" w:type="dxa"/>
            <w:vMerge w:val="restart"/>
            <w:tcBorders>
              <w:top w:val="nil"/>
              <w:left w:val="single" w:sz="4" w:space="0" w:color="808080"/>
              <w:bottom w:val="single" w:sz="8" w:space="0" w:color="002060"/>
              <w:right w:val="single" w:sz="4" w:space="0" w:color="808080"/>
            </w:tcBorders>
            <w:shd w:val="clear" w:color="auto" w:fill="auto"/>
            <w:vAlign w:val="center"/>
            <w:hideMark/>
          </w:tcPr>
          <w:p w14:paraId="3505522C" w14:textId="77777777" w:rsidR="00D97C65" w:rsidRPr="000876AA" w:rsidRDefault="00D97C65" w:rsidP="00D97C65">
            <w:pPr>
              <w:overflowPunct/>
              <w:autoSpaceDE/>
              <w:autoSpaceDN/>
              <w:adjustRightInd/>
              <w:jc w:val="center"/>
              <w:textAlignment w:val="auto"/>
              <w:rPr>
                <w:rFonts w:ascii="Arial" w:hAnsi="Arial" w:cs="Arial"/>
                <w:b/>
                <w:bCs/>
                <w:color w:val="000000"/>
                <w:sz w:val="18"/>
                <w:szCs w:val="18"/>
                <w:lang w:eastAsia="es-CO"/>
              </w:rPr>
            </w:pPr>
            <w:r w:rsidRPr="000876AA">
              <w:rPr>
                <w:rFonts w:ascii="Arial" w:hAnsi="Arial" w:cs="Arial"/>
                <w:b/>
                <w:bCs/>
                <w:color w:val="000000"/>
                <w:sz w:val="18"/>
                <w:szCs w:val="18"/>
                <w:lang w:eastAsia="es-CO"/>
              </w:rPr>
              <w:t>EVALUACIÓN Y MEJORA</w:t>
            </w:r>
          </w:p>
        </w:tc>
        <w:tc>
          <w:tcPr>
            <w:tcW w:w="3114" w:type="dxa"/>
            <w:tcBorders>
              <w:top w:val="nil"/>
              <w:left w:val="nil"/>
              <w:bottom w:val="single" w:sz="4" w:space="0" w:color="808080"/>
              <w:right w:val="single" w:sz="4" w:space="0" w:color="808080"/>
            </w:tcBorders>
            <w:shd w:val="clear" w:color="auto" w:fill="auto"/>
            <w:vAlign w:val="center"/>
            <w:hideMark/>
          </w:tcPr>
          <w:p w14:paraId="282E4005" w14:textId="77777777" w:rsidR="00D97C65" w:rsidRPr="000876AA" w:rsidRDefault="00D97C65" w:rsidP="00D97C65">
            <w:pPr>
              <w:overflowPunct/>
              <w:autoSpaceDE/>
              <w:autoSpaceDN/>
              <w:adjustRightInd/>
              <w:jc w:val="both"/>
              <w:textAlignment w:val="auto"/>
              <w:rPr>
                <w:rFonts w:ascii="Arial" w:hAnsi="Arial" w:cs="Arial"/>
                <w:color w:val="000000"/>
                <w:sz w:val="18"/>
                <w:szCs w:val="18"/>
                <w:lang w:eastAsia="es-CO"/>
              </w:rPr>
            </w:pPr>
            <w:r w:rsidRPr="000876AA">
              <w:rPr>
                <w:rFonts w:ascii="Arial" w:hAnsi="Arial" w:cs="Arial"/>
                <w:color w:val="000000"/>
                <w:sz w:val="18"/>
                <w:szCs w:val="18"/>
                <w:lang w:eastAsia="es-CO"/>
              </w:rPr>
              <w:t>Gestión de Control Interno y Auditoría</w:t>
            </w:r>
          </w:p>
        </w:tc>
        <w:tc>
          <w:tcPr>
            <w:tcW w:w="2124" w:type="dxa"/>
            <w:tcBorders>
              <w:top w:val="nil"/>
              <w:left w:val="nil"/>
              <w:bottom w:val="single" w:sz="4" w:space="0" w:color="808080"/>
              <w:right w:val="single" w:sz="8" w:space="0" w:color="002060"/>
            </w:tcBorders>
            <w:shd w:val="clear" w:color="auto" w:fill="auto"/>
            <w:vAlign w:val="center"/>
            <w:hideMark/>
          </w:tcPr>
          <w:p w14:paraId="115AD816" w14:textId="7A708F1E" w:rsidR="00D97C65" w:rsidRPr="000876AA" w:rsidRDefault="00D97C65" w:rsidP="00D97C65">
            <w:pPr>
              <w:overflowPunct/>
              <w:autoSpaceDE/>
              <w:autoSpaceDN/>
              <w:adjustRightInd/>
              <w:jc w:val="center"/>
              <w:textAlignment w:val="auto"/>
              <w:rPr>
                <w:rFonts w:ascii="Arial" w:hAnsi="Arial" w:cs="Arial"/>
                <w:b/>
                <w:bCs/>
                <w:color w:val="000000"/>
                <w:sz w:val="18"/>
                <w:szCs w:val="18"/>
                <w:lang w:eastAsia="es-CO"/>
              </w:rPr>
            </w:pPr>
          </w:p>
        </w:tc>
      </w:tr>
      <w:tr w:rsidR="00044A42" w:rsidRPr="000876AA" w14:paraId="0A1F0669" w14:textId="77777777" w:rsidTr="00AB6499">
        <w:trPr>
          <w:trHeight w:val="587"/>
        </w:trPr>
        <w:tc>
          <w:tcPr>
            <w:tcW w:w="2964" w:type="dxa"/>
            <w:vMerge/>
            <w:tcBorders>
              <w:top w:val="nil"/>
              <w:left w:val="single" w:sz="8" w:space="0" w:color="002060"/>
              <w:bottom w:val="single" w:sz="8" w:space="0" w:color="002060"/>
              <w:right w:val="single" w:sz="4" w:space="0" w:color="808080"/>
            </w:tcBorders>
            <w:vAlign w:val="center"/>
            <w:hideMark/>
          </w:tcPr>
          <w:p w14:paraId="296BCA14" w14:textId="77777777" w:rsidR="00044A42" w:rsidRPr="000876AA" w:rsidRDefault="00044A42" w:rsidP="00AB6499">
            <w:pPr>
              <w:overflowPunct/>
              <w:autoSpaceDE/>
              <w:autoSpaceDN/>
              <w:adjustRightInd/>
              <w:textAlignment w:val="auto"/>
              <w:rPr>
                <w:rFonts w:ascii="Arial" w:hAnsi="Arial" w:cs="Arial"/>
                <w:color w:val="000000"/>
                <w:sz w:val="18"/>
                <w:szCs w:val="18"/>
                <w:lang w:eastAsia="es-CO"/>
              </w:rPr>
            </w:pPr>
          </w:p>
        </w:tc>
        <w:tc>
          <w:tcPr>
            <w:tcW w:w="1841" w:type="dxa"/>
            <w:vMerge/>
            <w:tcBorders>
              <w:top w:val="nil"/>
              <w:left w:val="single" w:sz="4" w:space="0" w:color="808080"/>
              <w:bottom w:val="single" w:sz="8" w:space="0" w:color="002060"/>
              <w:right w:val="single" w:sz="4" w:space="0" w:color="808080"/>
            </w:tcBorders>
            <w:vAlign w:val="center"/>
            <w:hideMark/>
          </w:tcPr>
          <w:p w14:paraId="273427A0" w14:textId="77777777" w:rsidR="00044A42" w:rsidRPr="000876AA" w:rsidRDefault="00044A42" w:rsidP="00AB6499">
            <w:pPr>
              <w:overflowPunct/>
              <w:autoSpaceDE/>
              <w:autoSpaceDN/>
              <w:adjustRightInd/>
              <w:textAlignment w:val="auto"/>
              <w:rPr>
                <w:rFonts w:ascii="Arial" w:hAnsi="Arial" w:cs="Arial"/>
                <w:b/>
                <w:bCs/>
                <w:color w:val="000000"/>
                <w:sz w:val="18"/>
                <w:szCs w:val="18"/>
                <w:lang w:eastAsia="es-CO"/>
              </w:rPr>
            </w:pPr>
          </w:p>
        </w:tc>
        <w:tc>
          <w:tcPr>
            <w:tcW w:w="3114" w:type="dxa"/>
            <w:tcBorders>
              <w:top w:val="nil"/>
              <w:left w:val="nil"/>
              <w:bottom w:val="single" w:sz="8" w:space="0" w:color="002060"/>
              <w:right w:val="single" w:sz="4" w:space="0" w:color="808080"/>
            </w:tcBorders>
            <w:shd w:val="clear" w:color="auto" w:fill="auto"/>
            <w:vAlign w:val="center"/>
            <w:hideMark/>
          </w:tcPr>
          <w:p w14:paraId="16E0EE1C" w14:textId="77777777" w:rsidR="00044A42" w:rsidRPr="000876AA" w:rsidRDefault="00044A42" w:rsidP="00AB6499">
            <w:pPr>
              <w:overflowPunct/>
              <w:autoSpaceDE/>
              <w:autoSpaceDN/>
              <w:adjustRightInd/>
              <w:jc w:val="both"/>
              <w:textAlignment w:val="auto"/>
              <w:rPr>
                <w:rFonts w:ascii="Arial" w:hAnsi="Arial" w:cs="Arial"/>
                <w:color w:val="000000"/>
                <w:sz w:val="18"/>
                <w:szCs w:val="18"/>
                <w:lang w:eastAsia="es-CO"/>
              </w:rPr>
            </w:pPr>
            <w:r w:rsidRPr="000876AA">
              <w:rPr>
                <w:rFonts w:ascii="Arial" w:hAnsi="Arial" w:cs="Arial"/>
                <w:color w:val="000000"/>
                <w:sz w:val="18"/>
                <w:szCs w:val="18"/>
                <w:lang w:eastAsia="es-CO"/>
              </w:rPr>
              <w:t>Mejoramiento del SIGCMA</w:t>
            </w:r>
          </w:p>
        </w:tc>
        <w:tc>
          <w:tcPr>
            <w:tcW w:w="2124" w:type="dxa"/>
            <w:tcBorders>
              <w:top w:val="nil"/>
              <w:left w:val="nil"/>
              <w:bottom w:val="single" w:sz="8" w:space="0" w:color="002060"/>
              <w:right w:val="single" w:sz="8" w:space="0" w:color="002060"/>
            </w:tcBorders>
            <w:shd w:val="clear" w:color="auto" w:fill="auto"/>
            <w:vAlign w:val="center"/>
            <w:hideMark/>
          </w:tcPr>
          <w:p w14:paraId="4E1B5880" w14:textId="7E0882AB" w:rsidR="00044A42" w:rsidRPr="000876AA" w:rsidRDefault="00044A42" w:rsidP="00AB6499">
            <w:pPr>
              <w:overflowPunct/>
              <w:autoSpaceDE/>
              <w:autoSpaceDN/>
              <w:adjustRightInd/>
              <w:jc w:val="center"/>
              <w:textAlignment w:val="auto"/>
              <w:rPr>
                <w:rFonts w:ascii="Arial" w:hAnsi="Arial" w:cs="Arial"/>
                <w:color w:val="000000"/>
                <w:sz w:val="18"/>
                <w:szCs w:val="18"/>
                <w:lang w:eastAsia="es-CO"/>
              </w:rPr>
            </w:pPr>
          </w:p>
        </w:tc>
      </w:tr>
    </w:tbl>
    <w:p w14:paraId="652EB424" w14:textId="77777777" w:rsidR="00FD3C93" w:rsidRPr="000876AA" w:rsidRDefault="00FD3C93" w:rsidP="00044A42">
      <w:pPr>
        <w:jc w:val="both"/>
        <w:rPr>
          <w:rFonts w:ascii="Arial" w:hAnsi="Arial" w:cs="Arial"/>
          <w:bCs/>
          <w:sz w:val="22"/>
          <w:szCs w:val="18"/>
        </w:rPr>
      </w:pPr>
    </w:p>
    <w:p w14:paraId="5F37BBAB" w14:textId="77777777" w:rsidR="00FD3C93" w:rsidRPr="000876AA" w:rsidRDefault="00FD3C93" w:rsidP="00044A42">
      <w:pPr>
        <w:jc w:val="both"/>
        <w:rPr>
          <w:rFonts w:ascii="Arial" w:hAnsi="Arial" w:cs="Arial"/>
          <w:bCs/>
          <w:sz w:val="22"/>
          <w:szCs w:val="18"/>
        </w:rPr>
      </w:pPr>
    </w:p>
    <w:p w14:paraId="492365FD" w14:textId="238EC99B" w:rsidR="000E4C9E" w:rsidRPr="00AD15F9" w:rsidRDefault="00634E19" w:rsidP="00AD15F9">
      <w:pPr>
        <w:pStyle w:val="Prrafodelista"/>
        <w:numPr>
          <w:ilvl w:val="0"/>
          <w:numId w:val="31"/>
        </w:numPr>
        <w:jc w:val="both"/>
        <w:rPr>
          <w:rFonts w:ascii="Arial" w:hAnsi="Arial" w:cs="Arial"/>
          <w:b/>
          <w:bCs/>
        </w:rPr>
      </w:pPr>
      <w:r w:rsidRPr="00AD15F9">
        <w:rPr>
          <w:rFonts w:ascii="Arial" w:hAnsi="Arial" w:cs="Arial"/>
          <w:b/>
          <w:bCs/>
        </w:rPr>
        <w:t>ESTADO DE LAS ACCIONES DE LA REVISIÓN POR LA DIRECCIÓN PREVIAS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4394"/>
        <w:gridCol w:w="5570"/>
      </w:tblGrid>
      <w:tr w:rsidR="00634E19" w:rsidRPr="000876AA" w14:paraId="05887D74" w14:textId="77777777" w:rsidTr="00D05531">
        <w:trPr>
          <w:trHeight w:val="36"/>
          <w:tblHeader/>
          <w:jc w:val="center"/>
        </w:trPr>
        <w:tc>
          <w:tcPr>
            <w:tcW w:w="2205" w:type="pct"/>
            <w:tcBorders>
              <w:top w:val="single" w:sz="4" w:space="0" w:color="auto"/>
              <w:left w:val="single" w:sz="4" w:space="0" w:color="000000"/>
              <w:bottom w:val="single" w:sz="4" w:space="0" w:color="auto"/>
              <w:right w:val="single" w:sz="4" w:space="0" w:color="auto"/>
            </w:tcBorders>
            <w:shd w:val="clear" w:color="auto" w:fill="E7E6E6"/>
            <w:vAlign w:val="center"/>
            <w:hideMark/>
          </w:tcPr>
          <w:p w14:paraId="704C2B62" w14:textId="026D13E9" w:rsidR="00AE734D" w:rsidRPr="000876AA" w:rsidRDefault="00634E19" w:rsidP="00210789">
            <w:pPr>
              <w:tabs>
                <w:tab w:val="center" w:pos="4536"/>
              </w:tabs>
              <w:jc w:val="center"/>
              <w:rPr>
                <w:rFonts w:ascii="Arial" w:eastAsia="Calibri" w:hAnsi="Arial" w:cs="Arial"/>
                <w:b/>
                <w:sz w:val="18"/>
                <w:szCs w:val="18"/>
              </w:rPr>
            </w:pPr>
            <w:r w:rsidRPr="000876AA">
              <w:rPr>
                <w:rFonts w:ascii="Arial" w:eastAsia="Calibri" w:hAnsi="Arial" w:cs="Arial"/>
                <w:b/>
                <w:sz w:val="18"/>
                <w:szCs w:val="18"/>
              </w:rPr>
              <w:t xml:space="preserve">COMPROMISOS </w:t>
            </w:r>
            <w:r w:rsidR="00AE734D" w:rsidRPr="000876AA">
              <w:rPr>
                <w:rFonts w:ascii="Arial" w:eastAsia="Calibri" w:hAnsi="Arial" w:cs="Arial"/>
                <w:b/>
                <w:sz w:val="18"/>
                <w:szCs w:val="18"/>
              </w:rPr>
              <w:t>REVISIÓN</w:t>
            </w:r>
            <w:r w:rsidRPr="000876AA">
              <w:rPr>
                <w:rFonts w:ascii="Arial" w:eastAsia="Calibri" w:hAnsi="Arial" w:cs="Arial"/>
                <w:b/>
                <w:sz w:val="18"/>
                <w:szCs w:val="18"/>
              </w:rPr>
              <w:t xml:space="preserve"> POR LA ALTA DIRECCIÓN VIGENCIA ANTERIOR (20</w:t>
            </w:r>
            <w:r w:rsidR="00D72CCD" w:rsidRPr="000876AA">
              <w:rPr>
                <w:rFonts w:ascii="Arial" w:eastAsia="Calibri" w:hAnsi="Arial" w:cs="Arial"/>
                <w:b/>
                <w:sz w:val="18"/>
                <w:szCs w:val="18"/>
              </w:rPr>
              <w:t>2</w:t>
            </w:r>
            <w:r w:rsidR="008C558F" w:rsidRPr="000876AA">
              <w:rPr>
                <w:rFonts w:ascii="Arial" w:eastAsia="Calibri" w:hAnsi="Arial" w:cs="Arial"/>
                <w:b/>
                <w:sz w:val="18"/>
                <w:szCs w:val="18"/>
              </w:rPr>
              <w:t>1</w:t>
            </w:r>
            <w:r w:rsidRPr="000876AA">
              <w:rPr>
                <w:rFonts w:ascii="Arial" w:eastAsia="Calibri" w:hAnsi="Arial" w:cs="Arial"/>
                <w:b/>
                <w:sz w:val="18"/>
                <w:szCs w:val="18"/>
              </w:rPr>
              <w:t>)</w:t>
            </w:r>
          </w:p>
          <w:p w14:paraId="35294238" w14:textId="77777777" w:rsidR="00634E19" w:rsidRPr="000876AA" w:rsidRDefault="00634E19" w:rsidP="00210789">
            <w:pPr>
              <w:tabs>
                <w:tab w:val="center" w:pos="4536"/>
              </w:tabs>
              <w:jc w:val="center"/>
              <w:rPr>
                <w:rFonts w:ascii="Arial" w:eastAsia="Calibri" w:hAnsi="Arial" w:cs="Arial"/>
                <w:sz w:val="18"/>
                <w:szCs w:val="18"/>
              </w:rPr>
            </w:pPr>
            <w:r w:rsidRPr="000876AA">
              <w:rPr>
                <w:rFonts w:ascii="Arial" w:eastAsia="Calibri" w:hAnsi="Arial" w:cs="Arial"/>
                <w:sz w:val="18"/>
                <w:szCs w:val="18"/>
              </w:rPr>
              <w:t>(Copiar de compromisos de la reunión anterior)</w:t>
            </w:r>
          </w:p>
        </w:tc>
        <w:tc>
          <w:tcPr>
            <w:tcW w:w="2795" w:type="pct"/>
            <w:tcBorders>
              <w:top w:val="single" w:sz="4" w:space="0" w:color="auto"/>
              <w:left w:val="single" w:sz="4" w:space="0" w:color="auto"/>
              <w:bottom w:val="single" w:sz="4" w:space="0" w:color="auto"/>
              <w:right w:val="single" w:sz="4" w:space="0" w:color="000000"/>
            </w:tcBorders>
            <w:shd w:val="clear" w:color="auto" w:fill="E7E6E6"/>
            <w:vAlign w:val="center"/>
            <w:hideMark/>
          </w:tcPr>
          <w:p w14:paraId="0ADE1C50" w14:textId="77777777" w:rsidR="00AE734D" w:rsidRPr="000876AA" w:rsidRDefault="00634E19" w:rsidP="00210789">
            <w:pPr>
              <w:tabs>
                <w:tab w:val="center" w:pos="4536"/>
              </w:tabs>
              <w:jc w:val="center"/>
              <w:rPr>
                <w:rFonts w:ascii="Arial" w:eastAsia="Calibri" w:hAnsi="Arial" w:cs="Arial"/>
                <w:b/>
                <w:sz w:val="18"/>
                <w:szCs w:val="18"/>
              </w:rPr>
            </w:pPr>
            <w:r w:rsidRPr="000876AA">
              <w:rPr>
                <w:rFonts w:ascii="Arial" w:eastAsia="Calibri" w:hAnsi="Arial" w:cs="Arial"/>
                <w:b/>
                <w:sz w:val="18"/>
                <w:szCs w:val="18"/>
              </w:rPr>
              <w:t>ESTADO</w:t>
            </w:r>
          </w:p>
          <w:p w14:paraId="05F0E4DC" w14:textId="77777777" w:rsidR="00634E19" w:rsidRPr="000876AA" w:rsidRDefault="00634E19" w:rsidP="00210789">
            <w:pPr>
              <w:tabs>
                <w:tab w:val="center" w:pos="4536"/>
              </w:tabs>
              <w:jc w:val="center"/>
              <w:rPr>
                <w:rFonts w:ascii="Arial" w:eastAsia="Calibri" w:hAnsi="Arial" w:cs="Arial"/>
                <w:sz w:val="18"/>
                <w:szCs w:val="18"/>
              </w:rPr>
            </w:pPr>
            <w:r w:rsidRPr="000876AA">
              <w:rPr>
                <w:rFonts w:ascii="Arial" w:eastAsia="Calibri" w:hAnsi="Arial" w:cs="Arial"/>
                <w:sz w:val="18"/>
                <w:szCs w:val="18"/>
              </w:rPr>
              <w:t>(Consignar si está concluido, pendiente o en ejecución, explicar y relacionar la evidencia)</w:t>
            </w:r>
          </w:p>
        </w:tc>
      </w:tr>
      <w:tr w:rsidR="00115BB5" w:rsidRPr="000876AA" w14:paraId="08B14353" w14:textId="77777777" w:rsidTr="00D05531">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60418116" w14:textId="4B907603" w:rsidR="00115BB5" w:rsidRPr="000876AA" w:rsidRDefault="00115BB5" w:rsidP="00D05531">
            <w:pPr>
              <w:tabs>
                <w:tab w:val="center" w:pos="4536"/>
              </w:tabs>
              <w:jc w:val="both"/>
              <w:rPr>
                <w:rFonts w:ascii="Arial" w:eastAsia="Calibri" w:hAnsi="Arial" w:cs="Arial"/>
                <w:bCs/>
                <w:sz w:val="18"/>
                <w:szCs w:val="18"/>
              </w:rPr>
            </w:pPr>
            <w:r w:rsidRPr="000876AA">
              <w:rPr>
                <w:rFonts w:ascii="Arial" w:eastAsia="Calibri" w:hAnsi="Arial" w:cs="Arial"/>
                <w:bCs/>
                <w:sz w:val="18"/>
                <w:szCs w:val="18"/>
              </w:rPr>
              <w:t>Los formatos de los procedimientos del proceso presentados deben tener el respectivo control de cambios, la información debe ser apropiada. (Unidad de Presupuesto)</w:t>
            </w:r>
          </w:p>
        </w:tc>
        <w:tc>
          <w:tcPr>
            <w:tcW w:w="2795" w:type="pct"/>
            <w:tcBorders>
              <w:top w:val="single" w:sz="4" w:space="0" w:color="auto"/>
              <w:left w:val="single" w:sz="4" w:space="0" w:color="auto"/>
              <w:bottom w:val="single" w:sz="4" w:space="0" w:color="auto"/>
              <w:right w:val="single" w:sz="4" w:space="0" w:color="000000"/>
            </w:tcBorders>
            <w:shd w:val="clear" w:color="auto" w:fill="auto"/>
            <w:vAlign w:val="center"/>
          </w:tcPr>
          <w:p w14:paraId="2309006D" w14:textId="77777777" w:rsidR="00115BB5" w:rsidRPr="000876AA" w:rsidRDefault="00D05531" w:rsidP="00210789">
            <w:pPr>
              <w:tabs>
                <w:tab w:val="center" w:pos="4536"/>
              </w:tabs>
              <w:jc w:val="both"/>
              <w:rPr>
                <w:rFonts w:ascii="Arial" w:eastAsia="Calibri" w:hAnsi="Arial" w:cs="Arial"/>
                <w:bCs/>
                <w:sz w:val="18"/>
                <w:szCs w:val="18"/>
              </w:rPr>
            </w:pPr>
            <w:r w:rsidRPr="000876AA">
              <w:rPr>
                <w:rFonts w:ascii="Arial" w:eastAsia="Calibri" w:hAnsi="Arial" w:cs="Arial"/>
                <w:bCs/>
                <w:sz w:val="18"/>
                <w:szCs w:val="18"/>
              </w:rPr>
              <w:t>Los formatos de los procedimientos se corrigieron según las indicaciones del SIGMA, prueba de ello, son los procedimientos debidamente publicados en el micro sitio del SIGMA.</w:t>
            </w:r>
          </w:p>
          <w:p w14:paraId="6B19EE8A" w14:textId="77777777" w:rsidR="00625786" w:rsidRPr="000876AA" w:rsidRDefault="00625786" w:rsidP="00210789">
            <w:pPr>
              <w:tabs>
                <w:tab w:val="center" w:pos="4536"/>
              </w:tabs>
              <w:jc w:val="both"/>
              <w:rPr>
                <w:rFonts w:ascii="Arial" w:eastAsia="Calibri" w:hAnsi="Arial" w:cs="Arial"/>
                <w:bCs/>
                <w:sz w:val="18"/>
                <w:szCs w:val="18"/>
              </w:rPr>
            </w:pPr>
          </w:p>
          <w:p w14:paraId="4C0220CD" w14:textId="40A22386" w:rsidR="00625786" w:rsidRPr="000876AA" w:rsidRDefault="00625786" w:rsidP="00210789">
            <w:pPr>
              <w:tabs>
                <w:tab w:val="center" w:pos="4536"/>
              </w:tabs>
              <w:jc w:val="both"/>
              <w:rPr>
                <w:rFonts w:ascii="Arial" w:eastAsia="Calibri" w:hAnsi="Arial" w:cs="Arial"/>
                <w:bCs/>
                <w:sz w:val="18"/>
                <w:szCs w:val="18"/>
              </w:rPr>
            </w:pPr>
            <w:r w:rsidRPr="000876AA">
              <w:rPr>
                <w:rFonts w:ascii="Arial" w:eastAsia="Calibri" w:hAnsi="Arial" w:cs="Arial"/>
                <w:bCs/>
                <w:sz w:val="18"/>
                <w:szCs w:val="18"/>
                <w:u w:val="single"/>
              </w:rPr>
              <w:t>Evidencia:</w:t>
            </w:r>
            <w:r w:rsidRPr="000876AA">
              <w:rPr>
                <w:rFonts w:ascii="Arial" w:eastAsia="Calibri" w:hAnsi="Arial" w:cs="Arial"/>
                <w:bCs/>
                <w:sz w:val="18"/>
                <w:szCs w:val="18"/>
              </w:rPr>
              <w:t xml:space="preserve"> </w:t>
            </w:r>
            <w:hyperlink r:id="rId15" w:history="1">
              <w:r w:rsidRPr="000876AA">
                <w:rPr>
                  <w:rStyle w:val="Hipervnculo"/>
                  <w:rFonts w:ascii="Arial" w:eastAsia="Calibri" w:hAnsi="Arial" w:cs="Arial"/>
                  <w:bCs/>
                  <w:sz w:val="18"/>
                  <w:szCs w:val="18"/>
                </w:rPr>
                <w:t>https://www.ramajudicial.gov.co/web/sistema-integrado-gestion-de-la-calidad-y-el-medio-ambiente/gestion-financiera-y-presupuestal</w:t>
              </w:r>
            </w:hyperlink>
            <w:r w:rsidRPr="000876AA">
              <w:rPr>
                <w:rFonts w:ascii="Arial" w:eastAsia="Calibri" w:hAnsi="Arial" w:cs="Arial"/>
                <w:bCs/>
                <w:sz w:val="18"/>
                <w:szCs w:val="18"/>
              </w:rPr>
              <w:t xml:space="preserve"> </w:t>
            </w:r>
          </w:p>
        </w:tc>
      </w:tr>
      <w:tr w:rsidR="00115BB5" w:rsidRPr="000876AA" w14:paraId="2CB5FCF3" w14:textId="77777777" w:rsidTr="00F81EF9">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2485E009" w14:textId="5F1E8F67" w:rsidR="00115BB5" w:rsidRPr="000876AA" w:rsidRDefault="00115BB5" w:rsidP="00D05531">
            <w:pPr>
              <w:jc w:val="both"/>
              <w:rPr>
                <w:rFonts w:ascii="Arial" w:hAnsi="Arial" w:cs="Arial"/>
                <w:sz w:val="18"/>
                <w:szCs w:val="18"/>
              </w:rPr>
            </w:pPr>
            <w:r w:rsidRPr="000876AA">
              <w:rPr>
                <w:rFonts w:ascii="Arial" w:hAnsi="Arial" w:cs="Arial"/>
                <w:sz w:val="18"/>
                <w:szCs w:val="18"/>
              </w:rPr>
              <w:t xml:space="preserve">Ver la pertinencia en la creación de proceso de planeación como apoyo a la estructura de la organización y su inclusión en el Mapa de Procesos del Consejo Superior de la Judicatura. </w:t>
            </w:r>
            <w:r w:rsidRPr="000876AA">
              <w:rPr>
                <w:rFonts w:ascii="Arial" w:eastAsia="Calibri" w:hAnsi="Arial" w:cs="Arial"/>
                <w:bCs/>
                <w:sz w:val="18"/>
                <w:szCs w:val="18"/>
              </w:rPr>
              <w:t>(Unidad de Planeación)</w:t>
            </w:r>
          </w:p>
        </w:tc>
        <w:tc>
          <w:tcPr>
            <w:tcW w:w="2795" w:type="pct"/>
            <w:tcBorders>
              <w:top w:val="single" w:sz="4" w:space="0" w:color="auto"/>
              <w:left w:val="single" w:sz="4" w:space="0" w:color="auto"/>
              <w:bottom w:val="single" w:sz="4" w:space="0" w:color="auto"/>
              <w:right w:val="single" w:sz="4" w:space="0" w:color="000000"/>
            </w:tcBorders>
            <w:vAlign w:val="center"/>
          </w:tcPr>
          <w:p w14:paraId="0D2E1AA8" w14:textId="77777777" w:rsidR="00115BB5" w:rsidRPr="000876AA" w:rsidRDefault="00115BB5" w:rsidP="00210789">
            <w:pPr>
              <w:tabs>
                <w:tab w:val="center" w:pos="4536"/>
              </w:tabs>
              <w:jc w:val="both"/>
              <w:rPr>
                <w:rFonts w:ascii="Arial" w:eastAsia="Calibri" w:hAnsi="Arial" w:cs="Arial"/>
                <w:bCs/>
                <w:sz w:val="18"/>
                <w:szCs w:val="18"/>
              </w:rPr>
            </w:pPr>
            <w:r w:rsidRPr="000876AA">
              <w:rPr>
                <w:rFonts w:ascii="Arial" w:eastAsia="Calibri" w:hAnsi="Arial" w:cs="Arial"/>
                <w:bCs/>
                <w:sz w:val="18"/>
                <w:szCs w:val="18"/>
              </w:rPr>
              <w:t>Se generó la Acción de Mejora No. 1 de 2022. Se trabajó proyecto de caracterización de Gestión de la Planeación Funcional y Evaluación. Se desarrolló reunión con la coordinación nacional del SIGCMA para la discusión</w:t>
            </w:r>
            <w:r w:rsidR="0047293A" w:rsidRPr="000876AA">
              <w:rPr>
                <w:rFonts w:ascii="Arial" w:eastAsia="Calibri" w:hAnsi="Arial" w:cs="Arial"/>
                <w:bCs/>
                <w:sz w:val="18"/>
                <w:szCs w:val="18"/>
              </w:rPr>
              <w:t xml:space="preserve"> de la propuesta el día 12-12-2022. Actualmente, está en revisión de la coordinación, no obstante, se está a la espera de la nueva reestructuración de la DEAJ, para ajuste.</w:t>
            </w:r>
          </w:p>
          <w:p w14:paraId="3EF0889E" w14:textId="5B9D9D4B" w:rsidR="0047293A" w:rsidRPr="000876AA" w:rsidRDefault="0047293A" w:rsidP="00210789">
            <w:pPr>
              <w:tabs>
                <w:tab w:val="center" w:pos="4536"/>
              </w:tabs>
              <w:jc w:val="both"/>
              <w:rPr>
                <w:rFonts w:ascii="Arial" w:eastAsia="Calibri" w:hAnsi="Arial" w:cs="Arial"/>
                <w:bCs/>
                <w:sz w:val="18"/>
                <w:szCs w:val="18"/>
              </w:rPr>
            </w:pPr>
            <w:r w:rsidRPr="000876AA">
              <w:rPr>
                <w:rFonts w:ascii="Arial" w:eastAsia="Calibri" w:hAnsi="Arial" w:cs="Arial"/>
                <w:bCs/>
                <w:sz w:val="18"/>
                <w:szCs w:val="18"/>
                <w:u w:val="single"/>
              </w:rPr>
              <w:t>Evidencia:</w:t>
            </w:r>
            <w:r w:rsidRPr="000876AA">
              <w:rPr>
                <w:rFonts w:ascii="Arial" w:eastAsia="Calibri" w:hAnsi="Arial" w:cs="Arial"/>
                <w:bCs/>
                <w:sz w:val="18"/>
                <w:szCs w:val="18"/>
              </w:rPr>
              <w:t xml:space="preserve"> Proyecto de caracterización.</w:t>
            </w:r>
          </w:p>
        </w:tc>
      </w:tr>
      <w:tr w:rsidR="00115BB5" w:rsidRPr="000876AA" w14:paraId="37654FC1" w14:textId="77777777" w:rsidTr="00F81EF9">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3825E48F" w14:textId="20F7BAB8" w:rsidR="00115BB5" w:rsidRPr="000876AA" w:rsidRDefault="00115BB5" w:rsidP="00D05531">
            <w:pPr>
              <w:jc w:val="both"/>
              <w:rPr>
                <w:rFonts w:ascii="Arial" w:hAnsi="Arial" w:cs="Arial"/>
                <w:sz w:val="18"/>
                <w:szCs w:val="18"/>
              </w:rPr>
            </w:pPr>
            <w:r w:rsidRPr="000876AA">
              <w:rPr>
                <w:rFonts w:ascii="Arial" w:hAnsi="Arial" w:cs="Arial"/>
                <w:sz w:val="18"/>
                <w:szCs w:val="18"/>
              </w:rPr>
              <w:t xml:space="preserve">Fortalecimiento en el análisis de seguimiento trimestral en la matriz de riesgos y en la matriz del seguimiento en el plan de acción. </w:t>
            </w:r>
            <w:r w:rsidRPr="000876AA">
              <w:rPr>
                <w:rFonts w:ascii="Arial" w:eastAsia="Calibri" w:hAnsi="Arial" w:cs="Arial"/>
                <w:bCs/>
                <w:sz w:val="18"/>
                <w:szCs w:val="18"/>
              </w:rPr>
              <w:t>(Unidad de Planeación)</w:t>
            </w:r>
          </w:p>
        </w:tc>
        <w:tc>
          <w:tcPr>
            <w:tcW w:w="2795" w:type="pct"/>
            <w:tcBorders>
              <w:top w:val="single" w:sz="4" w:space="0" w:color="auto"/>
              <w:left w:val="single" w:sz="4" w:space="0" w:color="auto"/>
              <w:bottom w:val="single" w:sz="4" w:space="0" w:color="auto"/>
              <w:right w:val="single" w:sz="4" w:space="0" w:color="000000"/>
            </w:tcBorders>
            <w:vAlign w:val="center"/>
          </w:tcPr>
          <w:p w14:paraId="2434C1E2" w14:textId="0B418923" w:rsidR="0047293A" w:rsidRPr="000876AA" w:rsidRDefault="0047293A" w:rsidP="00210789">
            <w:pPr>
              <w:tabs>
                <w:tab w:val="center" w:pos="4536"/>
              </w:tabs>
              <w:jc w:val="both"/>
              <w:rPr>
                <w:rFonts w:ascii="Arial" w:eastAsia="Calibri" w:hAnsi="Arial" w:cs="Arial"/>
                <w:bCs/>
                <w:sz w:val="18"/>
                <w:szCs w:val="18"/>
              </w:rPr>
            </w:pPr>
            <w:r w:rsidRPr="000876AA">
              <w:rPr>
                <w:rFonts w:ascii="Arial" w:eastAsia="Calibri" w:hAnsi="Arial" w:cs="Arial"/>
                <w:bCs/>
                <w:sz w:val="18"/>
                <w:szCs w:val="18"/>
              </w:rPr>
              <w:t>Para los cuatro trimestres del año 2022, se fortaleció el análisis del seguimiento trimestral, tanto del plan de acción como de la matriz de riesgos. La revisión, aprobación y publicación de estos instrumentos de gestión por parte de la coordinación nacional del SIGCMA, evidencian el cumplimiento.</w:t>
            </w:r>
          </w:p>
          <w:p w14:paraId="20BE162C" w14:textId="65E6FCA6" w:rsidR="00115BB5" w:rsidRPr="000876AA" w:rsidRDefault="0047293A" w:rsidP="00210789">
            <w:pPr>
              <w:tabs>
                <w:tab w:val="center" w:pos="4536"/>
              </w:tabs>
              <w:jc w:val="both"/>
              <w:rPr>
                <w:rFonts w:ascii="Arial" w:eastAsia="Calibri" w:hAnsi="Arial" w:cs="Arial"/>
                <w:bCs/>
                <w:sz w:val="18"/>
                <w:szCs w:val="18"/>
                <w:u w:val="single"/>
              </w:rPr>
            </w:pPr>
            <w:r w:rsidRPr="000876AA">
              <w:rPr>
                <w:rFonts w:ascii="Arial" w:eastAsia="Calibri" w:hAnsi="Arial" w:cs="Arial"/>
                <w:bCs/>
                <w:sz w:val="18"/>
                <w:szCs w:val="18"/>
                <w:u w:val="single"/>
              </w:rPr>
              <w:t>Evidencia:</w:t>
            </w:r>
            <w:r w:rsidRPr="000876AA">
              <w:rPr>
                <w:rFonts w:ascii="Arial" w:eastAsia="Calibri" w:hAnsi="Arial" w:cs="Arial"/>
                <w:bCs/>
                <w:sz w:val="18"/>
                <w:szCs w:val="18"/>
              </w:rPr>
              <w:t xml:space="preserve"> </w:t>
            </w:r>
            <w:r w:rsidR="00E313A7" w:rsidRPr="000876AA">
              <w:rPr>
                <w:rFonts w:ascii="Arial" w:eastAsia="Calibri" w:hAnsi="Arial" w:cs="Arial"/>
                <w:bCs/>
                <w:sz w:val="18"/>
                <w:szCs w:val="18"/>
              </w:rPr>
              <w:t xml:space="preserve"> </w:t>
            </w:r>
            <w:hyperlink r:id="rId16" w:history="1">
              <w:r w:rsidR="00E313A7" w:rsidRPr="000876AA">
                <w:rPr>
                  <w:rStyle w:val="Hipervnculo"/>
                  <w:rFonts w:ascii="Arial" w:eastAsia="Calibri" w:hAnsi="Arial" w:cs="Arial"/>
                  <w:bCs/>
                  <w:sz w:val="18"/>
                  <w:szCs w:val="18"/>
                </w:rPr>
                <w:t>https://www.ramajudicial.gov.co/web/sistema-integrado-gestion-de-la-calidad-y-el-medio-ambiente/258</w:t>
              </w:r>
            </w:hyperlink>
            <w:r w:rsidR="00E313A7" w:rsidRPr="000876AA">
              <w:rPr>
                <w:rFonts w:ascii="Arial" w:eastAsia="Calibri" w:hAnsi="Arial" w:cs="Arial"/>
                <w:bCs/>
                <w:sz w:val="18"/>
                <w:szCs w:val="18"/>
                <w:u w:val="single"/>
              </w:rPr>
              <w:t xml:space="preserve"> </w:t>
            </w:r>
          </w:p>
        </w:tc>
      </w:tr>
      <w:tr w:rsidR="00115BB5" w:rsidRPr="000876AA" w14:paraId="5DCC6420" w14:textId="77777777" w:rsidTr="00F81EF9">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25933B3B" w14:textId="03BD27C1" w:rsidR="00115BB5" w:rsidRPr="000876AA" w:rsidRDefault="00115BB5" w:rsidP="00D05531">
            <w:pPr>
              <w:jc w:val="both"/>
              <w:rPr>
                <w:rFonts w:ascii="Arial" w:hAnsi="Arial" w:cs="Arial"/>
                <w:sz w:val="18"/>
                <w:szCs w:val="18"/>
              </w:rPr>
            </w:pPr>
            <w:r w:rsidRPr="000876AA">
              <w:rPr>
                <w:rFonts w:ascii="Arial" w:hAnsi="Arial" w:cs="Arial"/>
                <w:sz w:val="18"/>
                <w:szCs w:val="18"/>
              </w:rPr>
              <w:t xml:space="preserve">Evaluar la pertinencia de excluir en los procedimientos de la Unidad de Planeación el componente de “Normativa Aplicable” como listado de normas y consignar dicha información en el listado maestro de documentos externos u normatividad. Esto por cuanto la generación constante de normativa puede afectar a los procedimientos y requieren actualización permanente. </w:t>
            </w:r>
            <w:r w:rsidRPr="000876AA">
              <w:rPr>
                <w:rFonts w:ascii="Arial" w:eastAsia="Calibri" w:hAnsi="Arial" w:cs="Arial"/>
                <w:bCs/>
                <w:sz w:val="18"/>
                <w:szCs w:val="18"/>
              </w:rPr>
              <w:t>(Unidad de Planeación)</w:t>
            </w:r>
          </w:p>
        </w:tc>
        <w:tc>
          <w:tcPr>
            <w:tcW w:w="2795" w:type="pct"/>
            <w:tcBorders>
              <w:top w:val="single" w:sz="4" w:space="0" w:color="auto"/>
              <w:left w:val="single" w:sz="4" w:space="0" w:color="auto"/>
              <w:bottom w:val="single" w:sz="4" w:space="0" w:color="auto"/>
              <w:right w:val="single" w:sz="4" w:space="0" w:color="000000"/>
            </w:tcBorders>
            <w:vAlign w:val="center"/>
          </w:tcPr>
          <w:p w14:paraId="12052479" w14:textId="77777777" w:rsidR="00115BB5" w:rsidRPr="000876AA" w:rsidRDefault="002A45A7" w:rsidP="00210789">
            <w:pPr>
              <w:tabs>
                <w:tab w:val="center" w:pos="4536"/>
              </w:tabs>
              <w:jc w:val="both"/>
              <w:rPr>
                <w:rFonts w:ascii="Arial" w:eastAsia="Calibri" w:hAnsi="Arial" w:cs="Arial"/>
                <w:bCs/>
                <w:sz w:val="18"/>
                <w:szCs w:val="18"/>
              </w:rPr>
            </w:pPr>
            <w:r w:rsidRPr="000876AA">
              <w:rPr>
                <w:rFonts w:ascii="Arial" w:eastAsia="Calibri" w:hAnsi="Arial" w:cs="Arial"/>
                <w:bCs/>
                <w:sz w:val="18"/>
                <w:szCs w:val="18"/>
              </w:rPr>
              <w:t xml:space="preserve">El Dr. William Espinosa, Coordinador nacional del SIGCMA, emitió concepto por correo electrónico </w:t>
            </w:r>
            <w:r w:rsidR="006C3EEC" w:rsidRPr="000876AA">
              <w:rPr>
                <w:rFonts w:ascii="Arial" w:eastAsia="Calibri" w:hAnsi="Arial" w:cs="Arial"/>
                <w:bCs/>
                <w:sz w:val="18"/>
                <w:szCs w:val="18"/>
              </w:rPr>
              <w:t>del 08-08-2022, en los siguientes términos:</w:t>
            </w:r>
          </w:p>
          <w:p w14:paraId="73BFED05" w14:textId="77777777" w:rsidR="006C3EEC" w:rsidRPr="000876AA" w:rsidRDefault="006C3EEC" w:rsidP="00210789">
            <w:pPr>
              <w:tabs>
                <w:tab w:val="center" w:pos="4536"/>
              </w:tabs>
              <w:jc w:val="both"/>
              <w:rPr>
                <w:rFonts w:ascii="Arial" w:eastAsia="Calibri" w:hAnsi="Arial" w:cs="Arial"/>
                <w:bCs/>
                <w:i/>
                <w:sz w:val="18"/>
                <w:szCs w:val="18"/>
              </w:rPr>
            </w:pPr>
            <w:r w:rsidRPr="000876AA">
              <w:rPr>
                <w:rFonts w:ascii="Arial" w:eastAsia="Calibri" w:hAnsi="Arial" w:cs="Arial"/>
                <w:bCs/>
                <w:i/>
                <w:sz w:val="18"/>
                <w:szCs w:val="18"/>
              </w:rPr>
              <w:t>“(…) 2. Las modificaciones a los formatos (instrumentos) Institucionales es facultativo de la Coordinación Nacional del SIGCMA, previo análisis del Comité de Profesionales de Enlace y del Comité de Líderes del SIGCMA;3. La Entidad ha previsto como política que, en los Procedimientos o Formatos de los mismos, se especifique la normatividad aplicable a cada Proceso y Procedimiento.”</w:t>
            </w:r>
          </w:p>
          <w:p w14:paraId="1C54018E" w14:textId="04A1EAFD" w:rsidR="006C3EEC" w:rsidRPr="000876AA" w:rsidRDefault="006C3EEC" w:rsidP="00210789">
            <w:pPr>
              <w:tabs>
                <w:tab w:val="center" w:pos="4536"/>
              </w:tabs>
              <w:jc w:val="both"/>
              <w:rPr>
                <w:rFonts w:ascii="Arial" w:eastAsia="Calibri" w:hAnsi="Arial" w:cs="Arial"/>
                <w:bCs/>
                <w:sz w:val="18"/>
                <w:szCs w:val="18"/>
              </w:rPr>
            </w:pPr>
            <w:r w:rsidRPr="000876AA">
              <w:rPr>
                <w:rFonts w:ascii="Arial" w:eastAsia="Calibri" w:hAnsi="Arial" w:cs="Arial"/>
                <w:bCs/>
                <w:sz w:val="18"/>
                <w:szCs w:val="18"/>
                <w:u w:val="single"/>
              </w:rPr>
              <w:t>Evidencia:</w:t>
            </w:r>
            <w:r w:rsidRPr="000876AA">
              <w:rPr>
                <w:rFonts w:ascii="Arial" w:eastAsia="Calibri" w:hAnsi="Arial" w:cs="Arial"/>
                <w:bCs/>
                <w:sz w:val="18"/>
                <w:szCs w:val="18"/>
              </w:rPr>
              <w:t xml:space="preserve"> </w:t>
            </w:r>
            <w:r w:rsidR="00CD26B7" w:rsidRPr="000876AA">
              <w:rPr>
                <w:rFonts w:ascii="Arial" w:eastAsia="Calibri" w:hAnsi="Arial" w:cs="Arial"/>
                <w:bCs/>
                <w:sz w:val="18"/>
                <w:szCs w:val="18"/>
              </w:rPr>
              <w:t>correo electrónico con concepto.</w:t>
            </w:r>
          </w:p>
        </w:tc>
      </w:tr>
      <w:tr w:rsidR="00115BB5" w:rsidRPr="000876AA" w14:paraId="158CD532" w14:textId="77777777" w:rsidTr="00F81EF9">
        <w:trPr>
          <w:trHeight w:val="42"/>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13707B61" w14:textId="71747F28" w:rsidR="00115BB5" w:rsidRPr="000876AA" w:rsidRDefault="00115BB5" w:rsidP="00D05531">
            <w:pPr>
              <w:jc w:val="both"/>
              <w:rPr>
                <w:rFonts w:ascii="Arial" w:hAnsi="Arial" w:cs="Arial"/>
                <w:sz w:val="18"/>
                <w:szCs w:val="18"/>
              </w:rPr>
            </w:pPr>
            <w:r w:rsidRPr="000876AA">
              <w:rPr>
                <w:rFonts w:ascii="Arial" w:hAnsi="Arial" w:cs="Arial"/>
                <w:sz w:val="18"/>
                <w:szCs w:val="18"/>
              </w:rPr>
              <w:lastRenderedPageBreak/>
              <w:t xml:space="preserve">Documentar todas las actas de aprobación de documentos especialmente las de matriz de riesgos y plan de acción. </w:t>
            </w:r>
            <w:r w:rsidRPr="000876AA">
              <w:rPr>
                <w:rFonts w:ascii="Arial" w:eastAsia="Calibri" w:hAnsi="Arial" w:cs="Arial"/>
                <w:bCs/>
                <w:sz w:val="18"/>
                <w:szCs w:val="18"/>
              </w:rPr>
              <w:t>(Unidad de Planeación)</w:t>
            </w:r>
          </w:p>
        </w:tc>
        <w:tc>
          <w:tcPr>
            <w:tcW w:w="2795" w:type="pct"/>
            <w:tcBorders>
              <w:top w:val="single" w:sz="4" w:space="0" w:color="auto"/>
              <w:left w:val="single" w:sz="4" w:space="0" w:color="auto"/>
              <w:bottom w:val="single" w:sz="4" w:space="0" w:color="auto"/>
              <w:right w:val="single" w:sz="4" w:space="0" w:color="000000"/>
            </w:tcBorders>
            <w:vAlign w:val="center"/>
          </w:tcPr>
          <w:p w14:paraId="50CC6AF2" w14:textId="77777777" w:rsidR="00115BB5" w:rsidRPr="000876AA" w:rsidRDefault="00290D45" w:rsidP="00210789">
            <w:pPr>
              <w:tabs>
                <w:tab w:val="center" w:pos="4536"/>
              </w:tabs>
              <w:jc w:val="both"/>
              <w:rPr>
                <w:rFonts w:ascii="Arial" w:eastAsia="Calibri" w:hAnsi="Arial" w:cs="Arial"/>
                <w:bCs/>
                <w:sz w:val="18"/>
                <w:szCs w:val="18"/>
              </w:rPr>
            </w:pPr>
            <w:r w:rsidRPr="000876AA">
              <w:rPr>
                <w:rFonts w:ascii="Arial" w:eastAsia="Calibri" w:hAnsi="Arial" w:cs="Arial"/>
                <w:bCs/>
                <w:sz w:val="18"/>
                <w:szCs w:val="18"/>
              </w:rPr>
              <w:t>Se documentaron las actas de aprobación, así:</w:t>
            </w:r>
          </w:p>
          <w:p w14:paraId="1E4A33DE" w14:textId="44CEA803" w:rsidR="00290D45" w:rsidRPr="000876AA" w:rsidRDefault="00290D45" w:rsidP="00210789">
            <w:pPr>
              <w:pStyle w:val="Prrafodelista"/>
              <w:numPr>
                <w:ilvl w:val="0"/>
                <w:numId w:val="16"/>
              </w:numPr>
              <w:tabs>
                <w:tab w:val="center" w:pos="4536"/>
              </w:tabs>
              <w:spacing w:after="0" w:line="240" w:lineRule="auto"/>
              <w:jc w:val="both"/>
              <w:rPr>
                <w:rFonts w:ascii="Arial" w:hAnsi="Arial" w:cs="Arial"/>
                <w:bCs/>
                <w:sz w:val="18"/>
                <w:szCs w:val="18"/>
              </w:rPr>
            </w:pPr>
            <w:r w:rsidRPr="000876AA">
              <w:rPr>
                <w:rFonts w:ascii="Arial" w:hAnsi="Arial" w:cs="Arial"/>
                <w:bCs/>
                <w:sz w:val="18"/>
                <w:szCs w:val="18"/>
              </w:rPr>
              <w:t>Reunión de Plan de acción 2022: Acta de 14-02-2022</w:t>
            </w:r>
          </w:p>
          <w:p w14:paraId="10C141A5" w14:textId="63875E51" w:rsidR="00290D45" w:rsidRPr="000876AA" w:rsidRDefault="00290D45" w:rsidP="00210789">
            <w:pPr>
              <w:pStyle w:val="Prrafodelista"/>
              <w:numPr>
                <w:ilvl w:val="0"/>
                <w:numId w:val="16"/>
              </w:numPr>
              <w:tabs>
                <w:tab w:val="center" w:pos="4536"/>
              </w:tabs>
              <w:spacing w:after="0" w:line="240" w:lineRule="auto"/>
              <w:jc w:val="both"/>
              <w:rPr>
                <w:rFonts w:ascii="Arial" w:hAnsi="Arial" w:cs="Arial"/>
                <w:bCs/>
                <w:sz w:val="18"/>
                <w:szCs w:val="18"/>
              </w:rPr>
            </w:pPr>
            <w:r w:rsidRPr="000876AA">
              <w:rPr>
                <w:rFonts w:ascii="Arial" w:hAnsi="Arial" w:cs="Arial"/>
                <w:bCs/>
                <w:sz w:val="18"/>
                <w:szCs w:val="18"/>
              </w:rPr>
              <w:t>Reunión de Mapas de riesgos 2022: Acta de 13-05-2022</w:t>
            </w:r>
          </w:p>
          <w:p w14:paraId="5D3A02DE" w14:textId="664C7C1D" w:rsidR="00290D45" w:rsidRPr="000876AA" w:rsidRDefault="00290D45" w:rsidP="00210789">
            <w:pPr>
              <w:pStyle w:val="Prrafodelista"/>
              <w:numPr>
                <w:ilvl w:val="0"/>
                <w:numId w:val="16"/>
              </w:numPr>
              <w:tabs>
                <w:tab w:val="center" w:pos="4536"/>
              </w:tabs>
              <w:spacing w:after="0" w:line="240" w:lineRule="auto"/>
              <w:jc w:val="both"/>
              <w:rPr>
                <w:rFonts w:ascii="Arial" w:hAnsi="Arial" w:cs="Arial"/>
                <w:bCs/>
                <w:sz w:val="18"/>
                <w:szCs w:val="18"/>
              </w:rPr>
            </w:pPr>
            <w:r w:rsidRPr="000876AA">
              <w:rPr>
                <w:rFonts w:ascii="Arial" w:hAnsi="Arial" w:cs="Arial"/>
                <w:bCs/>
                <w:sz w:val="18"/>
                <w:szCs w:val="18"/>
              </w:rPr>
              <w:t>Reunión de Plan de acción 2023: Acta de 09-03-2023</w:t>
            </w:r>
          </w:p>
        </w:tc>
      </w:tr>
      <w:tr w:rsidR="00115BB5" w:rsidRPr="000876AA" w14:paraId="301EACD8" w14:textId="77777777" w:rsidTr="00F81EF9">
        <w:trPr>
          <w:trHeight w:val="20"/>
          <w:jc w:val="center"/>
        </w:trPr>
        <w:tc>
          <w:tcPr>
            <w:tcW w:w="2205" w:type="pct"/>
            <w:tcBorders>
              <w:top w:val="single" w:sz="4" w:space="0" w:color="auto"/>
              <w:left w:val="single" w:sz="4" w:space="0" w:color="000000"/>
              <w:bottom w:val="single" w:sz="4" w:space="0" w:color="auto"/>
              <w:right w:val="single" w:sz="4" w:space="0" w:color="auto"/>
            </w:tcBorders>
            <w:vAlign w:val="center"/>
          </w:tcPr>
          <w:p w14:paraId="56DB8AC5" w14:textId="6B5AC74B" w:rsidR="00115BB5" w:rsidRPr="000876AA" w:rsidRDefault="00115BB5" w:rsidP="00D05531">
            <w:pPr>
              <w:jc w:val="both"/>
              <w:rPr>
                <w:rFonts w:ascii="Arial" w:hAnsi="Arial" w:cs="Arial"/>
                <w:sz w:val="18"/>
                <w:szCs w:val="18"/>
              </w:rPr>
            </w:pPr>
            <w:r w:rsidRPr="000876AA">
              <w:rPr>
                <w:rFonts w:ascii="Arial" w:hAnsi="Arial" w:cs="Arial"/>
                <w:sz w:val="18"/>
                <w:szCs w:val="18"/>
              </w:rPr>
              <w:t xml:space="preserve">Revisar la pertinencia de incorporar indicadores en la caracterización, que reflejen la operación de las actividades propias de la Unidad de Planeación ya que actualmente solo manejan uno de las actividades de la Unidad de presupuesto. </w:t>
            </w:r>
            <w:r w:rsidRPr="000876AA">
              <w:rPr>
                <w:rFonts w:ascii="Arial" w:eastAsia="Calibri" w:hAnsi="Arial" w:cs="Arial"/>
                <w:bCs/>
                <w:sz w:val="18"/>
                <w:szCs w:val="18"/>
              </w:rPr>
              <w:t>(Unidad de Planeación)</w:t>
            </w:r>
          </w:p>
        </w:tc>
        <w:tc>
          <w:tcPr>
            <w:tcW w:w="2795" w:type="pct"/>
            <w:tcBorders>
              <w:top w:val="single" w:sz="4" w:space="0" w:color="auto"/>
              <w:left w:val="single" w:sz="4" w:space="0" w:color="auto"/>
              <w:bottom w:val="single" w:sz="4" w:space="0" w:color="auto"/>
              <w:right w:val="single" w:sz="4" w:space="0" w:color="000000"/>
            </w:tcBorders>
            <w:shd w:val="clear" w:color="auto" w:fill="auto"/>
            <w:vAlign w:val="center"/>
          </w:tcPr>
          <w:p w14:paraId="4855D75B" w14:textId="77777777" w:rsidR="00115BB5" w:rsidRPr="000876AA" w:rsidRDefault="00AD61CE" w:rsidP="00210789">
            <w:pPr>
              <w:jc w:val="both"/>
              <w:rPr>
                <w:rFonts w:ascii="Arial" w:hAnsi="Arial" w:cs="Arial"/>
                <w:sz w:val="18"/>
                <w:szCs w:val="18"/>
              </w:rPr>
            </w:pPr>
            <w:r w:rsidRPr="000876AA">
              <w:rPr>
                <w:rFonts w:ascii="Arial" w:hAnsi="Arial" w:cs="Arial"/>
                <w:sz w:val="18"/>
                <w:szCs w:val="18"/>
              </w:rPr>
              <w:t xml:space="preserve">Teniendo en cuenta que está en proceso de revisión y aprobación el nuevo proceso Gestión de la Planeación Funcional y Evaluación, </w:t>
            </w:r>
            <w:r w:rsidR="00963C5E" w:rsidRPr="000876AA">
              <w:rPr>
                <w:rFonts w:ascii="Arial" w:hAnsi="Arial" w:cs="Arial"/>
                <w:sz w:val="18"/>
                <w:szCs w:val="18"/>
              </w:rPr>
              <w:t>se decidió no incorporar los indicadores a la caracterización financiera y presupuestal. En todo caso, los indicadores que se identificaron, se están midiendo y harían parte de la caracterización del nuevo proceso, son:</w:t>
            </w:r>
          </w:p>
          <w:p w14:paraId="5FF34A49" w14:textId="54A56D97" w:rsidR="00963C5E" w:rsidRPr="000876AA" w:rsidRDefault="008C4501" w:rsidP="00210789">
            <w:pPr>
              <w:pStyle w:val="Prrafodelista"/>
              <w:numPr>
                <w:ilvl w:val="0"/>
                <w:numId w:val="19"/>
              </w:numPr>
              <w:spacing w:after="0" w:line="240" w:lineRule="auto"/>
              <w:jc w:val="both"/>
              <w:rPr>
                <w:rFonts w:ascii="Arial" w:hAnsi="Arial" w:cs="Arial"/>
                <w:bCs/>
                <w:sz w:val="18"/>
                <w:szCs w:val="18"/>
              </w:rPr>
            </w:pPr>
            <w:r w:rsidRPr="000876AA">
              <w:rPr>
                <w:rFonts w:ascii="Arial" w:hAnsi="Arial" w:cs="Arial"/>
                <w:bCs/>
                <w:sz w:val="18"/>
                <w:szCs w:val="18"/>
              </w:rPr>
              <w:t>Cumplimiento fecha de presentación anteproyecto de presupuesto de la Rama Judicial</w:t>
            </w:r>
            <w:r w:rsidR="005B5A01" w:rsidRPr="000876AA">
              <w:rPr>
                <w:rFonts w:ascii="Arial" w:hAnsi="Arial" w:cs="Arial"/>
                <w:bCs/>
                <w:sz w:val="18"/>
                <w:szCs w:val="18"/>
              </w:rPr>
              <w:t>.</w:t>
            </w:r>
          </w:p>
          <w:p w14:paraId="287F2F5E" w14:textId="696A1664" w:rsidR="008C4501" w:rsidRPr="000876AA" w:rsidRDefault="008C4501" w:rsidP="00210789">
            <w:pPr>
              <w:pStyle w:val="Prrafodelista"/>
              <w:numPr>
                <w:ilvl w:val="0"/>
                <w:numId w:val="19"/>
              </w:numPr>
              <w:spacing w:after="0" w:line="240" w:lineRule="auto"/>
              <w:jc w:val="both"/>
              <w:rPr>
                <w:rFonts w:ascii="Arial" w:hAnsi="Arial" w:cs="Arial"/>
                <w:bCs/>
                <w:sz w:val="18"/>
                <w:szCs w:val="18"/>
              </w:rPr>
            </w:pPr>
            <w:r w:rsidRPr="000876AA">
              <w:rPr>
                <w:rFonts w:ascii="Arial" w:hAnsi="Arial" w:cs="Arial"/>
                <w:bCs/>
                <w:sz w:val="18"/>
                <w:szCs w:val="18"/>
              </w:rPr>
              <w:t>Cumplimiento en los términos de presentación POAI</w:t>
            </w:r>
            <w:r w:rsidR="005B5A01" w:rsidRPr="000876AA">
              <w:rPr>
                <w:rFonts w:ascii="Arial" w:hAnsi="Arial" w:cs="Arial"/>
                <w:bCs/>
                <w:sz w:val="18"/>
                <w:szCs w:val="18"/>
              </w:rPr>
              <w:t>.</w:t>
            </w:r>
          </w:p>
          <w:p w14:paraId="1C84CBED" w14:textId="25E9E0AF" w:rsidR="008C4501" w:rsidRPr="000876AA" w:rsidRDefault="008C4501" w:rsidP="00210789">
            <w:pPr>
              <w:pStyle w:val="Prrafodelista"/>
              <w:numPr>
                <w:ilvl w:val="0"/>
                <w:numId w:val="19"/>
              </w:numPr>
              <w:spacing w:after="0" w:line="240" w:lineRule="auto"/>
              <w:jc w:val="both"/>
              <w:rPr>
                <w:rFonts w:ascii="Arial" w:hAnsi="Arial" w:cs="Arial"/>
                <w:bCs/>
                <w:sz w:val="18"/>
                <w:szCs w:val="18"/>
              </w:rPr>
            </w:pPr>
            <w:r w:rsidRPr="000876AA">
              <w:rPr>
                <w:rFonts w:ascii="Arial" w:hAnsi="Arial" w:cs="Arial"/>
                <w:bCs/>
                <w:sz w:val="18"/>
                <w:szCs w:val="18"/>
              </w:rPr>
              <w:t>Cumplimiento de distribución inicial del presupuesto</w:t>
            </w:r>
            <w:r w:rsidR="005B5A01" w:rsidRPr="000876AA">
              <w:rPr>
                <w:rFonts w:ascii="Arial" w:hAnsi="Arial" w:cs="Arial"/>
                <w:bCs/>
                <w:sz w:val="18"/>
                <w:szCs w:val="18"/>
              </w:rPr>
              <w:t>.</w:t>
            </w:r>
          </w:p>
          <w:p w14:paraId="6E7BA2F9" w14:textId="185D51B3" w:rsidR="008C4501" w:rsidRPr="000876AA" w:rsidRDefault="008C4501" w:rsidP="00210789">
            <w:pPr>
              <w:pStyle w:val="Prrafodelista"/>
              <w:numPr>
                <w:ilvl w:val="0"/>
                <w:numId w:val="19"/>
              </w:numPr>
              <w:spacing w:after="0" w:line="240" w:lineRule="auto"/>
              <w:jc w:val="both"/>
              <w:rPr>
                <w:rFonts w:ascii="Arial" w:hAnsi="Arial" w:cs="Arial"/>
                <w:bCs/>
                <w:sz w:val="18"/>
                <w:szCs w:val="18"/>
              </w:rPr>
            </w:pPr>
            <w:r w:rsidRPr="000876AA">
              <w:rPr>
                <w:rFonts w:ascii="Arial" w:hAnsi="Arial" w:cs="Arial"/>
                <w:bCs/>
                <w:sz w:val="18"/>
                <w:szCs w:val="18"/>
              </w:rPr>
              <w:t>Porcentaje Documentos e informes entregados al Consejo Superior y/o Director Ejecutivo con oportunidad en el periodo</w:t>
            </w:r>
            <w:r w:rsidR="005B5A01" w:rsidRPr="000876AA">
              <w:rPr>
                <w:rFonts w:ascii="Arial" w:hAnsi="Arial" w:cs="Arial"/>
                <w:bCs/>
                <w:sz w:val="18"/>
                <w:szCs w:val="18"/>
              </w:rPr>
              <w:t>.</w:t>
            </w:r>
          </w:p>
          <w:p w14:paraId="2A0BD678" w14:textId="4F13F560" w:rsidR="008C4501" w:rsidRPr="000876AA" w:rsidRDefault="008C4501" w:rsidP="00210789">
            <w:pPr>
              <w:pStyle w:val="Prrafodelista"/>
              <w:numPr>
                <w:ilvl w:val="0"/>
                <w:numId w:val="19"/>
              </w:numPr>
              <w:spacing w:after="0" w:line="240" w:lineRule="auto"/>
              <w:jc w:val="both"/>
              <w:rPr>
                <w:rFonts w:ascii="Arial" w:hAnsi="Arial" w:cs="Arial"/>
                <w:bCs/>
                <w:sz w:val="18"/>
                <w:szCs w:val="18"/>
              </w:rPr>
            </w:pPr>
            <w:r w:rsidRPr="000876AA">
              <w:rPr>
                <w:rFonts w:ascii="Arial" w:hAnsi="Arial" w:cs="Arial"/>
                <w:bCs/>
                <w:sz w:val="18"/>
                <w:szCs w:val="18"/>
              </w:rPr>
              <w:t>Porcentaje documentos e informes entregados a entes externos con oportunidad en el periodo</w:t>
            </w:r>
            <w:r w:rsidR="005B5A01" w:rsidRPr="000876AA">
              <w:rPr>
                <w:rFonts w:ascii="Arial" w:hAnsi="Arial" w:cs="Arial"/>
                <w:bCs/>
                <w:sz w:val="18"/>
                <w:szCs w:val="18"/>
              </w:rPr>
              <w:t>.</w:t>
            </w:r>
          </w:p>
          <w:p w14:paraId="479330A8" w14:textId="4BB94A4D" w:rsidR="008C4501" w:rsidRPr="000876AA" w:rsidRDefault="008C4501" w:rsidP="00210789">
            <w:pPr>
              <w:pStyle w:val="Prrafodelista"/>
              <w:numPr>
                <w:ilvl w:val="0"/>
                <w:numId w:val="19"/>
              </w:numPr>
              <w:spacing w:after="0" w:line="240" w:lineRule="auto"/>
              <w:jc w:val="both"/>
              <w:rPr>
                <w:rFonts w:ascii="Arial" w:hAnsi="Arial" w:cs="Arial"/>
                <w:bCs/>
                <w:sz w:val="18"/>
                <w:szCs w:val="18"/>
              </w:rPr>
            </w:pPr>
            <w:r w:rsidRPr="000876AA">
              <w:rPr>
                <w:rFonts w:ascii="Arial" w:hAnsi="Arial" w:cs="Arial"/>
                <w:bCs/>
                <w:sz w:val="18"/>
                <w:szCs w:val="18"/>
              </w:rPr>
              <w:t>Porcentaje informes de planes de mejoramiento específicos requeridos, entregados Director Ejecutivo con oportunidad en el periodo</w:t>
            </w:r>
            <w:r w:rsidR="005B5A01" w:rsidRPr="000876AA">
              <w:rPr>
                <w:rFonts w:ascii="Arial" w:hAnsi="Arial" w:cs="Arial"/>
                <w:bCs/>
                <w:sz w:val="18"/>
                <w:szCs w:val="18"/>
              </w:rPr>
              <w:t>.</w:t>
            </w:r>
          </w:p>
          <w:p w14:paraId="6EA84930" w14:textId="77777777" w:rsidR="008C4501" w:rsidRPr="000876AA" w:rsidRDefault="008C4501" w:rsidP="00210789">
            <w:pPr>
              <w:pStyle w:val="Prrafodelista"/>
              <w:numPr>
                <w:ilvl w:val="0"/>
                <w:numId w:val="19"/>
              </w:numPr>
              <w:spacing w:after="0" w:line="240" w:lineRule="auto"/>
              <w:jc w:val="both"/>
              <w:rPr>
                <w:rFonts w:ascii="Arial" w:hAnsi="Arial" w:cs="Arial"/>
                <w:bCs/>
                <w:sz w:val="18"/>
                <w:szCs w:val="18"/>
              </w:rPr>
            </w:pPr>
            <w:r w:rsidRPr="000876AA">
              <w:rPr>
                <w:rFonts w:ascii="Arial" w:hAnsi="Arial" w:cs="Arial"/>
                <w:bCs/>
                <w:sz w:val="18"/>
                <w:szCs w:val="18"/>
              </w:rPr>
              <w:t>Reporte avance cumplimiento Plan Estratégico (PE) en el periodo.</w:t>
            </w:r>
          </w:p>
          <w:p w14:paraId="3C5FF62F" w14:textId="77777777" w:rsidR="008C4501" w:rsidRPr="000876AA" w:rsidRDefault="008C4501" w:rsidP="00210789">
            <w:pPr>
              <w:pStyle w:val="Prrafodelista"/>
              <w:numPr>
                <w:ilvl w:val="0"/>
                <w:numId w:val="19"/>
              </w:numPr>
              <w:spacing w:after="0" w:line="240" w:lineRule="auto"/>
              <w:jc w:val="both"/>
              <w:rPr>
                <w:rFonts w:ascii="Arial" w:hAnsi="Arial" w:cs="Arial"/>
                <w:bCs/>
                <w:sz w:val="18"/>
                <w:szCs w:val="18"/>
              </w:rPr>
            </w:pPr>
            <w:r w:rsidRPr="000876AA">
              <w:rPr>
                <w:rFonts w:ascii="Arial" w:hAnsi="Arial" w:cs="Arial"/>
                <w:bCs/>
                <w:sz w:val="18"/>
                <w:szCs w:val="18"/>
              </w:rPr>
              <w:t>Porcentaje de Avance del Plan de Acción de la Unidad</w:t>
            </w:r>
          </w:p>
          <w:p w14:paraId="4F9CCFEC" w14:textId="5D139E1C" w:rsidR="008C4501" w:rsidRPr="000876AA" w:rsidRDefault="005B5A01" w:rsidP="00210789">
            <w:pPr>
              <w:pStyle w:val="Prrafodelista"/>
              <w:numPr>
                <w:ilvl w:val="0"/>
                <w:numId w:val="19"/>
              </w:numPr>
              <w:spacing w:after="0" w:line="240" w:lineRule="auto"/>
              <w:jc w:val="both"/>
              <w:rPr>
                <w:rFonts w:ascii="Arial" w:hAnsi="Arial" w:cs="Arial"/>
                <w:bCs/>
                <w:sz w:val="18"/>
                <w:szCs w:val="18"/>
              </w:rPr>
            </w:pPr>
            <w:r w:rsidRPr="000876AA">
              <w:rPr>
                <w:rFonts w:ascii="Arial" w:hAnsi="Arial" w:cs="Arial"/>
                <w:bCs/>
                <w:sz w:val="18"/>
                <w:szCs w:val="18"/>
              </w:rPr>
              <w:t>Porcentaje intervenciones de atención de requerimientos con oportunidad en el periodo.</w:t>
            </w:r>
          </w:p>
          <w:p w14:paraId="09949A31" w14:textId="77777777" w:rsidR="005B5A01" w:rsidRPr="000876AA" w:rsidRDefault="005B5A01" w:rsidP="00210789">
            <w:pPr>
              <w:pStyle w:val="Prrafodelista"/>
              <w:numPr>
                <w:ilvl w:val="0"/>
                <w:numId w:val="19"/>
              </w:numPr>
              <w:spacing w:after="0" w:line="240" w:lineRule="auto"/>
              <w:jc w:val="both"/>
              <w:rPr>
                <w:rFonts w:ascii="Arial" w:hAnsi="Arial" w:cs="Arial"/>
                <w:bCs/>
                <w:sz w:val="18"/>
                <w:szCs w:val="18"/>
              </w:rPr>
            </w:pPr>
            <w:r w:rsidRPr="000876AA">
              <w:rPr>
                <w:rFonts w:ascii="Arial" w:hAnsi="Arial" w:cs="Arial"/>
                <w:bCs/>
                <w:sz w:val="18"/>
                <w:szCs w:val="18"/>
              </w:rPr>
              <w:t>Porcentaje de planes funcionales formulados y/o actualizados en la DEAJ con acompañamiento.</w:t>
            </w:r>
          </w:p>
          <w:p w14:paraId="2246FDB7" w14:textId="77777777" w:rsidR="005B5A01" w:rsidRPr="000876AA" w:rsidRDefault="005B5A01" w:rsidP="00210789">
            <w:pPr>
              <w:pStyle w:val="Prrafodelista"/>
              <w:numPr>
                <w:ilvl w:val="0"/>
                <w:numId w:val="19"/>
              </w:numPr>
              <w:spacing w:after="0" w:line="240" w:lineRule="auto"/>
              <w:jc w:val="both"/>
              <w:rPr>
                <w:rFonts w:ascii="Arial" w:hAnsi="Arial" w:cs="Arial"/>
                <w:bCs/>
                <w:sz w:val="18"/>
                <w:szCs w:val="18"/>
              </w:rPr>
            </w:pPr>
            <w:r w:rsidRPr="000876AA">
              <w:rPr>
                <w:rFonts w:ascii="Arial" w:hAnsi="Arial" w:cs="Arial"/>
                <w:bCs/>
                <w:sz w:val="18"/>
                <w:szCs w:val="18"/>
              </w:rPr>
              <w:t>Porcentaje de solicitudes modificaciones presupuestales y vigencias futuras gestionadas.</w:t>
            </w:r>
          </w:p>
          <w:p w14:paraId="1EFE784B" w14:textId="77777777" w:rsidR="005B5A01" w:rsidRPr="000876AA" w:rsidRDefault="005B5A01" w:rsidP="00210789">
            <w:pPr>
              <w:pStyle w:val="Prrafodelista"/>
              <w:numPr>
                <w:ilvl w:val="0"/>
                <w:numId w:val="19"/>
              </w:numPr>
              <w:spacing w:after="0" w:line="240" w:lineRule="auto"/>
              <w:jc w:val="both"/>
              <w:rPr>
                <w:rFonts w:ascii="Arial" w:hAnsi="Arial" w:cs="Arial"/>
                <w:bCs/>
                <w:sz w:val="18"/>
                <w:szCs w:val="18"/>
              </w:rPr>
            </w:pPr>
            <w:r w:rsidRPr="000876AA">
              <w:rPr>
                <w:rFonts w:ascii="Arial" w:hAnsi="Arial" w:cs="Arial"/>
                <w:bCs/>
                <w:sz w:val="18"/>
                <w:szCs w:val="18"/>
              </w:rPr>
              <w:t>Tiempo promedio atención a solicitudes trámites presupuestales</w:t>
            </w:r>
          </w:p>
          <w:p w14:paraId="637D28AC" w14:textId="682A8800" w:rsidR="005B5A01" w:rsidRPr="000876AA" w:rsidRDefault="005B5A01" w:rsidP="00210789">
            <w:pPr>
              <w:pStyle w:val="Prrafodelista"/>
              <w:numPr>
                <w:ilvl w:val="0"/>
                <w:numId w:val="19"/>
              </w:numPr>
              <w:spacing w:after="0" w:line="240" w:lineRule="auto"/>
              <w:jc w:val="both"/>
              <w:rPr>
                <w:rFonts w:ascii="Arial" w:hAnsi="Arial" w:cs="Arial"/>
                <w:bCs/>
                <w:sz w:val="18"/>
                <w:szCs w:val="18"/>
              </w:rPr>
            </w:pPr>
            <w:r w:rsidRPr="000876AA">
              <w:rPr>
                <w:rFonts w:ascii="Arial" w:hAnsi="Arial" w:cs="Arial"/>
                <w:bCs/>
                <w:sz w:val="18"/>
                <w:szCs w:val="18"/>
              </w:rPr>
              <w:t>Índice de ejecución del plan de acción de la DEAJ.</w:t>
            </w:r>
          </w:p>
          <w:p w14:paraId="45E65383" w14:textId="0307F6AC" w:rsidR="005B5A01" w:rsidRPr="000876AA" w:rsidRDefault="005B5A01" w:rsidP="00210789">
            <w:pPr>
              <w:pStyle w:val="Prrafodelista"/>
              <w:numPr>
                <w:ilvl w:val="0"/>
                <w:numId w:val="19"/>
              </w:numPr>
              <w:spacing w:after="0" w:line="240" w:lineRule="auto"/>
              <w:jc w:val="both"/>
              <w:rPr>
                <w:rFonts w:ascii="Arial" w:hAnsi="Arial" w:cs="Arial"/>
                <w:bCs/>
                <w:sz w:val="18"/>
                <w:szCs w:val="18"/>
              </w:rPr>
            </w:pPr>
            <w:r w:rsidRPr="000876AA">
              <w:rPr>
                <w:rFonts w:ascii="Arial" w:hAnsi="Arial" w:cs="Arial"/>
                <w:bCs/>
                <w:sz w:val="18"/>
                <w:szCs w:val="18"/>
              </w:rPr>
              <w:t>Índice de avance cumplimiento plan estratégico en el periodo.</w:t>
            </w:r>
          </w:p>
        </w:tc>
      </w:tr>
    </w:tbl>
    <w:p w14:paraId="2AC61CDF" w14:textId="5F38AB2F" w:rsidR="00634E19" w:rsidRDefault="00634E19" w:rsidP="00EF4A79">
      <w:pPr>
        <w:pStyle w:val="Prrafodelista"/>
        <w:spacing w:after="0" w:line="240" w:lineRule="auto"/>
        <w:ind w:left="0"/>
        <w:contextualSpacing w:val="0"/>
        <w:rPr>
          <w:rFonts w:ascii="Arial" w:hAnsi="Arial" w:cs="Arial"/>
        </w:rPr>
      </w:pPr>
    </w:p>
    <w:p w14:paraId="1C0C2017" w14:textId="77777777" w:rsidR="00AD15F9" w:rsidRPr="000876AA" w:rsidRDefault="00AD15F9" w:rsidP="00EF4A79">
      <w:pPr>
        <w:pStyle w:val="Prrafodelista"/>
        <w:spacing w:after="0" w:line="240" w:lineRule="auto"/>
        <w:ind w:left="0"/>
        <w:contextualSpacing w:val="0"/>
        <w:rPr>
          <w:rFonts w:ascii="Arial" w:hAnsi="Arial" w:cs="Arial"/>
        </w:rPr>
      </w:pPr>
    </w:p>
    <w:p w14:paraId="0D4E50B6" w14:textId="7339C452" w:rsidR="00C14518" w:rsidRPr="00AD15F9" w:rsidRDefault="00CD54D6" w:rsidP="00AD15F9">
      <w:pPr>
        <w:pStyle w:val="Prrafodelista"/>
        <w:numPr>
          <w:ilvl w:val="0"/>
          <w:numId w:val="31"/>
        </w:numPr>
        <w:jc w:val="both"/>
        <w:rPr>
          <w:rFonts w:ascii="Arial" w:hAnsi="Arial" w:cs="Arial"/>
        </w:rPr>
      </w:pPr>
      <w:r w:rsidRPr="00AD15F9">
        <w:rPr>
          <w:rFonts w:ascii="Arial" w:hAnsi="Arial" w:cs="Arial"/>
          <w:b/>
        </w:rPr>
        <w:t>CAMBIOS EN EL CONTEXT</w:t>
      </w:r>
      <w:r w:rsidR="00E55EF7" w:rsidRPr="00AD15F9">
        <w:rPr>
          <w:rFonts w:ascii="Arial" w:hAnsi="Arial" w:cs="Arial"/>
          <w:b/>
        </w:rPr>
        <w:t>O</w:t>
      </w:r>
      <w:r w:rsidR="00634E19" w:rsidRPr="00AD15F9">
        <w:rPr>
          <w:rFonts w:ascii="Arial" w:hAnsi="Arial" w:cs="Arial"/>
          <w:b/>
        </w:rPr>
        <w:t xml:space="preserve"> INTERNO Y EXTERNO</w:t>
      </w:r>
    </w:p>
    <w:p w14:paraId="107B045A" w14:textId="77777777" w:rsidR="00634E19" w:rsidRPr="000876AA" w:rsidRDefault="00634E19" w:rsidP="00EF4A79">
      <w:pPr>
        <w:pStyle w:val="Prrafodelista"/>
        <w:spacing w:after="0" w:line="240" w:lineRule="auto"/>
        <w:ind w:left="0"/>
        <w:contextualSpacing w:val="0"/>
        <w:rPr>
          <w:rFonts w:ascii="Arial" w:hAnsi="Arial" w:cs="Arial"/>
        </w:rPr>
      </w:pPr>
    </w:p>
    <w:p w14:paraId="5A62A6F1" w14:textId="73E3E86C" w:rsidR="000E4C9E" w:rsidRPr="000876AA" w:rsidRDefault="00C14518" w:rsidP="00E90947">
      <w:pPr>
        <w:pStyle w:val="Prrafodelista"/>
        <w:tabs>
          <w:tab w:val="center" w:pos="4536"/>
        </w:tabs>
        <w:spacing w:after="0" w:line="240" w:lineRule="auto"/>
        <w:ind w:left="0"/>
        <w:contextualSpacing w:val="0"/>
        <w:jc w:val="both"/>
        <w:rPr>
          <w:rFonts w:ascii="Arial" w:hAnsi="Arial" w:cs="Arial"/>
          <w:i/>
          <w:u w:val="single"/>
        </w:rPr>
      </w:pPr>
      <w:r w:rsidRPr="000876AA">
        <w:rPr>
          <w:rFonts w:ascii="Arial" w:hAnsi="Arial" w:cs="Arial"/>
        </w:rPr>
        <w:t>Se hace la rev</w:t>
      </w:r>
      <w:r w:rsidR="006D5556" w:rsidRPr="000876AA">
        <w:rPr>
          <w:rFonts w:ascii="Arial" w:hAnsi="Arial" w:cs="Arial"/>
        </w:rPr>
        <w:t xml:space="preserve">isión del </w:t>
      </w:r>
      <w:r w:rsidR="007C0569" w:rsidRPr="000876AA">
        <w:rPr>
          <w:rFonts w:ascii="Arial" w:hAnsi="Arial" w:cs="Arial"/>
        </w:rPr>
        <w:t>c</w:t>
      </w:r>
      <w:r w:rsidR="006D5556" w:rsidRPr="000876AA">
        <w:rPr>
          <w:rFonts w:ascii="Arial" w:hAnsi="Arial" w:cs="Arial"/>
        </w:rPr>
        <w:t>ontexto vigencia 202</w:t>
      </w:r>
      <w:r w:rsidR="007C0569" w:rsidRPr="000876AA">
        <w:rPr>
          <w:rFonts w:ascii="Arial" w:hAnsi="Arial" w:cs="Arial"/>
        </w:rPr>
        <w:t>2</w:t>
      </w:r>
      <w:r w:rsidRPr="000876AA">
        <w:rPr>
          <w:rFonts w:ascii="Arial" w:hAnsi="Arial" w:cs="Arial"/>
        </w:rPr>
        <w:t xml:space="preserve">. </w:t>
      </w:r>
      <w:r w:rsidR="00145C88" w:rsidRPr="000876AA">
        <w:rPr>
          <w:rFonts w:ascii="Arial" w:hAnsi="Arial" w:cs="Arial"/>
        </w:rPr>
        <w:t>Para la actualización del contexto vigencia 2023, no se identificaron cambios significativos que afecten el proceso.</w:t>
      </w:r>
    </w:p>
    <w:p w14:paraId="15AB58E0" w14:textId="77777777" w:rsidR="002D72EE" w:rsidRPr="000876AA" w:rsidRDefault="002D72EE" w:rsidP="00E90947">
      <w:pPr>
        <w:pStyle w:val="Prrafodelista"/>
        <w:spacing w:after="0" w:line="240" w:lineRule="auto"/>
        <w:ind w:left="0"/>
        <w:contextualSpacing w:val="0"/>
        <w:jc w:val="both"/>
        <w:rPr>
          <w:rFonts w:ascii="Arial" w:hAnsi="Arial" w:cs="Arial"/>
          <w:szCs w:val="18"/>
          <w:lang w:val="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107"/>
        <w:gridCol w:w="3729"/>
        <w:gridCol w:w="2806"/>
        <w:gridCol w:w="2322"/>
      </w:tblGrid>
      <w:tr w:rsidR="002D72EE" w:rsidRPr="000876AA" w14:paraId="6D525A9D" w14:textId="77777777" w:rsidTr="001B47A9">
        <w:trPr>
          <w:trHeight w:val="20"/>
          <w:tblHeader/>
          <w:jc w:val="center"/>
        </w:trPr>
        <w:tc>
          <w:tcPr>
            <w:tcW w:w="540" w:type="pct"/>
            <w:tcBorders>
              <w:top w:val="single" w:sz="4" w:space="0" w:color="auto"/>
              <w:left w:val="single" w:sz="4" w:space="0" w:color="000000"/>
              <w:bottom w:val="single" w:sz="4" w:space="0" w:color="auto"/>
              <w:right w:val="single" w:sz="4" w:space="0" w:color="auto"/>
            </w:tcBorders>
            <w:shd w:val="clear" w:color="auto" w:fill="E7E6E6"/>
            <w:vAlign w:val="center"/>
          </w:tcPr>
          <w:p w14:paraId="697D3D5F" w14:textId="77777777" w:rsidR="002D72EE" w:rsidRPr="000876AA" w:rsidRDefault="002D72EE" w:rsidP="00E90947">
            <w:pPr>
              <w:tabs>
                <w:tab w:val="center" w:pos="4536"/>
              </w:tabs>
              <w:jc w:val="center"/>
              <w:rPr>
                <w:rFonts w:ascii="Arial" w:eastAsia="Calibri" w:hAnsi="Arial" w:cs="Arial"/>
                <w:b/>
                <w:sz w:val="20"/>
              </w:rPr>
            </w:pPr>
            <w:r w:rsidRPr="000876AA">
              <w:rPr>
                <w:rFonts w:ascii="Arial" w:eastAsia="Calibri" w:hAnsi="Arial" w:cs="Arial"/>
                <w:b/>
                <w:sz w:val="20"/>
              </w:rPr>
              <w:t>PROCESO</w:t>
            </w:r>
          </w:p>
        </w:tc>
        <w:tc>
          <w:tcPr>
            <w:tcW w:w="1877" w:type="pct"/>
            <w:tcBorders>
              <w:top w:val="single" w:sz="4" w:space="0" w:color="auto"/>
              <w:left w:val="single" w:sz="4" w:space="0" w:color="000000"/>
              <w:bottom w:val="single" w:sz="4" w:space="0" w:color="auto"/>
              <w:right w:val="single" w:sz="4" w:space="0" w:color="000000"/>
            </w:tcBorders>
            <w:shd w:val="clear" w:color="auto" w:fill="E7E6E6"/>
            <w:vAlign w:val="center"/>
          </w:tcPr>
          <w:p w14:paraId="04A867F7" w14:textId="77777777" w:rsidR="002D72EE" w:rsidRPr="000876AA" w:rsidRDefault="002D72EE" w:rsidP="00E90947">
            <w:pPr>
              <w:tabs>
                <w:tab w:val="center" w:pos="4536"/>
              </w:tabs>
              <w:jc w:val="center"/>
              <w:rPr>
                <w:rFonts w:ascii="Arial" w:eastAsia="Calibri" w:hAnsi="Arial" w:cs="Arial"/>
                <w:b/>
                <w:sz w:val="20"/>
              </w:rPr>
            </w:pPr>
            <w:r w:rsidRPr="000876AA">
              <w:rPr>
                <w:rFonts w:ascii="Arial" w:eastAsia="Calibri" w:hAnsi="Arial" w:cs="Arial"/>
                <w:b/>
                <w:sz w:val="20"/>
              </w:rPr>
              <w:t>CAMBIOS IDENTIFICADOS</w:t>
            </w:r>
          </w:p>
        </w:tc>
        <w:tc>
          <w:tcPr>
            <w:tcW w:w="1413" w:type="pct"/>
            <w:tcBorders>
              <w:top w:val="single" w:sz="4" w:space="0" w:color="auto"/>
              <w:left w:val="single" w:sz="4" w:space="0" w:color="000000"/>
              <w:bottom w:val="single" w:sz="4" w:space="0" w:color="auto"/>
              <w:right w:val="single" w:sz="4" w:space="0" w:color="auto"/>
            </w:tcBorders>
            <w:shd w:val="clear" w:color="auto" w:fill="E7E6E6"/>
            <w:vAlign w:val="center"/>
            <w:hideMark/>
          </w:tcPr>
          <w:p w14:paraId="4BA92B46" w14:textId="77777777" w:rsidR="002D72EE" w:rsidRPr="000876AA" w:rsidRDefault="002D72EE" w:rsidP="00E90947">
            <w:pPr>
              <w:tabs>
                <w:tab w:val="center" w:pos="4536"/>
              </w:tabs>
              <w:jc w:val="center"/>
              <w:rPr>
                <w:rFonts w:ascii="Arial" w:eastAsia="Calibri" w:hAnsi="Arial" w:cs="Arial"/>
                <w:b/>
                <w:sz w:val="20"/>
              </w:rPr>
            </w:pPr>
            <w:r w:rsidRPr="000876AA">
              <w:rPr>
                <w:rFonts w:ascii="Arial" w:eastAsia="Calibri" w:hAnsi="Arial" w:cs="Arial"/>
                <w:b/>
                <w:sz w:val="20"/>
              </w:rPr>
              <w:t>FACTORES DE CAMBIO</w:t>
            </w:r>
          </w:p>
          <w:p w14:paraId="33EDED47" w14:textId="77777777" w:rsidR="002D72EE" w:rsidRPr="000876AA" w:rsidRDefault="002D72EE" w:rsidP="00E90947">
            <w:pPr>
              <w:tabs>
                <w:tab w:val="center" w:pos="4536"/>
              </w:tabs>
              <w:jc w:val="center"/>
              <w:rPr>
                <w:rFonts w:ascii="Arial" w:eastAsia="Calibri" w:hAnsi="Arial" w:cs="Arial"/>
                <w:sz w:val="20"/>
              </w:rPr>
            </w:pPr>
            <w:r w:rsidRPr="000876AA">
              <w:rPr>
                <w:rFonts w:ascii="Arial" w:eastAsia="Calibri" w:hAnsi="Arial" w:cs="Arial"/>
                <w:b/>
                <w:sz w:val="16"/>
                <w:szCs w:val="16"/>
              </w:rPr>
              <w:t xml:space="preserve"> </w:t>
            </w:r>
            <w:r w:rsidRPr="000876AA">
              <w:rPr>
                <w:rFonts w:ascii="Arial" w:eastAsia="Calibri" w:hAnsi="Arial" w:cs="Arial"/>
                <w:sz w:val="14"/>
                <w:szCs w:val="14"/>
              </w:rPr>
              <w:t xml:space="preserve">(Con base en el análisis de contexto inicial enumerar los cambios que se identifican, que ocurrieron o que pueden ocurrir) </w:t>
            </w:r>
          </w:p>
        </w:tc>
        <w:tc>
          <w:tcPr>
            <w:tcW w:w="1170" w:type="pct"/>
            <w:tcBorders>
              <w:top w:val="single" w:sz="4" w:space="0" w:color="auto"/>
              <w:left w:val="single" w:sz="4" w:space="0" w:color="auto"/>
              <w:bottom w:val="single" w:sz="4" w:space="0" w:color="auto"/>
              <w:right w:val="single" w:sz="4" w:space="0" w:color="000000"/>
            </w:tcBorders>
            <w:shd w:val="clear" w:color="auto" w:fill="E7E6E6"/>
            <w:vAlign w:val="center"/>
            <w:hideMark/>
          </w:tcPr>
          <w:p w14:paraId="49B49642" w14:textId="77777777" w:rsidR="002D72EE" w:rsidRPr="000876AA" w:rsidRDefault="00D961F9" w:rsidP="00E90947">
            <w:pPr>
              <w:tabs>
                <w:tab w:val="center" w:pos="4536"/>
              </w:tabs>
              <w:jc w:val="center"/>
              <w:rPr>
                <w:rFonts w:ascii="Arial" w:eastAsia="Calibri" w:hAnsi="Arial" w:cs="Arial"/>
                <w:b/>
                <w:sz w:val="20"/>
              </w:rPr>
            </w:pPr>
            <w:r w:rsidRPr="000876AA">
              <w:rPr>
                <w:rFonts w:ascii="Arial" w:eastAsia="Calibri" w:hAnsi="Arial" w:cs="Arial"/>
                <w:b/>
                <w:sz w:val="20"/>
              </w:rPr>
              <w:t>ACCIÓN</w:t>
            </w:r>
            <w:r w:rsidR="002D72EE" w:rsidRPr="000876AA">
              <w:rPr>
                <w:rFonts w:ascii="Arial" w:eastAsia="Calibri" w:hAnsi="Arial" w:cs="Arial"/>
                <w:b/>
                <w:sz w:val="20"/>
              </w:rPr>
              <w:t xml:space="preserve"> A TOMAR</w:t>
            </w:r>
          </w:p>
          <w:p w14:paraId="2FF5372C" w14:textId="77777777" w:rsidR="002D72EE" w:rsidRPr="000876AA" w:rsidRDefault="002D72EE" w:rsidP="00E90947">
            <w:pPr>
              <w:tabs>
                <w:tab w:val="center" w:pos="4536"/>
              </w:tabs>
              <w:jc w:val="center"/>
              <w:rPr>
                <w:rFonts w:ascii="Arial" w:eastAsia="Calibri" w:hAnsi="Arial" w:cs="Arial"/>
                <w:sz w:val="20"/>
              </w:rPr>
            </w:pPr>
            <w:r w:rsidRPr="000876AA">
              <w:rPr>
                <w:rFonts w:ascii="Arial" w:eastAsia="Calibri" w:hAnsi="Arial" w:cs="Arial"/>
                <w:sz w:val="14"/>
                <w:szCs w:val="14"/>
              </w:rPr>
              <w:t>(Describir las acciones que se ejecutaron o se están ejecutando para gestionar el cambio)</w:t>
            </w:r>
          </w:p>
        </w:tc>
      </w:tr>
      <w:tr w:rsidR="002D72EE" w:rsidRPr="000876AA" w14:paraId="6F3A7648" w14:textId="77777777" w:rsidTr="001B47A9">
        <w:trPr>
          <w:trHeight w:val="20"/>
          <w:jc w:val="center"/>
        </w:trPr>
        <w:tc>
          <w:tcPr>
            <w:tcW w:w="540" w:type="pct"/>
            <w:tcBorders>
              <w:top w:val="single" w:sz="4" w:space="0" w:color="auto"/>
              <w:left w:val="single" w:sz="4" w:space="0" w:color="000000"/>
              <w:bottom w:val="single" w:sz="4" w:space="0" w:color="auto"/>
              <w:right w:val="single" w:sz="4" w:space="0" w:color="auto"/>
            </w:tcBorders>
            <w:vAlign w:val="center"/>
          </w:tcPr>
          <w:p w14:paraId="0B6B2BC1" w14:textId="0DDA2523" w:rsidR="002D72EE" w:rsidRPr="00210D90" w:rsidRDefault="003C4B77" w:rsidP="00E90947">
            <w:pPr>
              <w:tabs>
                <w:tab w:val="center" w:pos="4536"/>
              </w:tabs>
              <w:jc w:val="center"/>
              <w:rPr>
                <w:rFonts w:ascii="Arial" w:eastAsia="Calibri" w:hAnsi="Arial" w:cs="Arial"/>
                <w:sz w:val="18"/>
                <w:szCs w:val="18"/>
              </w:rPr>
            </w:pPr>
            <w:r w:rsidRPr="00210D90">
              <w:rPr>
                <w:rFonts w:ascii="Arial" w:hAnsi="Arial" w:cs="Arial"/>
                <w:sz w:val="18"/>
                <w:szCs w:val="18"/>
              </w:rPr>
              <w:t xml:space="preserve">Gestión </w:t>
            </w:r>
            <w:r w:rsidR="00145C88" w:rsidRPr="00210D90">
              <w:rPr>
                <w:rFonts w:ascii="Arial" w:hAnsi="Arial" w:cs="Arial"/>
                <w:sz w:val="18"/>
                <w:szCs w:val="18"/>
              </w:rPr>
              <w:t>Financiera y Presupuestal</w:t>
            </w:r>
          </w:p>
        </w:tc>
        <w:tc>
          <w:tcPr>
            <w:tcW w:w="1877" w:type="pct"/>
            <w:tcBorders>
              <w:top w:val="single" w:sz="4" w:space="0" w:color="auto"/>
              <w:left w:val="single" w:sz="4" w:space="0" w:color="000000"/>
              <w:bottom w:val="single" w:sz="4" w:space="0" w:color="auto"/>
              <w:right w:val="single" w:sz="4" w:space="0" w:color="000000"/>
            </w:tcBorders>
            <w:vAlign w:val="center"/>
          </w:tcPr>
          <w:p w14:paraId="297A4230" w14:textId="77777777" w:rsidR="002D72EE" w:rsidRPr="00210D90" w:rsidRDefault="006B187D" w:rsidP="00E90947">
            <w:pPr>
              <w:tabs>
                <w:tab w:val="center" w:pos="4536"/>
              </w:tabs>
              <w:jc w:val="center"/>
              <w:rPr>
                <w:rFonts w:ascii="Arial" w:eastAsia="Calibri" w:hAnsi="Arial" w:cs="Arial"/>
                <w:sz w:val="18"/>
                <w:szCs w:val="18"/>
              </w:rPr>
            </w:pPr>
            <w:r w:rsidRPr="00210D90">
              <w:rPr>
                <w:rFonts w:ascii="Arial" w:eastAsia="Calibri" w:hAnsi="Arial" w:cs="Arial"/>
                <w:sz w:val="18"/>
                <w:szCs w:val="18"/>
              </w:rPr>
              <w:t>Ningún cambio identificado</w:t>
            </w:r>
            <w:r w:rsidR="006732B0" w:rsidRPr="00210D90">
              <w:rPr>
                <w:rFonts w:ascii="Arial" w:eastAsia="Calibri" w:hAnsi="Arial" w:cs="Arial"/>
                <w:sz w:val="18"/>
                <w:szCs w:val="18"/>
              </w:rPr>
              <w:t xml:space="preserve"> con respecto al análisis de contexto de la vigencia anterior que pueda afectar el desarrollo del proceso.</w:t>
            </w:r>
          </w:p>
        </w:tc>
        <w:tc>
          <w:tcPr>
            <w:tcW w:w="1413" w:type="pct"/>
            <w:tcBorders>
              <w:top w:val="single" w:sz="4" w:space="0" w:color="auto"/>
              <w:left w:val="single" w:sz="4" w:space="0" w:color="000000"/>
              <w:bottom w:val="single" w:sz="4" w:space="0" w:color="auto"/>
              <w:right w:val="single" w:sz="4" w:space="0" w:color="auto"/>
            </w:tcBorders>
            <w:vAlign w:val="center"/>
          </w:tcPr>
          <w:p w14:paraId="5249F252" w14:textId="77777777" w:rsidR="002D72EE" w:rsidRPr="00210D90" w:rsidRDefault="00293F7C" w:rsidP="00E90947">
            <w:pPr>
              <w:tabs>
                <w:tab w:val="center" w:pos="4536"/>
              </w:tabs>
              <w:jc w:val="center"/>
              <w:rPr>
                <w:rFonts w:ascii="Arial" w:eastAsia="Calibri" w:hAnsi="Arial" w:cs="Arial"/>
                <w:sz w:val="18"/>
                <w:szCs w:val="18"/>
              </w:rPr>
            </w:pPr>
            <w:r w:rsidRPr="00210D90">
              <w:rPr>
                <w:rFonts w:ascii="Arial" w:eastAsia="Calibri" w:hAnsi="Arial" w:cs="Arial"/>
                <w:sz w:val="18"/>
                <w:szCs w:val="18"/>
              </w:rPr>
              <w:t>N/A</w:t>
            </w:r>
          </w:p>
        </w:tc>
        <w:tc>
          <w:tcPr>
            <w:tcW w:w="1170" w:type="pct"/>
            <w:tcBorders>
              <w:top w:val="single" w:sz="4" w:space="0" w:color="auto"/>
              <w:left w:val="single" w:sz="4" w:space="0" w:color="auto"/>
              <w:bottom w:val="single" w:sz="4" w:space="0" w:color="auto"/>
              <w:right w:val="single" w:sz="4" w:space="0" w:color="000000"/>
            </w:tcBorders>
            <w:vAlign w:val="center"/>
          </w:tcPr>
          <w:p w14:paraId="79E2072E" w14:textId="77777777" w:rsidR="002D72EE" w:rsidRPr="00210D90" w:rsidRDefault="00293F7C" w:rsidP="00E90947">
            <w:pPr>
              <w:tabs>
                <w:tab w:val="center" w:pos="4536"/>
              </w:tabs>
              <w:jc w:val="center"/>
              <w:rPr>
                <w:rFonts w:ascii="Arial" w:eastAsia="Calibri" w:hAnsi="Arial" w:cs="Arial"/>
                <w:sz w:val="18"/>
                <w:szCs w:val="18"/>
              </w:rPr>
            </w:pPr>
            <w:r w:rsidRPr="00210D90">
              <w:rPr>
                <w:rFonts w:ascii="Arial" w:eastAsia="Calibri" w:hAnsi="Arial" w:cs="Arial"/>
                <w:sz w:val="18"/>
                <w:szCs w:val="18"/>
              </w:rPr>
              <w:t>N/A</w:t>
            </w:r>
          </w:p>
        </w:tc>
      </w:tr>
    </w:tbl>
    <w:p w14:paraId="30D88AB0" w14:textId="46643796" w:rsidR="008E6A5A" w:rsidRDefault="008E6A5A" w:rsidP="00E90947">
      <w:pPr>
        <w:pStyle w:val="Prrafodelista"/>
        <w:spacing w:after="0" w:line="240" w:lineRule="auto"/>
        <w:ind w:left="0"/>
        <w:contextualSpacing w:val="0"/>
        <w:jc w:val="both"/>
        <w:rPr>
          <w:rFonts w:ascii="Arial" w:hAnsi="Arial" w:cs="Arial"/>
          <w:lang w:val="es-ES"/>
        </w:rPr>
      </w:pPr>
    </w:p>
    <w:p w14:paraId="0DB55B19" w14:textId="77777777" w:rsidR="00AD15F9" w:rsidRPr="000876AA" w:rsidRDefault="00AD15F9" w:rsidP="00E90947">
      <w:pPr>
        <w:pStyle w:val="Prrafodelista"/>
        <w:spacing w:after="0" w:line="240" w:lineRule="auto"/>
        <w:ind w:left="0"/>
        <w:contextualSpacing w:val="0"/>
        <w:jc w:val="both"/>
        <w:rPr>
          <w:rFonts w:ascii="Arial" w:hAnsi="Arial" w:cs="Arial"/>
          <w:lang w:val="es-ES"/>
        </w:rPr>
      </w:pPr>
    </w:p>
    <w:p w14:paraId="7E4D5661" w14:textId="77777777" w:rsidR="000E4C9E" w:rsidRPr="00AD15F9" w:rsidRDefault="000E4C9E" w:rsidP="00AD15F9">
      <w:pPr>
        <w:pStyle w:val="Prrafodelista"/>
        <w:numPr>
          <w:ilvl w:val="0"/>
          <w:numId w:val="31"/>
        </w:numPr>
        <w:jc w:val="both"/>
        <w:rPr>
          <w:rFonts w:ascii="Arial" w:hAnsi="Arial" w:cs="Arial"/>
          <w:b/>
        </w:rPr>
      </w:pPr>
      <w:r w:rsidRPr="00AD15F9">
        <w:rPr>
          <w:rFonts w:ascii="Arial" w:hAnsi="Arial" w:cs="Arial"/>
          <w:b/>
        </w:rPr>
        <w:t>GRADO DE SATISFACCIÓN D</w:t>
      </w:r>
      <w:r w:rsidR="000E02D3" w:rsidRPr="00AD15F9">
        <w:rPr>
          <w:rFonts w:ascii="Arial" w:hAnsi="Arial" w:cs="Arial"/>
          <w:b/>
        </w:rPr>
        <w:t>E LAS PARTES INTERESADAS (</w:t>
      </w:r>
      <w:r w:rsidR="00221634" w:rsidRPr="00AD15F9">
        <w:rPr>
          <w:rFonts w:ascii="Arial" w:hAnsi="Arial" w:cs="Arial"/>
          <w:b/>
        </w:rPr>
        <w:t>RESULTADO</w:t>
      </w:r>
      <w:r w:rsidRPr="00AD15F9">
        <w:rPr>
          <w:rFonts w:ascii="Arial" w:hAnsi="Arial" w:cs="Arial"/>
          <w:b/>
        </w:rPr>
        <w:t xml:space="preserve"> DE ENCUESTAS)-</w:t>
      </w:r>
      <w:r w:rsidR="00DC12AA" w:rsidRPr="00AD15F9">
        <w:rPr>
          <w:rFonts w:ascii="Arial" w:hAnsi="Arial" w:cs="Arial"/>
          <w:b/>
        </w:rPr>
        <w:t xml:space="preserve"> </w:t>
      </w:r>
      <w:r w:rsidR="007E6FCA" w:rsidRPr="00AD15F9">
        <w:rPr>
          <w:rFonts w:ascii="Arial" w:hAnsi="Arial" w:cs="Arial"/>
          <w:b/>
        </w:rPr>
        <w:t>(R</w:t>
      </w:r>
      <w:r w:rsidR="00C14518" w:rsidRPr="00AD15F9">
        <w:rPr>
          <w:rFonts w:ascii="Arial" w:hAnsi="Arial" w:cs="Arial"/>
          <w:b/>
        </w:rPr>
        <w:t>esultado</w:t>
      </w:r>
      <w:r w:rsidR="007E6FCA" w:rsidRPr="00AD15F9">
        <w:rPr>
          <w:rFonts w:ascii="Arial" w:hAnsi="Arial" w:cs="Arial"/>
          <w:b/>
        </w:rPr>
        <w:t xml:space="preserve"> </w:t>
      </w:r>
      <w:r w:rsidR="00C14518" w:rsidRPr="00AD15F9">
        <w:rPr>
          <w:rFonts w:ascii="Arial" w:hAnsi="Arial" w:cs="Arial"/>
          <w:b/>
        </w:rPr>
        <w:t>anual)</w:t>
      </w:r>
    </w:p>
    <w:p w14:paraId="77F7BC46" w14:textId="77777777" w:rsidR="00250B9D" w:rsidRPr="000876AA" w:rsidRDefault="00250B9D" w:rsidP="00E90947">
      <w:pPr>
        <w:tabs>
          <w:tab w:val="center" w:pos="4536"/>
        </w:tabs>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851"/>
        <w:gridCol w:w="4639"/>
        <w:gridCol w:w="1301"/>
        <w:gridCol w:w="761"/>
        <w:gridCol w:w="1412"/>
      </w:tblGrid>
      <w:tr w:rsidR="00B56699" w:rsidRPr="000876AA" w14:paraId="566C28A6" w14:textId="77777777" w:rsidTr="002B5637">
        <w:trPr>
          <w:trHeight w:val="20"/>
          <w:tblHeader/>
          <w:jc w:val="center"/>
        </w:trPr>
        <w:tc>
          <w:tcPr>
            <w:tcW w:w="933" w:type="pct"/>
            <w:shd w:val="clear" w:color="auto" w:fill="D9D9D9"/>
            <w:vAlign w:val="center"/>
          </w:tcPr>
          <w:p w14:paraId="75FEBF24" w14:textId="77777777" w:rsidR="00250B9D" w:rsidRPr="000876AA" w:rsidRDefault="00250B9D" w:rsidP="00E90947">
            <w:pPr>
              <w:tabs>
                <w:tab w:val="center" w:pos="4536"/>
              </w:tabs>
              <w:jc w:val="center"/>
              <w:rPr>
                <w:rFonts w:ascii="Arial" w:hAnsi="Arial" w:cs="Arial"/>
                <w:b/>
                <w:sz w:val="20"/>
              </w:rPr>
            </w:pPr>
            <w:r w:rsidRPr="000876AA">
              <w:rPr>
                <w:rFonts w:ascii="Arial" w:hAnsi="Arial" w:cs="Arial"/>
                <w:b/>
                <w:sz w:val="20"/>
              </w:rPr>
              <w:lastRenderedPageBreak/>
              <w:t>PROCESO</w:t>
            </w:r>
          </w:p>
        </w:tc>
        <w:tc>
          <w:tcPr>
            <w:tcW w:w="2332" w:type="pct"/>
            <w:shd w:val="clear" w:color="auto" w:fill="D9D9D9"/>
            <w:vAlign w:val="center"/>
          </w:tcPr>
          <w:p w14:paraId="48F7AFB4" w14:textId="77777777" w:rsidR="00250B9D" w:rsidRPr="000876AA" w:rsidRDefault="00250B9D" w:rsidP="00E90947">
            <w:pPr>
              <w:tabs>
                <w:tab w:val="center" w:pos="4536"/>
              </w:tabs>
              <w:jc w:val="center"/>
              <w:rPr>
                <w:rFonts w:ascii="Arial" w:hAnsi="Arial" w:cs="Arial"/>
                <w:b/>
                <w:sz w:val="20"/>
              </w:rPr>
            </w:pPr>
            <w:r w:rsidRPr="000876AA">
              <w:rPr>
                <w:rFonts w:ascii="Arial" w:hAnsi="Arial" w:cs="Arial"/>
                <w:b/>
                <w:sz w:val="20"/>
              </w:rPr>
              <w:t>TEMA DE LA ENCUESTA</w:t>
            </w:r>
          </w:p>
        </w:tc>
        <w:tc>
          <w:tcPr>
            <w:tcW w:w="637" w:type="pct"/>
            <w:shd w:val="clear" w:color="auto" w:fill="D9D9D9"/>
            <w:vAlign w:val="center"/>
          </w:tcPr>
          <w:p w14:paraId="611C6E52" w14:textId="77777777" w:rsidR="00250B9D" w:rsidRPr="000876AA" w:rsidRDefault="00250B9D" w:rsidP="00E90947">
            <w:pPr>
              <w:tabs>
                <w:tab w:val="center" w:pos="4536"/>
              </w:tabs>
              <w:jc w:val="center"/>
              <w:rPr>
                <w:rFonts w:ascii="Arial" w:hAnsi="Arial" w:cs="Arial"/>
                <w:b/>
                <w:sz w:val="20"/>
              </w:rPr>
            </w:pPr>
            <w:r w:rsidRPr="000876AA">
              <w:rPr>
                <w:rFonts w:ascii="Arial" w:hAnsi="Arial" w:cs="Arial"/>
                <w:b/>
                <w:sz w:val="20"/>
              </w:rPr>
              <w:t>RESULTADO</w:t>
            </w:r>
          </w:p>
        </w:tc>
        <w:tc>
          <w:tcPr>
            <w:tcW w:w="386" w:type="pct"/>
            <w:shd w:val="clear" w:color="auto" w:fill="D9D9D9"/>
            <w:vAlign w:val="center"/>
          </w:tcPr>
          <w:p w14:paraId="1AC12924" w14:textId="77777777" w:rsidR="00250B9D" w:rsidRPr="000876AA" w:rsidRDefault="00250B9D" w:rsidP="00E90947">
            <w:pPr>
              <w:tabs>
                <w:tab w:val="center" w:pos="4536"/>
              </w:tabs>
              <w:jc w:val="center"/>
              <w:rPr>
                <w:rFonts w:ascii="Arial" w:hAnsi="Arial" w:cs="Arial"/>
                <w:b/>
                <w:sz w:val="20"/>
              </w:rPr>
            </w:pPr>
            <w:r w:rsidRPr="000876AA">
              <w:rPr>
                <w:rFonts w:ascii="Arial" w:hAnsi="Arial" w:cs="Arial"/>
                <w:b/>
                <w:sz w:val="20"/>
              </w:rPr>
              <w:t>META</w:t>
            </w:r>
          </w:p>
        </w:tc>
        <w:tc>
          <w:tcPr>
            <w:tcW w:w="713" w:type="pct"/>
            <w:shd w:val="clear" w:color="auto" w:fill="D9D9D9"/>
            <w:vAlign w:val="center"/>
          </w:tcPr>
          <w:p w14:paraId="7F540C63" w14:textId="77777777" w:rsidR="00250B9D" w:rsidRPr="000876AA" w:rsidRDefault="00250B9D" w:rsidP="00E90947">
            <w:pPr>
              <w:tabs>
                <w:tab w:val="center" w:pos="4536"/>
              </w:tabs>
              <w:jc w:val="center"/>
              <w:rPr>
                <w:rFonts w:ascii="Arial" w:hAnsi="Arial" w:cs="Arial"/>
                <w:b/>
                <w:sz w:val="20"/>
              </w:rPr>
            </w:pPr>
            <w:r w:rsidRPr="000876AA">
              <w:rPr>
                <w:rFonts w:ascii="Arial" w:hAnsi="Arial" w:cs="Arial"/>
                <w:b/>
                <w:sz w:val="20"/>
              </w:rPr>
              <w:t>ANÁLISIS</w:t>
            </w:r>
          </w:p>
        </w:tc>
      </w:tr>
      <w:tr w:rsidR="00B56699" w:rsidRPr="000876AA" w14:paraId="4A328AD4" w14:textId="77777777" w:rsidTr="002B5637">
        <w:trPr>
          <w:trHeight w:val="20"/>
          <w:jc w:val="center"/>
        </w:trPr>
        <w:tc>
          <w:tcPr>
            <w:tcW w:w="933" w:type="pct"/>
            <w:shd w:val="clear" w:color="auto" w:fill="auto"/>
            <w:vAlign w:val="center"/>
          </w:tcPr>
          <w:p w14:paraId="0E605DB8" w14:textId="74160902" w:rsidR="00250B9D" w:rsidRPr="00210D90" w:rsidRDefault="00145C88" w:rsidP="0034090D">
            <w:pPr>
              <w:tabs>
                <w:tab w:val="center" w:pos="4536"/>
              </w:tabs>
              <w:jc w:val="center"/>
              <w:rPr>
                <w:rFonts w:ascii="Arial" w:hAnsi="Arial" w:cs="Arial"/>
                <w:bCs/>
                <w:sz w:val="18"/>
                <w:szCs w:val="18"/>
              </w:rPr>
            </w:pPr>
            <w:r w:rsidRPr="00210D90">
              <w:rPr>
                <w:rFonts w:ascii="Arial" w:hAnsi="Arial" w:cs="Arial"/>
                <w:sz w:val="18"/>
                <w:szCs w:val="18"/>
              </w:rPr>
              <w:t>Gestión Financiera y Presupuestal</w:t>
            </w:r>
          </w:p>
        </w:tc>
        <w:tc>
          <w:tcPr>
            <w:tcW w:w="2332" w:type="pct"/>
            <w:shd w:val="clear" w:color="auto" w:fill="auto"/>
            <w:vAlign w:val="center"/>
          </w:tcPr>
          <w:p w14:paraId="21F82786" w14:textId="29A93B0A" w:rsidR="00250B9D" w:rsidRPr="00210D90" w:rsidRDefault="005A4051" w:rsidP="00B56699">
            <w:pPr>
              <w:tabs>
                <w:tab w:val="center" w:pos="4536"/>
              </w:tabs>
              <w:jc w:val="center"/>
              <w:rPr>
                <w:rFonts w:ascii="Arial" w:hAnsi="Arial" w:cs="Arial"/>
                <w:bCs/>
                <w:sz w:val="18"/>
                <w:szCs w:val="18"/>
              </w:rPr>
            </w:pPr>
            <w:r w:rsidRPr="00210D90">
              <w:rPr>
                <w:rFonts w:ascii="Arial" w:hAnsi="Arial" w:cs="Arial"/>
                <w:bCs/>
                <w:sz w:val="18"/>
                <w:szCs w:val="18"/>
              </w:rPr>
              <w:t>En el año 202</w:t>
            </w:r>
            <w:r w:rsidR="00745058" w:rsidRPr="00210D90">
              <w:rPr>
                <w:rFonts w:ascii="Arial" w:hAnsi="Arial" w:cs="Arial"/>
                <w:bCs/>
                <w:sz w:val="18"/>
                <w:szCs w:val="18"/>
              </w:rPr>
              <w:t>2</w:t>
            </w:r>
            <w:r w:rsidRPr="00210D90">
              <w:rPr>
                <w:rFonts w:ascii="Arial" w:hAnsi="Arial" w:cs="Arial"/>
                <w:bCs/>
                <w:sz w:val="18"/>
                <w:szCs w:val="18"/>
              </w:rPr>
              <w:t xml:space="preserve"> no se aplicó ninguna encuesta</w:t>
            </w:r>
            <w:r w:rsidR="00B56699" w:rsidRPr="00210D90">
              <w:rPr>
                <w:rFonts w:ascii="Arial" w:hAnsi="Arial" w:cs="Arial"/>
                <w:bCs/>
                <w:sz w:val="18"/>
                <w:szCs w:val="18"/>
              </w:rPr>
              <w:t xml:space="preserve"> para medir la satisfacción de los usuarios del proceso.</w:t>
            </w:r>
          </w:p>
        </w:tc>
        <w:tc>
          <w:tcPr>
            <w:tcW w:w="637" w:type="pct"/>
            <w:shd w:val="clear" w:color="auto" w:fill="auto"/>
            <w:vAlign w:val="center"/>
          </w:tcPr>
          <w:p w14:paraId="481104B0" w14:textId="77777777" w:rsidR="00250B9D" w:rsidRPr="00210D90" w:rsidRDefault="00187946" w:rsidP="001D2ECE">
            <w:pPr>
              <w:tabs>
                <w:tab w:val="center" w:pos="4536"/>
              </w:tabs>
              <w:jc w:val="center"/>
              <w:rPr>
                <w:rFonts w:ascii="Arial" w:hAnsi="Arial" w:cs="Arial"/>
                <w:bCs/>
                <w:sz w:val="18"/>
                <w:szCs w:val="18"/>
              </w:rPr>
            </w:pPr>
            <w:r w:rsidRPr="00210D90">
              <w:rPr>
                <w:rFonts w:ascii="Arial" w:hAnsi="Arial" w:cs="Arial"/>
                <w:bCs/>
                <w:sz w:val="18"/>
                <w:szCs w:val="18"/>
              </w:rPr>
              <w:t>N/A</w:t>
            </w:r>
          </w:p>
        </w:tc>
        <w:tc>
          <w:tcPr>
            <w:tcW w:w="386" w:type="pct"/>
            <w:shd w:val="clear" w:color="auto" w:fill="auto"/>
            <w:vAlign w:val="center"/>
          </w:tcPr>
          <w:p w14:paraId="4FEDB8F1" w14:textId="77777777" w:rsidR="00250B9D" w:rsidRPr="00210D90" w:rsidRDefault="00187946" w:rsidP="001D2ECE">
            <w:pPr>
              <w:tabs>
                <w:tab w:val="center" w:pos="4536"/>
              </w:tabs>
              <w:jc w:val="center"/>
              <w:rPr>
                <w:rFonts w:ascii="Arial" w:hAnsi="Arial" w:cs="Arial"/>
                <w:bCs/>
                <w:sz w:val="18"/>
                <w:szCs w:val="18"/>
              </w:rPr>
            </w:pPr>
            <w:r w:rsidRPr="00210D90">
              <w:rPr>
                <w:rFonts w:ascii="Arial" w:hAnsi="Arial" w:cs="Arial"/>
                <w:bCs/>
                <w:sz w:val="18"/>
                <w:szCs w:val="18"/>
              </w:rPr>
              <w:t>N/A</w:t>
            </w:r>
          </w:p>
        </w:tc>
        <w:tc>
          <w:tcPr>
            <w:tcW w:w="713" w:type="pct"/>
            <w:shd w:val="clear" w:color="auto" w:fill="auto"/>
            <w:vAlign w:val="center"/>
          </w:tcPr>
          <w:p w14:paraId="6DDCC9B1" w14:textId="77777777" w:rsidR="00250B9D" w:rsidRPr="00210D90" w:rsidRDefault="00187946" w:rsidP="00187946">
            <w:pPr>
              <w:tabs>
                <w:tab w:val="center" w:pos="4536"/>
              </w:tabs>
              <w:jc w:val="center"/>
              <w:rPr>
                <w:rFonts w:ascii="Arial" w:hAnsi="Arial" w:cs="Arial"/>
                <w:bCs/>
                <w:sz w:val="18"/>
                <w:szCs w:val="18"/>
              </w:rPr>
            </w:pPr>
            <w:r w:rsidRPr="00210D90">
              <w:rPr>
                <w:rFonts w:ascii="Arial" w:hAnsi="Arial" w:cs="Arial"/>
                <w:bCs/>
                <w:sz w:val="18"/>
                <w:szCs w:val="18"/>
              </w:rPr>
              <w:t>N/A</w:t>
            </w:r>
          </w:p>
        </w:tc>
      </w:tr>
    </w:tbl>
    <w:p w14:paraId="1004C6DA" w14:textId="2DF192BB" w:rsidR="002E3317"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2796CE20" w14:textId="77777777" w:rsidR="00AD15F9" w:rsidRPr="000876AA" w:rsidRDefault="00AD15F9"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224D58E3" w14:textId="2FDE7252" w:rsidR="002E3317" w:rsidRPr="00AD15F9" w:rsidRDefault="002D72EE" w:rsidP="00AD15F9">
      <w:pPr>
        <w:pStyle w:val="Prrafodelista"/>
        <w:numPr>
          <w:ilvl w:val="0"/>
          <w:numId w:val="31"/>
        </w:numPr>
        <w:jc w:val="both"/>
        <w:rPr>
          <w:rFonts w:ascii="Arial" w:eastAsia="Times New Roman" w:hAnsi="Arial" w:cs="Arial"/>
          <w:b/>
          <w:lang w:val="es-ES" w:eastAsia="es-ES"/>
        </w:rPr>
      </w:pPr>
      <w:r w:rsidRPr="00AD15F9">
        <w:rPr>
          <w:rFonts w:ascii="Arial" w:hAnsi="Arial" w:cs="Arial"/>
          <w:b/>
        </w:rPr>
        <w:t xml:space="preserve">RETROALIMENTACIÓN DE LAS PARTES INTERESADAS (Feedback, </w:t>
      </w:r>
      <w:r w:rsidRPr="00AD15F9">
        <w:rPr>
          <w:rFonts w:ascii="Arial" w:hAnsi="Arial" w:cs="Arial"/>
          <w:b/>
          <w:color w:val="202124"/>
          <w:shd w:val="clear" w:color="auto" w:fill="FFFFFF"/>
        </w:rPr>
        <w:t>reacción, respuesta u opinión que nos dan las partes interesadas)</w:t>
      </w:r>
    </w:p>
    <w:p w14:paraId="0C57BF14" w14:textId="77777777" w:rsidR="002E3317" w:rsidRPr="000876AA"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1E0" w:firstRow="1" w:lastRow="1" w:firstColumn="1" w:lastColumn="1" w:noHBand="0" w:noVBand="0"/>
      </w:tblPr>
      <w:tblGrid>
        <w:gridCol w:w="4816"/>
        <w:gridCol w:w="2533"/>
        <w:gridCol w:w="2615"/>
      </w:tblGrid>
      <w:tr w:rsidR="002D72EE" w:rsidRPr="000876AA" w14:paraId="173D9E4C" w14:textId="77777777" w:rsidTr="002B5637">
        <w:trPr>
          <w:trHeight w:val="20"/>
          <w:tblHeader/>
          <w:jc w:val="center"/>
        </w:trPr>
        <w:tc>
          <w:tcPr>
            <w:tcW w:w="2417" w:type="pct"/>
            <w:shd w:val="clear" w:color="auto" w:fill="ECECEC"/>
            <w:vAlign w:val="center"/>
          </w:tcPr>
          <w:p w14:paraId="1D4A281A" w14:textId="77777777" w:rsidR="00B47FDC" w:rsidRPr="000876AA" w:rsidRDefault="002D72EE" w:rsidP="00B47FDC">
            <w:pPr>
              <w:pStyle w:val="TableParagraph"/>
              <w:jc w:val="center"/>
              <w:rPr>
                <w:rFonts w:ascii="Arial" w:hAnsi="Arial" w:cs="Arial"/>
                <w:b/>
                <w:sz w:val="20"/>
                <w:szCs w:val="20"/>
              </w:rPr>
            </w:pPr>
            <w:r w:rsidRPr="000876AA">
              <w:rPr>
                <w:rFonts w:ascii="Arial" w:hAnsi="Arial" w:cs="Arial"/>
                <w:b/>
                <w:sz w:val="20"/>
                <w:szCs w:val="20"/>
              </w:rPr>
              <w:t xml:space="preserve">FUENTE DE LA </w:t>
            </w:r>
            <w:r w:rsidR="00B47FDC" w:rsidRPr="000876AA">
              <w:rPr>
                <w:rFonts w:ascii="Arial" w:hAnsi="Arial" w:cs="Arial"/>
                <w:b/>
                <w:sz w:val="20"/>
                <w:szCs w:val="20"/>
              </w:rPr>
              <w:t>RETROALIMENTACIÓN</w:t>
            </w:r>
          </w:p>
          <w:p w14:paraId="40F12C03" w14:textId="77777777" w:rsidR="002D72EE" w:rsidRPr="000876AA" w:rsidRDefault="00B47FDC" w:rsidP="00B47FDC">
            <w:pPr>
              <w:pStyle w:val="TableParagraph"/>
              <w:jc w:val="center"/>
              <w:rPr>
                <w:rFonts w:ascii="Arial" w:hAnsi="Arial" w:cs="Arial"/>
                <w:sz w:val="20"/>
                <w:szCs w:val="20"/>
              </w:rPr>
            </w:pPr>
            <w:r w:rsidRPr="000876AA">
              <w:rPr>
                <w:rFonts w:ascii="Arial" w:hAnsi="Arial" w:cs="Arial"/>
                <w:sz w:val="16"/>
                <w:szCs w:val="16"/>
              </w:rPr>
              <w:t>(</w:t>
            </w:r>
            <w:r w:rsidRPr="000876AA">
              <w:rPr>
                <w:rFonts w:ascii="Arial" w:hAnsi="Arial" w:cs="Arial"/>
                <w:sz w:val="14"/>
                <w:szCs w:val="14"/>
              </w:rPr>
              <w:t>Rendición de cuentas, mesas regionales, reuniones generales entre otros)</w:t>
            </w:r>
          </w:p>
        </w:tc>
        <w:tc>
          <w:tcPr>
            <w:tcW w:w="1271" w:type="pct"/>
            <w:shd w:val="clear" w:color="auto" w:fill="ECECEC"/>
            <w:vAlign w:val="center"/>
          </w:tcPr>
          <w:p w14:paraId="7F323C43" w14:textId="77777777" w:rsidR="002D72EE" w:rsidRPr="000876AA" w:rsidRDefault="002D72EE" w:rsidP="00B47FDC">
            <w:pPr>
              <w:pStyle w:val="TableParagraph"/>
              <w:jc w:val="center"/>
              <w:rPr>
                <w:rFonts w:ascii="Arial" w:hAnsi="Arial" w:cs="Arial"/>
                <w:b/>
                <w:sz w:val="20"/>
                <w:szCs w:val="20"/>
              </w:rPr>
            </w:pPr>
            <w:r w:rsidRPr="000876AA">
              <w:rPr>
                <w:rFonts w:ascii="Arial" w:hAnsi="Arial" w:cs="Arial"/>
                <w:b/>
                <w:sz w:val="20"/>
                <w:szCs w:val="20"/>
              </w:rPr>
              <w:t>COMENTARIOS DE LA RETROALIMENTACIÓN</w:t>
            </w:r>
          </w:p>
        </w:tc>
        <w:tc>
          <w:tcPr>
            <w:tcW w:w="1312" w:type="pct"/>
            <w:shd w:val="clear" w:color="auto" w:fill="ECECEC"/>
            <w:vAlign w:val="center"/>
          </w:tcPr>
          <w:p w14:paraId="453ED9FD" w14:textId="77777777" w:rsidR="002D72EE" w:rsidRPr="000876AA" w:rsidRDefault="002D72EE" w:rsidP="00B47FDC">
            <w:pPr>
              <w:pStyle w:val="TableParagraph"/>
              <w:ind w:right="145"/>
              <w:jc w:val="center"/>
              <w:rPr>
                <w:rFonts w:ascii="Arial" w:hAnsi="Arial" w:cs="Arial"/>
                <w:b/>
                <w:sz w:val="20"/>
                <w:szCs w:val="20"/>
              </w:rPr>
            </w:pPr>
            <w:r w:rsidRPr="000876AA">
              <w:rPr>
                <w:rFonts w:ascii="Arial" w:hAnsi="Arial" w:cs="Arial"/>
                <w:b/>
                <w:sz w:val="20"/>
                <w:szCs w:val="20"/>
              </w:rPr>
              <w:t>RESULTADOS</w:t>
            </w:r>
          </w:p>
        </w:tc>
      </w:tr>
      <w:tr w:rsidR="002D72EE" w:rsidRPr="000876AA" w14:paraId="449184C1" w14:textId="77777777" w:rsidTr="002B5637">
        <w:trPr>
          <w:trHeight w:val="20"/>
          <w:jc w:val="center"/>
        </w:trPr>
        <w:tc>
          <w:tcPr>
            <w:tcW w:w="2417" w:type="pct"/>
            <w:shd w:val="clear" w:color="auto" w:fill="FFFFFF"/>
            <w:vAlign w:val="center"/>
          </w:tcPr>
          <w:p w14:paraId="31EE85DA" w14:textId="77777777" w:rsidR="002D72EE" w:rsidRPr="00210D90" w:rsidRDefault="00187946" w:rsidP="00D21CF2">
            <w:pPr>
              <w:pStyle w:val="TableParagraph"/>
              <w:jc w:val="both"/>
              <w:rPr>
                <w:rFonts w:ascii="Arial" w:hAnsi="Arial" w:cs="Arial"/>
                <w:bCs/>
                <w:sz w:val="18"/>
                <w:szCs w:val="18"/>
              </w:rPr>
            </w:pPr>
            <w:r w:rsidRPr="00210D90">
              <w:rPr>
                <w:rFonts w:ascii="Arial" w:hAnsi="Arial" w:cs="Arial"/>
                <w:bCs/>
                <w:sz w:val="18"/>
                <w:szCs w:val="18"/>
              </w:rPr>
              <w:t>N</w:t>
            </w:r>
            <w:r w:rsidR="00D21CF2" w:rsidRPr="00210D90">
              <w:rPr>
                <w:rFonts w:ascii="Arial" w:hAnsi="Arial" w:cs="Arial"/>
                <w:bCs/>
                <w:sz w:val="18"/>
                <w:szCs w:val="18"/>
              </w:rPr>
              <w:t>o</w:t>
            </w:r>
            <w:r w:rsidRPr="00210D90">
              <w:rPr>
                <w:rFonts w:ascii="Arial" w:hAnsi="Arial" w:cs="Arial"/>
                <w:bCs/>
                <w:sz w:val="18"/>
                <w:szCs w:val="18"/>
              </w:rPr>
              <w:t xml:space="preserve"> se </w:t>
            </w:r>
            <w:r w:rsidR="007020EA" w:rsidRPr="00210D90">
              <w:rPr>
                <w:rFonts w:ascii="Arial" w:hAnsi="Arial" w:cs="Arial"/>
                <w:bCs/>
                <w:sz w:val="18"/>
                <w:szCs w:val="18"/>
              </w:rPr>
              <w:t xml:space="preserve">documentó </w:t>
            </w:r>
            <w:r w:rsidRPr="00210D90">
              <w:rPr>
                <w:rFonts w:ascii="Arial" w:hAnsi="Arial" w:cs="Arial"/>
                <w:bCs/>
                <w:sz w:val="18"/>
                <w:szCs w:val="18"/>
              </w:rPr>
              <w:t>ningún tipo de retroalimentación</w:t>
            </w:r>
            <w:r w:rsidR="007020EA" w:rsidRPr="00210D90">
              <w:rPr>
                <w:rFonts w:ascii="Arial" w:hAnsi="Arial" w:cs="Arial"/>
                <w:bCs/>
                <w:sz w:val="18"/>
                <w:szCs w:val="18"/>
              </w:rPr>
              <w:t>.</w:t>
            </w:r>
          </w:p>
        </w:tc>
        <w:tc>
          <w:tcPr>
            <w:tcW w:w="1271" w:type="pct"/>
            <w:shd w:val="clear" w:color="auto" w:fill="FFFFFF"/>
            <w:vAlign w:val="center"/>
          </w:tcPr>
          <w:p w14:paraId="2691D789" w14:textId="77777777" w:rsidR="002D72EE" w:rsidRPr="00210D90" w:rsidRDefault="00D21CF2" w:rsidP="00D21CF2">
            <w:pPr>
              <w:pStyle w:val="TableParagraph"/>
              <w:jc w:val="center"/>
              <w:rPr>
                <w:rFonts w:ascii="Arial" w:hAnsi="Arial" w:cs="Arial"/>
                <w:bCs/>
                <w:sz w:val="18"/>
                <w:szCs w:val="18"/>
              </w:rPr>
            </w:pPr>
            <w:r w:rsidRPr="00210D90">
              <w:rPr>
                <w:rFonts w:ascii="Arial" w:hAnsi="Arial" w:cs="Arial"/>
                <w:bCs/>
                <w:sz w:val="18"/>
                <w:szCs w:val="18"/>
              </w:rPr>
              <w:t>N/A</w:t>
            </w:r>
          </w:p>
        </w:tc>
        <w:tc>
          <w:tcPr>
            <w:tcW w:w="1312" w:type="pct"/>
            <w:shd w:val="clear" w:color="auto" w:fill="FFFFFF"/>
            <w:vAlign w:val="center"/>
          </w:tcPr>
          <w:p w14:paraId="4406665B" w14:textId="77777777" w:rsidR="002D72EE" w:rsidRPr="00210D90" w:rsidRDefault="00D21CF2" w:rsidP="00D21CF2">
            <w:pPr>
              <w:pStyle w:val="TableParagraph"/>
              <w:ind w:right="145"/>
              <w:jc w:val="center"/>
              <w:rPr>
                <w:rFonts w:ascii="Arial" w:hAnsi="Arial" w:cs="Arial"/>
                <w:bCs/>
                <w:sz w:val="18"/>
                <w:szCs w:val="18"/>
              </w:rPr>
            </w:pPr>
            <w:r w:rsidRPr="00210D90">
              <w:rPr>
                <w:rFonts w:ascii="Arial" w:hAnsi="Arial" w:cs="Arial"/>
                <w:bCs/>
                <w:sz w:val="18"/>
                <w:szCs w:val="18"/>
              </w:rPr>
              <w:t>N/A</w:t>
            </w:r>
          </w:p>
        </w:tc>
      </w:tr>
    </w:tbl>
    <w:p w14:paraId="1D9EB5D5" w14:textId="5F6E7252" w:rsidR="002E3317" w:rsidRDefault="002E3317"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2B24A5AF" w14:textId="77777777" w:rsidR="00AD15F9" w:rsidRPr="000876AA" w:rsidRDefault="00AD15F9" w:rsidP="00B47FDC">
      <w:pPr>
        <w:pStyle w:val="Prrafodelista"/>
        <w:tabs>
          <w:tab w:val="center" w:pos="4536"/>
        </w:tabs>
        <w:spacing w:after="0" w:line="240" w:lineRule="auto"/>
        <w:ind w:left="0"/>
        <w:contextualSpacing w:val="0"/>
        <w:jc w:val="both"/>
        <w:rPr>
          <w:rFonts w:ascii="Arial" w:eastAsia="Times New Roman" w:hAnsi="Arial" w:cs="Arial"/>
          <w:lang w:val="es-ES" w:eastAsia="es-ES"/>
        </w:rPr>
      </w:pPr>
    </w:p>
    <w:p w14:paraId="6CB27E6C" w14:textId="7FB69669" w:rsidR="000E4C9E" w:rsidRPr="00AD15F9" w:rsidRDefault="000E4C9E" w:rsidP="00AD15F9">
      <w:pPr>
        <w:pStyle w:val="Prrafodelista"/>
        <w:numPr>
          <w:ilvl w:val="0"/>
          <w:numId w:val="31"/>
        </w:numPr>
        <w:jc w:val="both"/>
        <w:rPr>
          <w:rFonts w:ascii="Arial" w:hAnsi="Arial" w:cs="Arial"/>
          <w:b/>
        </w:rPr>
      </w:pPr>
      <w:r w:rsidRPr="00AD15F9">
        <w:rPr>
          <w:rFonts w:ascii="Arial" w:hAnsi="Arial" w:cs="Arial"/>
          <w:b/>
        </w:rPr>
        <w:t>AN</w:t>
      </w:r>
      <w:r w:rsidR="009F28A2" w:rsidRPr="00AD15F9">
        <w:rPr>
          <w:rFonts w:ascii="Arial" w:hAnsi="Arial" w:cs="Arial"/>
          <w:b/>
        </w:rPr>
        <w:t>Á</w:t>
      </w:r>
      <w:r w:rsidRPr="00AD15F9">
        <w:rPr>
          <w:rFonts w:ascii="Arial" w:hAnsi="Arial" w:cs="Arial"/>
          <w:b/>
        </w:rPr>
        <w:t>LISIS Y ESTADO DE LAS PQR</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971"/>
        <w:gridCol w:w="1192"/>
        <w:gridCol w:w="2090"/>
        <w:gridCol w:w="1341"/>
        <w:gridCol w:w="3370"/>
      </w:tblGrid>
      <w:tr w:rsidR="007359F0" w:rsidRPr="000876AA" w14:paraId="6F9C7A25" w14:textId="77777777" w:rsidTr="0077684E">
        <w:trPr>
          <w:trHeight w:val="20"/>
          <w:tblHeader/>
          <w:jc w:val="center"/>
        </w:trPr>
        <w:tc>
          <w:tcPr>
            <w:tcW w:w="989" w:type="pct"/>
            <w:tcBorders>
              <w:top w:val="single" w:sz="4" w:space="0" w:color="000000"/>
              <w:left w:val="single" w:sz="4" w:space="0" w:color="000000"/>
              <w:bottom w:val="single" w:sz="4" w:space="0" w:color="000000"/>
              <w:right w:val="single" w:sz="4" w:space="0" w:color="auto"/>
            </w:tcBorders>
            <w:shd w:val="clear" w:color="auto" w:fill="EDEDED"/>
            <w:vAlign w:val="center"/>
          </w:tcPr>
          <w:p w14:paraId="6A44425C" w14:textId="77777777" w:rsidR="007359F0" w:rsidRPr="000876AA" w:rsidRDefault="007359F0" w:rsidP="00390E54">
            <w:pPr>
              <w:tabs>
                <w:tab w:val="center" w:pos="4536"/>
              </w:tabs>
              <w:jc w:val="center"/>
              <w:rPr>
                <w:rFonts w:ascii="Arial" w:eastAsia="Calibri" w:hAnsi="Arial" w:cs="Arial"/>
                <w:b/>
                <w:sz w:val="18"/>
                <w:szCs w:val="18"/>
              </w:rPr>
            </w:pPr>
            <w:r w:rsidRPr="000876AA">
              <w:rPr>
                <w:rFonts w:ascii="Arial" w:eastAsia="Calibri" w:hAnsi="Arial" w:cs="Arial"/>
                <w:b/>
                <w:sz w:val="18"/>
                <w:szCs w:val="18"/>
              </w:rPr>
              <w:t>PROCESO</w:t>
            </w:r>
          </w:p>
        </w:tc>
        <w:tc>
          <w:tcPr>
            <w:tcW w:w="598" w:type="pct"/>
            <w:tcBorders>
              <w:top w:val="single" w:sz="4" w:space="0" w:color="000000"/>
              <w:left w:val="single" w:sz="4" w:space="0" w:color="000000"/>
              <w:bottom w:val="single" w:sz="4" w:space="0" w:color="000000"/>
              <w:right w:val="single" w:sz="4" w:space="0" w:color="auto"/>
            </w:tcBorders>
            <w:shd w:val="clear" w:color="auto" w:fill="EDEDED"/>
            <w:vAlign w:val="center"/>
            <w:hideMark/>
          </w:tcPr>
          <w:p w14:paraId="57B2C559" w14:textId="77777777" w:rsidR="007359F0" w:rsidRPr="000876AA" w:rsidRDefault="007359F0" w:rsidP="00390E54">
            <w:pPr>
              <w:tabs>
                <w:tab w:val="center" w:pos="4536"/>
              </w:tabs>
              <w:jc w:val="center"/>
              <w:rPr>
                <w:rFonts w:ascii="Arial" w:eastAsia="Calibri" w:hAnsi="Arial" w:cs="Arial"/>
                <w:b/>
                <w:sz w:val="18"/>
                <w:szCs w:val="18"/>
              </w:rPr>
            </w:pPr>
            <w:r w:rsidRPr="000876AA">
              <w:rPr>
                <w:rFonts w:ascii="Arial" w:eastAsia="Calibri" w:hAnsi="Arial" w:cs="Arial"/>
                <w:b/>
                <w:sz w:val="18"/>
                <w:szCs w:val="18"/>
              </w:rPr>
              <w:t>No. RECIBIDAS</w:t>
            </w:r>
          </w:p>
        </w:tc>
        <w:tc>
          <w:tcPr>
            <w:tcW w:w="1049" w:type="pct"/>
            <w:tcBorders>
              <w:top w:val="single" w:sz="4" w:space="0" w:color="000000"/>
              <w:left w:val="single" w:sz="4" w:space="0" w:color="000000"/>
              <w:bottom w:val="single" w:sz="4" w:space="0" w:color="000000"/>
              <w:right w:val="single" w:sz="4" w:space="0" w:color="auto"/>
            </w:tcBorders>
            <w:shd w:val="clear" w:color="auto" w:fill="EDEDED"/>
            <w:vAlign w:val="center"/>
            <w:hideMark/>
          </w:tcPr>
          <w:p w14:paraId="0049BFD4" w14:textId="77777777" w:rsidR="007359F0" w:rsidRPr="000876AA" w:rsidRDefault="007359F0" w:rsidP="00390E54">
            <w:pPr>
              <w:tabs>
                <w:tab w:val="center" w:pos="4536"/>
              </w:tabs>
              <w:jc w:val="center"/>
              <w:rPr>
                <w:rFonts w:ascii="Arial" w:eastAsia="Calibri" w:hAnsi="Arial" w:cs="Arial"/>
                <w:b/>
                <w:sz w:val="18"/>
                <w:szCs w:val="18"/>
              </w:rPr>
            </w:pPr>
            <w:r w:rsidRPr="000876AA">
              <w:rPr>
                <w:rFonts w:ascii="Arial" w:eastAsia="Calibri" w:hAnsi="Arial" w:cs="Arial"/>
                <w:b/>
                <w:sz w:val="18"/>
                <w:szCs w:val="18"/>
              </w:rPr>
              <w:t>No. CONTESTADAS OPORTUNAMENTE</w:t>
            </w:r>
          </w:p>
        </w:tc>
        <w:tc>
          <w:tcPr>
            <w:tcW w:w="673" w:type="pct"/>
            <w:tcBorders>
              <w:top w:val="single" w:sz="4" w:space="0" w:color="000000"/>
              <w:left w:val="single" w:sz="4" w:space="0" w:color="auto"/>
              <w:bottom w:val="single" w:sz="4" w:space="0" w:color="000000"/>
              <w:right w:val="single" w:sz="4" w:space="0" w:color="auto"/>
            </w:tcBorders>
            <w:shd w:val="clear" w:color="auto" w:fill="EDEDED"/>
            <w:vAlign w:val="center"/>
            <w:hideMark/>
          </w:tcPr>
          <w:p w14:paraId="2850C8FC" w14:textId="77777777" w:rsidR="007359F0" w:rsidRPr="000876AA" w:rsidRDefault="007359F0" w:rsidP="00390E54">
            <w:pPr>
              <w:tabs>
                <w:tab w:val="center" w:pos="4536"/>
              </w:tabs>
              <w:jc w:val="center"/>
              <w:rPr>
                <w:rFonts w:ascii="Arial" w:eastAsia="Calibri" w:hAnsi="Arial" w:cs="Arial"/>
                <w:b/>
                <w:sz w:val="18"/>
                <w:szCs w:val="18"/>
              </w:rPr>
            </w:pPr>
            <w:r w:rsidRPr="000876AA">
              <w:rPr>
                <w:rFonts w:ascii="Arial" w:eastAsia="Calibri" w:hAnsi="Arial" w:cs="Arial"/>
                <w:b/>
                <w:sz w:val="18"/>
                <w:szCs w:val="18"/>
              </w:rPr>
              <w:t>No. PENDIENTES</w:t>
            </w:r>
          </w:p>
        </w:tc>
        <w:tc>
          <w:tcPr>
            <w:tcW w:w="1691" w:type="pct"/>
            <w:tcBorders>
              <w:top w:val="single" w:sz="4" w:space="0" w:color="000000"/>
              <w:left w:val="single" w:sz="4" w:space="0" w:color="auto"/>
              <w:bottom w:val="single" w:sz="4" w:space="0" w:color="000000"/>
              <w:right w:val="single" w:sz="4" w:space="0" w:color="000000"/>
            </w:tcBorders>
            <w:shd w:val="clear" w:color="auto" w:fill="EDEDED"/>
            <w:vAlign w:val="center"/>
            <w:hideMark/>
          </w:tcPr>
          <w:p w14:paraId="3E3B4264" w14:textId="77777777" w:rsidR="00256FB3" w:rsidRPr="000876AA" w:rsidRDefault="007359F0" w:rsidP="00390E54">
            <w:pPr>
              <w:tabs>
                <w:tab w:val="center" w:pos="4536"/>
              </w:tabs>
              <w:jc w:val="center"/>
              <w:rPr>
                <w:rFonts w:ascii="Arial" w:eastAsia="Calibri" w:hAnsi="Arial" w:cs="Arial"/>
                <w:b/>
                <w:sz w:val="18"/>
                <w:szCs w:val="18"/>
                <w:lang w:val="pt-PT"/>
              </w:rPr>
            </w:pPr>
            <w:r w:rsidRPr="000876AA">
              <w:rPr>
                <w:rFonts w:ascii="Arial" w:eastAsia="Calibri" w:hAnsi="Arial" w:cs="Arial"/>
                <w:b/>
                <w:sz w:val="18"/>
                <w:szCs w:val="18"/>
                <w:lang w:val="pt-PT"/>
              </w:rPr>
              <w:t>ANÁLISIS</w:t>
            </w:r>
          </w:p>
          <w:p w14:paraId="026ECC33" w14:textId="77777777" w:rsidR="007359F0" w:rsidRPr="000876AA" w:rsidRDefault="007359F0" w:rsidP="00390E54">
            <w:pPr>
              <w:tabs>
                <w:tab w:val="center" w:pos="4536"/>
              </w:tabs>
              <w:jc w:val="center"/>
              <w:rPr>
                <w:rFonts w:ascii="Arial" w:eastAsia="Calibri" w:hAnsi="Arial" w:cs="Arial"/>
                <w:b/>
                <w:sz w:val="18"/>
                <w:szCs w:val="18"/>
                <w:lang w:val="pt-PT"/>
              </w:rPr>
            </w:pPr>
            <w:r w:rsidRPr="000876AA">
              <w:rPr>
                <w:rFonts w:ascii="Arial" w:eastAsia="Calibri" w:hAnsi="Arial" w:cs="Arial"/>
                <w:b/>
                <w:color w:val="808080"/>
                <w:sz w:val="16"/>
                <w:szCs w:val="18"/>
                <w:lang w:val="pt-PT"/>
              </w:rPr>
              <w:t>(Analizar tendencia período vs. período)</w:t>
            </w:r>
          </w:p>
        </w:tc>
      </w:tr>
      <w:tr w:rsidR="007359F0" w:rsidRPr="000876AA" w14:paraId="79965069"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FFD966"/>
            <w:vAlign w:val="center"/>
          </w:tcPr>
          <w:p w14:paraId="6106D16E" w14:textId="77777777" w:rsidR="007359F0" w:rsidRPr="000876AA" w:rsidRDefault="007359F0" w:rsidP="0035017D">
            <w:pPr>
              <w:tabs>
                <w:tab w:val="center" w:pos="4536"/>
              </w:tabs>
              <w:jc w:val="both"/>
              <w:rPr>
                <w:rFonts w:ascii="Arial" w:eastAsia="Calibri" w:hAnsi="Arial" w:cs="Arial"/>
                <w:b/>
                <w:bCs/>
                <w:sz w:val="18"/>
                <w:szCs w:val="18"/>
              </w:rPr>
            </w:pPr>
            <w:r w:rsidRPr="000876AA">
              <w:rPr>
                <w:rFonts w:ascii="Arial" w:eastAsia="Calibri" w:hAnsi="Arial" w:cs="Arial"/>
                <w:b/>
                <w:bCs/>
                <w:sz w:val="18"/>
                <w:szCs w:val="18"/>
              </w:rPr>
              <w:t>Peticiones</w:t>
            </w:r>
          </w:p>
        </w:tc>
        <w:tc>
          <w:tcPr>
            <w:tcW w:w="4011" w:type="pct"/>
            <w:gridSpan w:val="4"/>
            <w:tcBorders>
              <w:top w:val="single" w:sz="4" w:space="0" w:color="000000"/>
              <w:left w:val="single" w:sz="4" w:space="0" w:color="000000"/>
              <w:bottom w:val="single" w:sz="4" w:space="0" w:color="auto"/>
              <w:right w:val="single" w:sz="4" w:space="0" w:color="000000"/>
            </w:tcBorders>
            <w:shd w:val="clear" w:color="auto" w:fill="FFD966"/>
            <w:vAlign w:val="center"/>
          </w:tcPr>
          <w:p w14:paraId="5D9D60C5" w14:textId="77777777" w:rsidR="007359F0" w:rsidRPr="000876AA" w:rsidRDefault="007359F0" w:rsidP="00256FB3">
            <w:pPr>
              <w:tabs>
                <w:tab w:val="center" w:pos="4536"/>
              </w:tabs>
              <w:jc w:val="center"/>
              <w:rPr>
                <w:rFonts w:ascii="Arial" w:hAnsi="Arial" w:cs="Arial"/>
                <w:sz w:val="18"/>
                <w:szCs w:val="18"/>
              </w:rPr>
            </w:pPr>
          </w:p>
        </w:tc>
      </w:tr>
      <w:tr w:rsidR="007359F0" w:rsidRPr="000876AA" w14:paraId="1A12F3D6"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vAlign w:val="center"/>
          </w:tcPr>
          <w:p w14:paraId="1697CD19" w14:textId="0A255DBE" w:rsidR="007359F0" w:rsidRPr="000876AA" w:rsidRDefault="008C4501" w:rsidP="005371DA">
            <w:pPr>
              <w:tabs>
                <w:tab w:val="center" w:pos="4536"/>
              </w:tabs>
              <w:jc w:val="center"/>
              <w:rPr>
                <w:rFonts w:ascii="Arial" w:eastAsia="Calibri" w:hAnsi="Arial" w:cs="Arial"/>
                <w:sz w:val="18"/>
                <w:szCs w:val="18"/>
              </w:rPr>
            </w:pPr>
            <w:r w:rsidRPr="000876AA">
              <w:rPr>
                <w:rFonts w:ascii="Arial" w:hAnsi="Arial" w:cs="Arial"/>
                <w:sz w:val="18"/>
                <w:szCs w:val="18"/>
              </w:rPr>
              <w:t>Gestión Financiera y Presupuestal</w:t>
            </w:r>
          </w:p>
        </w:tc>
        <w:tc>
          <w:tcPr>
            <w:tcW w:w="598" w:type="pct"/>
            <w:tcBorders>
              <w:top w:val="single" w:sz="4" w:space="0" w:color="000000"/>
              <w:left w:val="single" w:sz="4" w:space="0" w:color="000000"/>
              <w:bottom w:val="single" w:sz="4" w:space="0" w:color="auto"/>
              <w:right w:val="single" w:sz="4" w:space="0" w:color="auto"/>
            </w:tcBorders>
            <w:vAlign w:val="center"/>
          </w:tcPr>
          <w:p w14:paraId="58A402C9" w14:textId="3EEF6885" w:rsidR="007359F0" w:rsidRPr="000876AA" w:rsidRDefault="006460C0" w:rsidP="0007056E">
            <w:pPr>
              <w:tabs>
                <w:tab w:val="center" w:pos="4536"/>
              </w:tabs>
              <w:jc w:val="center"/>
              <w:rPr>
                <w:rFonts w:ascii="Arial" w:eastAsia="Calibri" w:hAnsi="Arial" w:cs="Arial"/>
                <w:sz w:val="18"/>
                <w:szCs w:val="18"/>
              </w:rPr>
            </w:pPr>
            <w:r w:rsidRPr="000876AA">
              <w:rPr>
                <w:rFonts w:ascii="Arial" w:eastAsia="Calibri" w:hAnsi="Arial" w:cs="Arial"/>
                <w:sz w:val="18"/>
                <w:szCs w:val="18"/>
              </w:rPr>
              <w:t>0</w:t>
            </w:r>
          </w:p>
        </w:tc>
        <w:tc>
          <w:tcPr>
            <w:tcW w:w="1049" w:type="pct"/>
            <w:tcBorders>
              <w:top w:val="single" w:sz="4" w:space="0" w:color="000000"/>
              <w:left w:val="single" w:sz="4" w:space="0" w:color="000000"/>
              <w:bottom w:val="single" w:sz="4" w:space="0" w:color="auto"/>
              <w:right w:val="single" w:sz="4" w:space="0" w:color="auto"/>
            </w:tcBorders>
            <w:vAlign w:val="center"/>
          </w:tcPr>
          <w:p w14:paraId="270BB688" w14:textId="16BC53AF" w:rsidR="007359F0" w:rsidRPr="000876AA" w:rsidRDefault="006460C0" w:rsidP="0007056E">
            <w:pPr>
              <w:tabs>
                <w:tab w:val="center" w:pos="4536"/>
              </w:tabs>
              <w:jc w:val="center"/>
              <w:rPr>
                <w:rFonts w:ascii="Arial" w:eastAsia="Calibri" w:hAnsi="Arial" w:cs="Arial"/>
                <w:sz w:val="18"/>
                <w:szCs w:val="18"/>
              </w:rPr>
            </w:pPr>
            <w:r w:rsidRPr="000876AA">
              <w:rPr>
                <w:rFonts w:ascii="Arial" w:eastAsia="Calibri" w:hAnsi="Arial" w:cs="Arial"/>
                <w:sz w:val="18"/>
                <w:szCs w:val="18"/>
              </w:rPr>
              <w:t>0</w:t>
            </w:r>
          </w:p>
        </w:tc>
        <w:tc>
          <w:tcPr>
            <w:tcW w:w="673" w:type="pct"/>
            <w:tcBorders>
              <w:top w:val="single" w:sz="4" w:space="0" w:color="000000"/>
              <w:left w:val="single" w:sz="4" w:space="0" w:color="auto"/>
              <w:bottom w:val="single" w:sz="4" w:space="0" w:color="auto"/>
              <w:right w:val="single" w:sz="4" w:space="0" w:color="auto"/>
            </w:tcBorders>
            <w:vAlign w:val="center"/>
          </w:tcPr>
          <w:p w14:paraId="07664D43" w14:textId="77777777" w:rsidR="007359F0" w:rsidRPr="000876AA" w:rsidRDefault="0007056E" w:rsidP="0007056E">
            <w:pPr>
              <w:tabs>
                <w:tab w:val="center" w:pos="4536"/>
              </w:tabs>
              <w:jc w:val="center"/>
              <w:rPr>
                <w:rFonts w:ascii="Arial" w:eastAsia="Calibri" w:hAnsi="Arial" w:cs="Arial"/>
                <w:sz w:val="18"/>
                <w:szCs w:val="18"/>
              </w:rPr>
            </w:pPr>
            <w:r w:rsidRPr="000876AA">
              <w:rPr>
                <w:rFonts w:ascii="Arial" w:eastAsia="Calibri" w:hAnsi="Arial" w:cs="Arial"/>
                <w:sz w:val="18"/>
                <w:szCs w:val="18"/>
              </w:rPr>
              <w:t>0</w:t>
            </w:r>
          </w:p>
        </w:tc>
        <w:tc>
          <w:tcPr>
            <w:tcW w:w="1691" w:type="pct"/>
            <w:tcBorders>
              <w:top w:val="single" w:sz="4" w:space="0" w:color="000000"/>
              <w:left w:val="single" w:sz="4" w:space="0" w:color="auto"/>
              <w:bottom w:val="single" w:sz="4" w:space="0" w:color="auto"/>
              <w:right w:val="single" w:sz="4" w:space="0" w:color="000000"/>
            </w:tcBorders>
            <w:vAlign w:val="center"/>
          </w:tcPr>
          <w:p w14:paraId="7AAEAC3F" w14:textId="36D8A870" w:rsidR="007359F0" w:rsidRPr="000876AA" w:rsidRDefault="006460C0" w:rsidP="006460C0">
            <w:pPr>
              <w:tabs>
                <w:tab w:val="center" w:pos="4536"/>
              </w:tabs>
              <w:jc w:val="center"/>
              <w:rPr>
                <w:rFonts w:ascii="Arial" w:eastAsia="Calibri" w:hAnsi="Arial" w:cs="Arial"/>
                <w:sz w:val="18"/>
                <w:szCs w:val="18"/>
              </w:rPr>
            </w:pPr>
            <w:r w:rsidRPr="000876AA">
              <w:rPr>
                <w:rFonts w:ascii="Arial" w:eastAsia="Calibri" w:hAnsi="Arial" w:cs="Arial"/>
                <w:sz w:val="18"/>
                <w:szCs w:val="18"/>
              </w:rPr>
              <w:t>No se presentaron peticiones con respecto al proceso</w:t>
            </w:r>
          </w:p>
        </w:tc>
      </w:tr>
      <w:tr w:rsidR="007359F0" w:rsidRPr="000876AA" w14:paraId="26F3B04D"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D9D9D9"/>
            <w:vAlign w:val="center"/>
          </w:tcPr>
          <w:p w14:paraId="64211176" w14:textId="77777777" w:rsidR="007359F0" w:rsidRPr="000876AA" w:rsidRDefault="007359F0" w:rsidP="0035017D">
            <w:pPr>
              <w:tabs>
                <w:tab w:val="center" w:pos="4536"/>
              </w:tabs>
              <w:rPr>
                <w:rFonts w:ascii="Arial" w:eastAsia="Calibri" w:hAnsi="Arial" w:cs="Arial"/>
                <w:b/>
                <w:sz w:val="18"/>
                <w:szCs w:val="18"/>
              </w:rPr>
            </w:pPr>
            <w:r w:rsidRPr="000876AA">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auto"/>
              <w:right w:val="single" w:sz="4" w:space="0" w:color="auto"/>
            </w:tcBorders>
            <w:shd w:val="clear" w:color="auto" w:fill="D9D9D9"/>
            <w:vAlign w:val="center"/>
          </w:tcPr>
          <w:p w14:paraId="63A7C8F6" w14:textId="1674944F" w:rsidR="007359F0" w:rsidRPr="000876AA" w:rsidRDefault="006460C0" w:rsidP="0007056E">
            <w:pPr>
              <w:tabs>
                <w:tab w:val="center" w:pos="4536"/>
              </w:tabs>
              <w:jc w:val="center"/>
              <w:rPr>
                <w:rFonts w:ascii="Arial" w:eastAsia="Calibri" w:hAnsi="Arial" w:cs="Arial"/>
                <w:sz w:val="18"/>
                <w:szCs w:val="18"/>
              </w:rPr>
            </w:pPr>
            <w:r w:rsidRPr="000876AA">
              <w:rPr>
                <w:rFonts w:ascii="Arial" w:eastAsia="Calibri" w:hAnsi="Arial" w:cs="Arial"/>
                <w:sz w:val="18"/>
                <w:szCs w:val="18"/>
              </w:rPr>
              <w:t>0</w:t>
            </w:r>
          </w:p>
        </w:tc>
        <w:tc>
          <w:tcPr>
            <w:tcW w:w="1049" w:type="pct"/>
            <w:tcBorders>
              <w:top w:val="single" w:sz="4" w:space="0" w:color="000000"/>
              <w:left w:val="single" w:sz="4" w:space="0" w:color="000000"/>
              <w:bottom w:val="single" w:sz="4" w:space="0" w:color="auto"/>
              <w:right w:val="single" w:sz="4" w:space="0" w:color="auto"/>
            </w:tcBorders>
            <w:shd w:val="clear" w:color="auto" w:fill="D9D9D9"/>
            <w:vAlign w:val="center"/>
          </w:tcPr>
          <w:p w14:paraId="36D57131" w14:textId="36E12A8A" w:rsidR="007359F0" w:rsidRPr="000876AA" w:rsidRDefault="006460C0" w:rsidP="0007056E">
            <w:pPr>
              <w:tabs>
                <w:tab w:val="center" w:pos="4536"/>
              </w:tabs>
              <w:jc w:val="center"/>
              <w:rPr>
                <w:rFonts w:ascii="Arial" w:eastAsia="Calibri" w:hAnsi="Arial" w:cs="Arial"/>
                <w:b/>
                <w:sz w:val="18"/>
                <w:szCs w:val="18"/>
              </w:rPr>
            </w:pPr>
            <w:r w:rsidRPr="000876AA">
              <w:rPr>
                <w:rFonts w:ascii="Arial" w:eastAsia="Calibri" w:hAnsi="Arial" w:cs="Arial"/>
                <w:b/>
                <w:sz w:val="18"/>
                <w:szCs w:val="18"/>
              </w:rPr>
              <w:t>0</w:t>
            </w:r>
          </w:p>
        </w:tc>
        <w:tc>
          <w:tcPr>
            <w:tcW w:w="673" w:type="pct"/>
            <w:tcBorders>
              <w:top w:val="single" w:sz="4" w:space="0" w:color="000000"/>
              <w:left w:val="single" w:sz="4" w:space="0" w:color="auto"/>
              <w:bottom w:val="single" w:sz="4" w:space="0" w:color="auto"/>
              <w:right w:val="single" w:sz="4" w:space="0" w:color="auto"/>
            </w:tcBorders>
            <w:shd w:val="clear" w:color="auto" w:fill="D9D9D9"/>
            <w:vAlign w:val="center"/>
          </w:tcPr>
          <w:p w14:paraId="356426E3" w14:textId="77777777" w:rsidR="007359F0" w:rsidRPr="000876AA" w:rsidRDefault="0007056E" w:rsidP="0007056E">
            <w:pPr>
              <w:tabs>
                <w:tab w:val="center" w:pos="4536"/>
              </w:tabs>
              <w:jc w:val="center"/>
              <w:rPr>
                <w:rFonts w:ascii="Arial" w:eastAsia="Calibri" w:hAnsi="Arial" w:cs="Arial"/>
                <w:sz w:val="18"/>
                <w:szCs w:val="18"/>
              </w:rPr>
            </w:pPr>
            <w:r w:rsidRPr="000876AA">
              <w:rPr>
                <w:rFonts w:ascii="Arial" w:eastAsia="Calibri" w:hAnsi="Arial" w:cs="Arial"/>
                <w:sz w:val="18"/>
                <w:szCs w:val="18"/>
              </w:rPr>
              <w:t>0</w:t>
            </w:r>
          </w:p>
        </w:tc>
        <w:tc>
          <w:tcPr>
            <w:tcW w:w="1691" w:type="pct"/>
            <w:tcBorders>
              <w:top w:val="single" w:sz="4" w:space="0" w:color="000000"/>
              <w:left w:val="single" w:sz="4" w:space="0" w:color="auto"/>
              <w:bottom w:val="single" w:sz="4" w:space="0" w:color="auto"/>
              <w:right w:val="single" w:sz="4" w:space="0" w:color="000000"/>
            </w:tcBorders>
            <w:shd w:val="clear" w:color="auto" w:fill="D9D9D9"/>
            <w:vAlign w:val="center"/>
          </w:tcPr>
          <w:p w14:paraId="5E34B43F" w14:textId="77777777" w:rsidR="007359F0" w:rsidRPr="000876AA" w:rsidRDefault="007359F0" w:rsidP="0007056E">
            <w:pPr>
              <w:tabs>
                <w:tab w:val="center" w:pos="4536"/>
              </w:tabs>
              <w:jc w:val="center"/>
              <w:rPr>
                <w:rFonts w:ascii="Arial" w:eastAsia="Calibri" w:hAnsi="Arial" w:cs="Arial"/>
                <w:sz w:val="18"/>
                <w:szCs w:val="18"/>
              </w:rPr>
            </w:pPr>
          </w:p>
        </w:tc>
      </w:tr>
      <w:tr w:rsidR="007359F0" w:rsidRPr="000876AA" w14:paraId="7A0189A3"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FFD966"/>
            <w:vAlign w:val="center"/>
          </w:tcPr>
          <w:p w14:paraId="6DBF4486" w14:textId="77777777" w:rsidR="007359F0" w:rsidRPr="000876AA" w:rsidRDefault="007359F0" w:rsidP="0035017D">
            <w:pPr>
              <w:tabs>
                <w:tab w:val="center" w:pos="4536"/>
              </w:tabs>
              <w:rPr>
                <w:rFonts w:ascii="Arial" w:eastAsia="Calibri" w:hAnsi="Arial" w:cs="Arial"/>
                <w:b/>
                <w:bCs/>
                <w:sz w:val="18"/>
                <w:szCs w:val="18"/>
              </w:rPr>
            </w:pPr>
            <w:r w:rsidRPr="000876AA">
              <w:rPr>
                <w:rFonts w:ascii="Arial" w:eastAsia="Calibri" w:hAnsi="Arial" w:cs="Arial"/>
                <w:b/>
                <w:bCs/>
                <w:sz w:val="18"/>
                <w:szCs w:val="18"/>
              </w:rPr>
              <w:t>Quejas</w:t>
            </w:r>
          </w:p>
        </w:tc>
        <w:tc>
          <w:tcPr>
            <w:tcW w:w="4011" w:type="pct"/>
            <w:gridSpan w:val="4"/>
            <w:tcBorders>
              <w:top w:val="single" w:sz="4" w:space="0" w:color="000000"/>
              <w:left w:val="single" w:sz="4" w:space="0" w:color="000000"/>
              <w:bottom w:val="single" w:sz="4" w:space="0" w:color="auto"/>
              <w:right w:val="single" w:sz="4" w:space="0" w:color="000000"/>
            </w:tcBorders>
            <w:shd w:val="clear" w:color="auto" w:fill="FFD966"/>
            <w:vAlign w:val="center"/>
          </w:tcPr>
          <w:p w14:paraId="5DB4BE9E" w14:textId="77777777" w:rsidR="007359F0" w:rsidRPr="000876AA" w:rsidRDefault="007359F0" w:rsidP="00256FB3">
            <w:pPr>
              <w:tabs>
                <w:tab w:val="center" w:pos="4536"/>
              </w:tabs>
              <w:jc w:val="center"/>
              <w:rPr>
                <w:rFonts w:ascii="Arial" w:eastAsia="Calibri" w:hAnsi="Arial" w:cs="Arial"/>
                <w:sz w:val="18"/>
                <w:szCs w:val="18"/>
              </w:rPr>
            </w:pPr>
          </w:p>
        </w:tc>
      </w:tr>
      <w:tr w:rsidR="007359F0" w:rsidRPr="000876AA" w14:paraId="4ECA0A87"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280A350B" w14:textId="149D2E5B" w:rsidR="007359F0" w:rsidRPr="000876AA" w:rsidRDefault="008C4501" w:rsidP="0035017D">
            <w:pPr>
              <w:tabs>
                <w:tab w:val="center" w:pos="4536"/>
              </w:tabs>
              <w:jc w:val="center"/>
              <w:rPr>
                <w:rFonts w:ascii="Arial" w:eastAsia="Calibri" w:hAnsi="Arial" w:cs="Arial"/>
                <w:sz w:val="18"/>
                <w:szCs w:val="18"/>
              </w:rPr>
            </w:pPr>
            <w:r w:rsidRPr="000876AA">
              <w:rPr>
                <w:rFonts w:ascii="Arial" w:hAnsi="Arial" w:cs="Arial"/>
                <w:sz w:val="18"/>
                <w:szCs w:val="18"/>
              </w:rPr>
              <w:t>Gestión Financiera y Presupuestal</w:t>
            </w:r>
          </w:p>
        </w:tc>
        <w:tc>
          <w:tcPr>
            <w:tcW w:w="598" w:type="pct"/>
            <w:tcBorders>
              <w:top w:val="single" w:sz="4" w:space="0" w:color="000000"/>
              <w:left w:val="single" w:sz="4" w:space="0" w:color="000000"/>
              <w:bottom w:val="single" w:sz="4" w:space="0" w:color="000000"/>
              <w:right w:val="single" w:sz="4" w:space="0" w:color="auto"/>
            </w:tcBorders>
            <w:vAlign w:val="center"/>
          </w:tcPr>
          <w:p w14:paraId="2AA1A02B" w14:textId="77777777" w:rsidR="007359F0" w:rsidRPr="000876AA" w:rsidRDefault="005371DA" w:rsidP="00256FB3">
            <w:pPr>
              <w:tabs>
                <w:tab w:val="center" w:pos="4536"/>
              </w:tabs>
              <w:jc w:val="center"/>
              <w:rPr>
                <w:rFonts w:ascii="Arial" w:eastAsia="Calibri" w:hAnsi="Arial" w:cs="Arial"/>
                <w:sz w:val="18"/>
                <w:szCs w:val="18"/>
              </w:rPr>
            </w:pPr>
            <w:r w:rsidRPr="000876AA">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158A5BCE" w14:textId="77777777" w:rsidR="007359F0" w:rsidRPr="000876AA" w:rsidRDefault="005371DA" w:rsidP="00256FB3">
            <w:pPr>
              <w:tabs>
                <w:tab w:val="center" w:pos="4536"/>
              </w:tabs>
              <w:jc w:val="center"/>
              <w:rPr>
                <w:rFonts w:ascii="Arial" w:eastAsia="Calibri" w:hAnsi="Arial" w:cs="Arial"/>
                <w:sz w:val="18"/>
                <w:szCs w:val="18"/>
              </w:rPr>
            </w:pPr>
            <w:r w:rsidRPr="000876AA">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77F09A91" w14:textId="77777777" w:rsidR="007359F0" w:rsidRPr="000876AA" w:rsidRDefault="005371DA" w:rsidP="00256FB3">
            <w:pPr>
              <w:tabs>
                <w:tab w:val="center" w:pos="4536"/>
              </w:tabs>
              <w:jc w:val="center"/>
              <w:rPr>
                <w:rFonts w:ascii="Arial" w:eastAsia="Calibri" w:hAnsi="Arial" w:cs="Arial"/>
                <w:sz w:val="18"/>
                <w:szCs w:val="18"/>
              </w:rPr>
            </w:pPr>
            <w:r w:rsidRPr="000876AA">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6466975F" w14:textId="77777777" w:rsidR="007359F0" w:rsidRPr="000876AA" w:rsidRDefault="005371DA" w:rsidP="00256FB3">
            <w:pPr>
              <w:tabs>
                <w:tab w:val="center" w:pos="4536"/>
              </w:tabs>
              <w:jc w:val="center"/>
              <w:rPr>
                <w:rFonts w:ascii="Arial" w:eastAsia="Calibri" w:hAnsi="Arial" w:cs="Arial"/>
                <w:sz w:val="18"/>
                <w:szCs w:val="18"/>
              </w:rPr>
            </w:pPr>
            <w:r w:rsidRPr="000876AA">
              <w:rPr>
                <w:rFonts w:ascii="Arial" w:eastAsia="Calibri" w:hAnsi="Arial" w:cs="Arial"/>
                <w:sz w:val="18"/>
                <w:szCs w:val="18"/>
              </w:rPr>
              <w:t>El proceso no fue objeto de queja</w:t>
            </w:r>
          </w:p>
        </w:tc>
      </w:tr>
      <w:tr w:rsidR="00A51C28" w:rsidRPr="000876AA" w14:paraId="18A2EDEF"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3802AFEA" w14:textId="77777777" w:rsidR="00A51C28" w:rsidRPr="000876AA" w:rsidRDefault="00A51C28" w:rsidP="00A51C28">
            <w:pPr>
              <w:tabs>
                <w:tab w:val="center" w:pos="4536"/>
              </w:tabs>
              <w:rPr>
                <w:rFonts w:ascii="Arial" w:eastAsia="Calibri" w:hAnsi="Arial" w:cs="Arial"/>
                <w:b/>
                <w:sz w:val="18"/>
                <w:szCs w:val="18"/>
              </w:rPr>
            </w:pPr>
            <w:r w:rsidRPr="000876AA">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5A2379CD" w14:textId="77777777" w:rsidR="00A51C28" w:rsidRPr="000876AA" w:rsidRDefault="00A51C28" w:rsidP="00A51C28">
            <w:pPr>
              <w:tabs>
                <w:tab w:val="center" w:pos="4536"/>
              </w:tabs>
              <w:jc w:val="center"/>
              <w:rPr>
                <w:rFonts w:ascii="Arial" w:eastAsia="Calibri" w:hAnsi="Arial" w:cs="Arial"/>
                <w:sz w:val="18"/>
                <w:szCs w:val="18"/>
              </w:rPr>
            </w:pPr>
            <w:r w:rsidRPr="000876AA">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E04867D" w14:textId="77777777" w:rsidR="00A51C28" w:rsidRPr="000876AA" w:rsidRDefault="00A51C28" w:rsidP="00A51C28">
            <w:pPr>
              <w:tabs>
                <w:tab w:val="center" w:pos="4536"/>
              </w:tabs>
              <w:jc w:val="center"/>
              <w:rPr>
                <w:rFonts w:ascii="Arial" w:eastAsia="Calibri" w:hAnsi="Arial" w:cs="Arial"/>
                <w:b/>
                <w:sz w:val="18"/>
                <w:szCs w:val="18"/>
              </w:rPr>
            </w:pPr>
            <w:r w:rsidRPr="000876AA">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2EA83B29" w14:textId="77777777" w:rsidR="00A51C28" w:rsidRPr="000876AA" w:rsidRDefault="00A51C28" w:rsidP="00A51C28">
            <w:pPr>
              <w:tabs>
                <w:tab w:val="center" w:pos="4536"/>
              </w:tabs>
              <w:jc w:val="center"/>
              <w:rPr>
                <w:rFonts w:ascii="Arial" w:eastAsia="Calibri" w:hAnsi="Arial" w:cs="Arial"/>
                <w:sz w:val="18"/>
                <w:szCs w:val="18"/>
              </w:rPr>
            </w:pPr>
            <w:r w:rsidRPr="000876AA">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6F24DE5" w14:textId="77777777" w:rsidR="00A51C28" w:rsidRPr="000876AA" w:rsidRDefault="00A51C28" w:rsidP="00A51C28">
            <w:pPr>
              <w:tabs>
                <w:tab w:val="center" w:pos="4536"/>
              </w:tabs>
              <w:jc w:val="center"/>
              <w:rPr>
                <w:rFonts w:ascii="Arial" w:eastAsia="Calibri" w:hAnsi="Arial" w:cs="Arial"/>
                <w:sz w:val="18"/>
                <w:szCs w:val="18"/>
              </w:rPr>
            </w:pPr>
          </w:p>
        </w:tc>
      </w:tr>
      <w:tr w:rsidR="007359F0" w:rsidRPr="000876AA" w14:paraId="0AE0FD5D"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FFD966"/>
            <w:vAlign w:val="center"/>
          </w:tcPr>
          <w:p w14:paraId="3D8EB5F4" w14:textId="77777777" w:rsidR="007359F0" w:rsidRPr="000876AA" w:rsidRDefault="007359F0" w:rsidP="0035017D">
            <w:pPr>
              <w:tabs>
                <w:tab w:val="center" w:pos="4536"/>
              </w:tabs>
              <w:rPr>
                <w:rFonts w:ascii="Arial" w:eastAsia="Calibri" w:hAnsi="Arial" w:cs="Arial"/>
                <w:sz w:val="18"/>
                <w:szCs w:val="18"/>
              </w:rPr>
            </w:pPr>
            <w:r w:rsidRPr="000876AA">
              <w:rPr>
                <w:rFonts w:ascii="Arial" w:eastAsia="Calibri" w:hAnsi="Arial" w:cs="Arial"/>
                <w:b/>
                <w:bCs/>
                <w:sz w:val="18"/>
                <w:szCs w:val="18"/>
              </w:rPr>
              <w:t>Reclamos</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FFD966"/>
            <w:vAlign w:val="center"/>
          </w:tcPr>
          <w:p w14:paraId="26E71A19" w14:textId="77777777" w:rsidR="007359F0" w:rsidRPr="000876AA" w:rsidRDefault="007359F0" w:rsidP="00256FB3">
            <w:pPr>
              <w:tabs>
                <w:tab w:val="center" w:pos="4536"/>
              </w:tabs>
              <w:jc w:val="center"/>
              <w:rPr>
                <w:rFonts w:ascii="Arial" w:eastAsia="Calibri" w:hAnsi="Arial" w:cs="Arial"/>
                <w:sz w:val="18"/>
                <w:szCs w:val="18"/>
              </w:rPr>
            </w:pPr>
          </w:p>
        </w:tc>
      </w:tr>
      <w:tr w:rsidR="007359F0" w:rsidRPr="000876AA" w14:paraId="4B9CFD56"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746488D0" w14:textId="6BFA913A" w:rsidR="007359F0" w:rsidRPr="000876AA" w:rsidRDefault="008C4501" w:rsidP="0035017D">
            <w:pPr>
              <w:tabs>
                <w:tab w:val="center" w:pos="4536"/>
              </w:tabs>
              <w:jc w:val="center"/>
              <w:rPr>
                <w:rFonts w:ascii="Arial" w:eastAsia="Calibri" w:hAnsi="Arial" w:cs="Arial"/>
                <w:sz w:val="18"/>
                <w:szCs w:val="18"/>
              </w:rPr>
            </w:pPr>
            <w:r w:rsidRPr="000876AA">
              <w:rPr>
                <w:rFonts w:ascii="Arial" w:hAnsi="Arial" w:cs="Arial"/>
                <w:sz w:val="18"/>
                <w:szCs w:val="18"/>
              </w:rPr>
              <w:t>Gestión Financiera y Presupuestal</w:t>
            </w:r>
          </w:p>
        </w:tc>
        <w:tc>
          <w:tcPr>
            <w:tcW w:w="598" w:type="pct"/>
            <w:tcBorders>
              <w:top w:val="single" w:sz="4" w:space="0" w:color="000000"/>
              <w:left w:val="single" w:sz="4" w:space="0" w:color="000000"/>
              <w:bottom w:val="single" w:sz="4" w:space="0" w:color="000000"/>
              <w:right w:val="single" w:sz="4" w:space="0" w:color="auto"/>
            </w:tcBorders>
            <w:vAlign w:val="center"/>
          </w:tcPr>
          <w:p w14:paraId="4FE17DF6" w14:textId="77777777" w:rsidR="007359F0" w:rsidRPr="000876AA" w:rsidRDefault="00A51C28" w:rsidP="00256FB3">
            <w:pPr>
              <w:tabs>
                <w:tab w:val="center" w:pos="4536"/>
              </w:tabs>
              <w:jc w:val="center"/>
              <w:rPr>
                <w:rFonts w:ascii="Arial" w:eastAsia="Calibri" w:hAnsi="Arial" w:cs="Arial"/>
                <w:sz w:val="18"/>
                <w:szCs w:val="18"/>
              </w:rPr>
            </w:pPr>
            <w:r w:rsidRPr="000876AA">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18AA1D83" w14:textId="77777777" w:rsidR="007359F0" w:rsidRPr="000876AA" w:rsidRDefault="00A51C28" w:rsidP="00256FB3">
            <w:pPr>
              <w:tabs>
                <w:tab w:val="center" w:pos="4536"/>
              </w:tabs>
              <w:jc w:val="center"/>
              <w:rPr>
                <w:rFonts w:ascii="Arial" w:eastAsia="Calibri" w:hAnsi="Arial" w:cs="Arial"/>
                <w:sz w:val="18"/>
                <w:szCs w:val="18"/>
              </w:rPr>
            </w:pPr>
            <w:r w:rsidRPr="000876AA">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513AE795" w14:textId="77777777" w:rsidR="007359F0" w:rsidRPr="000876AA" w:rsidRDefault="00A51C28" w:rsidP="00256FB3">
            <w:pPr>
              <w:tabs>
                <w:tab w:val="center" w:pos="4536"/>
              </w:tabs>
              <w:jc w:val="center"/>
              <w:rPr>
                <w:rFonts w:ascii="Arial" w:eastAsia="Calibri" w:hAnsi="Arial" w:cs="Arial"/>
                <w:sz w:val="18"/>
                <w:szCs w:val="18"/>
              </w:rPr>
            </w:pPr>
            <w:r w:rsidRPr="000876AA">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5BD3136C" w14:textId="77777777" w:rsidR="007359F0" w:rsidRPr="000876AA" w:rsidRDefault="00A51C28" w:rsidP="00256FB3">
            <w:pPr>
              <w:tabs>
                <w:tab w:val="center" w:pos="4536"/>
              </w:tabs>
              <w:jc w:val="center"/>
              <w:rPr>
                <w:rFonts w:ascii="Arial" w:eastAsia="Calibri" w:hAnsi="Arial" w:cs="Arial"/>
                <w:sz w:val="18"/>
                <w:szCs w:val="18"/>
              </w:rPr>
            </w:pPr>
            <w:r w:rsidRPr="000876AA">
              <w:rPr>
                <w:rFonts w:ascii="Arial" w:eastAsia="Calibri" w:hAnsi="Arial" w:cs="Arial"/>
                <w:sz w:val="18"/>
                <w:szCs w:val="18"/>
              </w:rPr>
              <w:t>El proceso no fue objeto de reclamo</w:t>
            </w:r>
          </w:p>
        </w:tc>
      </w:tr>
      <w:tr w:rsidR="00A51C28" w:rsidRPr="000876AA" w14:paraId="086DC572"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0AFA3AF" w14:textId="77777777" w:rsidR="00A51C28" w:rsidRPr="000876AA" w:rsidRDefault="00A51C28" w:rsidP="00A51C28">
            <w:pPr>
              <w:tabs>
                <w:tab w:val="center" w:pos="4536"/>
              </w:tabs>
              <w:rPr>
                <w:rFonts w:ascii="Arial" w:eastAsia="Calibri" w:hAnsi="Arial" w:cs="Arial"/>
                <w:b/>
                <w:sz w:val="18"/>
                <w:szCs w:val="18"/>
              </w:rPr>
            </w:pPr>
            <w:r w:rsidRPr="000876AA">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4D274970" w14:textId="77777777" w:rsidR="00A51C28" w:rsidRPr="000876AA" w:rsidRDefault="00A51C28" w:rsidP="00A51C28">
            <w:pPr>
              <w:tabs>
                <w:tab w:val="center" w:pos="4536"/>
              </w:tabs>
              <w:jc w:val="center"/>
              <w:rPr>
                <w:rFonts w:ascii="Arial" w:eastAsia="Calibri" w:hAnsi="Arial" w:cs="Arial"/>
                <w:sz w:val="18"/>
                <w:szCs w:val="18"/>
              </w:rPr>
            </w:pPr>
            <w:r w:rsidRPr="000876AA">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73937DC" w14:textId="77777777" w:rsidR="00A51C28" w:rsidRPr="000876AA" w:rsidRDefault="00A51C28" w:rsidP="00A51C28">
            <w:pPr>
              <w:tabs>
                <w:tab w:val="center" w:pos="4536"/>
              </w:tabs>
              <w:jc w:val="center"/>
              <w:rPr>
                <w:rFonts w:ascii="Arial" w:eastAsia="Calibri" w:hAnsi="Arial" w:cs="Arial"/>
                <w:b/>
                <w:sz w:val="18"/>
                <w:szCs w:val="18"/>
              </w:rPr>
            </w:pPr>
            <w:r w:rsidRPr="000876AA">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6920DB85" w14:textId="77777777" w:rsidR="00A51C28" w:rsidRPr="000876AA" w:rsidRDefault="00A51C28" w:rsidP="00A51C28">
            <w:pPr>
              <w:tabs>
                <w:tab w:val="center" w:pos="4536"/>
              </w:tabs>
              <w:jc w:val="center"/>
              <w:rPr>
                <w:rFonts w:ascii="Arial" w:eastAsia="Calibri" w:hAnsi="Arial" w:cs="Arial"/>
                <w:sz w:val="18"/>
                <w:szCs w:val="18"/>
              </w:rPr>
            </w:pPr>
            <w:r w:rsidRPr="000876AA">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2C926D09" w14:textId="77777777" w:rsidR="00A51C28" w:rsidRPr="000876AA" w:rsidRDefault="00A51C28" w:rsidP="00A51C28">
            <w:pPr>
              <w:tabs>
                <w:tab w:val="center" w:pos="4536"/>
              </w:tabs>
              <w:jc w:val="center"/>
              <w:rPr>
                <w:rFonts w:ascii="Arial" w:eastAsia="Calibri" w:hAnsi="Arial" w:cs="Arial"/>
                <w:sz w:val="18"/>
                <w:szCs w:val="18"/>
              </w:rPr>
            </w:pPr>
          </w:p>
        </w:tc>
      </w:tr>
      <w:tr w:rsidR="007359F0" w:rsidRPr="000876AA" w14:paraId="2D54361A"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FFD966"/>
            <w:vAlign w:val="center"/>
          </w:tcPr>
          <w:p w14:paraId="763C4B5A" w14:textId="77777777" w:rsidR="007359F0" w:rsidRPr="000876AA" w:rsidRDefault="007359F0" w:rsidP="0035017D">
            <w:pPr>
              <w:tabs>
                <w:tab w:val="center" w:pos="4536"/>
              </w:tabs>
              <w:rPr>
                <w:rFonts w:ascii="Arial" w:eastAsia="Calibri" w:hAnsi="Arial" w:cs="Arial"/>
                <w:sz w:val="18"/>
                <w:szCs w:val="18"/>
              </w:rPr>
            </w:pPr>
            <w:r w:rsidRPr="000876AA">
              <w:rPr>
                <w:rFonts w:ascii="Arial" w:eastAsia="Calibri" w:hAnsi="Arial" w:cs="Arial"/>
                <w:b/>
                <w:bCs/>
                <w:sz w:val="18"/>
                <w:szCs w:val="18"/>
              </w:rPr>
              <w:t xml:space="preserve">Sugerencias </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FFD966"/>
            <w:vAlign w:val="center"/>
          </w:tcPr>
          <w:p w14:paraId="0223AA98" w14:textId="77777777" w:rsidR="007359F0" w:rsidRPr="000876AA" w:rsidRDefault="007359F0" w:rsidP="00256FB3">
            <w:pPr>
              <w:tabs>
                <w:tab w:val="center" w:pos="4536"/>
              </w:tabs>
              <w:jc w:val="center"/>
              <w:rPr>
                <w:rFonts w:ascii="Arial" w:eastAsia="Calibri" w:hAnsi="Arial" w:cs="Arial"/>
                <w:sz w:val="18"/>
                <w:szCs w:val="18"/>
              </w:rPr>
            </w:pPr>
          </w:p>
        </w:tc>
      </w:tr>
      <w:tr w:rsidR="00A51C28" w:rsidRPr="000876AA" w14:paraId="7CDE3835"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12AC55B9" w14:textId="1D88FADF" w:rsidR="00A51C28" w:rsidRPr="000876AA" w:rsidRDefault="008C4501" w:rsidP="00A51C28">
            <w:pPr>
              <w:tabs>
                <w:tab w:val="center" w:pos="4536"/>
              </w:tabs>
              <w:jc w:val="center"/>
              <w:rPr>
                <w:rFonts w:ascii="Arial" w:eastAsia="Calibri" w:hAnsi="Arial" w:cs="Arial"/>
                <w:b/>
                <w:bCs/>
                <w:sz w:val="18"/>
                <w:szCs w:val="18"/>
              </w:rPr>
            </w:pPr>
            <w:r w:rsidRPr="000876AA">
              <w:rPr>
                <w:rFonts w:ascii="Arial" w:hAnsi="Arial" w:cs="Arial"/>
                <w:sz w:val="18"/>
                <w:szCs w:val="18"/>
              </w:rPr>
              <w:t>Gestión Financiera y Presupuestal</w:t>
            </w:r>
          </w:p>
        </w:tc>
        <w:tc>
          <w:tcPr>
            <w:tcW w:w="598" w:type="pct"/>
            <w:tcBorders>
              <w:top w:val="single" w:sz="4" w:space="0" w:color="000000"/>
              <w:left w:val="single" w:sz="4" w:space="0" w:color="000000"/>
              <w:bottom w:val="single" w:sz="4" w:space="0" w:color="000000"/>
              <w:right w:val="single" w:sz="4" w:space="0" w:color="auto"/>
            </w:tcBorders>
            <w:vAlign w:val="center"/>
          </w:tcPr>
          <w:p w14:paraId="78614F41" w14:textId="77777777" w:rsidR="00A51C28" w:rsidRPr="000876AA" w:rsidRDefault="00A51C28" w:rsidP="00A51C28">
            <w:pPr>
              <w:tabs>
                <w:tab w:val="center" w:pos="4536"/>
              </w:tabs>
              <w:jc w:val="center"/>
              <w:rPr>
                <w:rFonts w:ascii="Arial" w:eastAsia="Calibri" w:hAnsi="Arial" w:cs="Arial"/>
                <w:sz w:val="18"/>
                <w:szCs w:val="18"/>
              </w:rPr>
            </w:pPr>
            <w:r w:rsidRPr="000876AA">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482A6188" w14:textId="77777777" w:rsidR="00A51C28" w:rsidRPr="000876AA" w:rsidRDefault="00A51C28" w:rsidP="00A51C28">
            <w:pPr>
              <w:tabs>
                <w:tab w:val="center" w:pos="4536"/>
              </w:tabs>
              <w:jc w:val="center"/>
              <w:rPr>
                <w:rFonts w:ascii="Arial" w:eastAsia="Calibri" w:hAnsi="Arial" w:cs="Arial"/>
                <w:b/>
                <w:sz w:val="18"/>
                <w:szCs w:val="18"/>
              </w:rPr>
            </w:pPr>
            <w:r w:rsidRPr="000876AA">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1CEC6E0F" w14:textId="77777777" w:rsidR="00A51C28" w:rsidRPr="000876AA" w:rsidRDefault="00A51C28" w:rsidP="00A51C28">
            <w:pPr>
              <w:tabs>
                <w:tab w:val="center" w:pos="4536"/>
              </w:tabs>
              <w:jc w:val="center"/>
              <w:rPr>
                <w:rFonts w:ascii="Arial" w:eastAsia="Calibri" w:hAnsi="Arial" w:cs="Arial"/>
                <w:sz w:val="18"/>
                <w:szCs w:val="18"/>
              </w:rPr>
            </w:pPr>
            <w:r w:rsidRPr="000876AA">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3546EC26" w14:textId="77777777" w:rsidR="00A51C28" w:rsidRPr="000876AA" w:rsidRDefault="00A51C28" w:rsidP="00A51C28">
            <w:pPr>
              <w:tabs>
                <w:tab w:val="center" w:pos="4536"/>
              </w:tabs>
              <w:jc w:val="center"/>
              <w:rPr>
                <w:rFonts w:ascii="Arial" w:eastAsia="Calibri" w:hAnsi="Arial" w:cs="Arial"/>
                <w:sz w:val="18"/>
                <w:szCs w:val="18"/>
              </w:rPr>
            </w:pPr>
            <w:r w:rsidRPr="000876AA">
              <w:rPr>
                <w:rFonts w:ascii="Arial" w:eastAsia="Calibri" w:hAnsi="Arial" w:cs="Arial"/>
                <w:sz w:val="18"/>
                <w:szCs w:val="18"/>
              </w:rPr>
              <w:t xml:space="preserve">El proceso no fue objeto de </w:t>
            </w:r>
            <w:r w:rsidR="00074718" w:rsidRPr="000876AA">
              <w:rPr>
                <w:rFonts w:ascii="Arial" w:eastAsia="Calibri" w:hAnsi="Arial" w:cs="Arial"/>
                <w:sz w:val="18"/>
                <w:szCs w:val="18"/>
              </w:rPr>
              <w:t>sugerencias</w:t>
            </w:r>
          </w:p>
        </w:tc>
      </w:tr>
      <w:tr w:rsidR="00A51C28" w:rsidRPr="000876AA" w14:paraId="135731A3"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41F3140" w14:textId="77777777" w:rsidR="00A51C28" w:rsidRPr="000876AA" w:rsidRDefault="00A51C28" w:rsidP="00A51C28">
            <w:pPr>
              <w:tabs>
                <w:tab w:val="center" w:pos="4536"/>
              </w:tabs>
              <w:rPr>
                <w:rFonts w:ascii="Arial" w:eastAsia="Calibri" w:hAnsi="Arial" w:cs="Arial"/>
                <w:b/>
                <w:sz w:val="18"/>
                <w:szCs w:val="18"/>
              </w:rPr>
            </w:pPr>
            <w:r w:rsidRPr="000876AA">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BB168F2" w14:textId="77777777" w:rsidR="00A51C28" w:rsidRPr="000876AA" w:rsidRDefault="00A51C28" w:rsidP="00A51C28">
            <w:pPr>
              <w:tabs>
                <w:tab w:val="center" w:pos="4536"/>
              </w:tabs>
              <w:jc w:val="center"/>
              <w:rPr>
                <w:rFonts w:ascii="Arial" w:eastAsia="Calibri" w:hAnsi="Arial" w:cs="Arial"/>
                <w:sz w:val="18"/>
                <w:szCs w:val="18"/>
              </w:rPr>
            </w:pPr>
            <w:r w:rsidRPr="000876AA">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0140022" w14:textId="77777777" w:rsidR="00A51C28" w:rsidRPr="000876AA" w:rsidRDefault="00A51C28" w:rsidP="00A51C28">
            <w:pPr>
              <w:tabs>
                <w:tab w:val="center" w:pos="4536"/>
              </w:tabs>
              <w:jc w:val="center"/>
              <w:rPr>
                <w:rFonts w:ascii="Arial" w:eastAsia="Calibri" w:hAnsi="Arial" w:cs="Arial"/>
                <w:b/>
                <w:sz w:val="18"/>
                <w:szCs w:val="18"/>
              </w:rPr>
            </w:pPr>
            <w:r w:rsidRPr="000876AA">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6A55C156" w14:textId="77777777" w:rsidR="00A51C28" w:rsidRPr="000876AA" w:rsidRDefault="00A51C28" w:rsidP="00A51C28">
            <w:pPr>
              <w:tabs>
                <w:tab w:val="center" w:pos="4536"/>
              </w:tabs>
              <w:jc w:val="center"/>
              <w:rPr>
                <w:rFonts w:ascii="Arial" w:eastAsia="Calibri" w:hAnsi="Arial" w:cs="Arial"/>
                <w:sz w:val="18"/>
                <w:szCs w:val="18"/>
              </w:rPr>
            </w:pPr>
            <w:r w:rsidRPr="000876AA">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76E6E7CA" w14:textId="77777777" w:rsidR="00A51C28" w:rsidRPr="000876AA" w:rsidRDefault="00A51C28" w:rsidP="00A51C28">
            <w:pPr>
              <w:tabs>
                <w:tab w:val="center" w:pos="4536"/>
              </w:tabs>
              <w:jc w:val="center"/>
              <w:rPr>
                <w:rFonts w:ascii="Arial" w:eastAsia="Calibri" w:hAnsi="Arial" w:cs="Arial"/>
                <w:sz w:val="18"/>
                <w:szCs w:val="18"/>
              </w:rPr>
            </w:pPr>
          </w:p>
        </w:tc>
      </w:tr>
      <w:tr w:rsidR="007359F0" w:rsidRPr="000876AA" w14:paraId="04EB2B43"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FFD966"/>
            <w:vAlign w:val="center"/>
          </w:tcPr>
          <w:p w14:paraId="1317FA6E" w14:textId="77777777" w:rsidR="007359F0" w:rsidRPr="000876AA" w:rsidRDefault="007359F0" w:rsidP="0035017D">
            <w:pPr>
              <w:tabs>
                <w:tab w:val="center" w:pos="4536"/>
              </w:tabs>
              <w:rPr>
                <w:rFonts w:ascii="Arial" w:eastAsia="Calibri" w:hAnsi="Arial" w:cs="Arial"/>
                <w:b/>
                <w:bCs/>
                <w:sz w:val="18"/>
                <w:szCs w:val="18"/>
              </w:rPr>
            </w:pPr>
            <w:r w:rsidRPr="000876AA">
              <w:rPr>
                <w:rFonts w:ascii="Arial" w:eastAsia="Calibri" w:hAnsi="Arial" w:cs="Arial"/>
                <w:b/>
                <w:bCs/>
                <w:sz w:val="18"/>
                <w:szCs w:val="18"/>
              </w:rPr>
              <w:t>Felicitaciones</w:t>
            </w:r>
          </w:p>
        </w:tc>
        <w:tc>
          <w:tcPr>
            <w:tcW w:w="4011" w:type="pct"/>
            <w:gridSpan w:val="4"/>
            <w:tcBorders>
              <w:top w:val="single" w:sz="4" w:space="0" w:color="000000"/>
              <w:left w:val="single" w:sz="4" w:space="0" w:color="000000"/>
              <w:bottom w:val="single" w:sz="4" w:space="0" w:color="000000"/>
              <w:right w:val="single" w:sz="4" w:space="0" w:color="000000"/>
            </w:tcBorders>
            <w:shd w:val="clear" w:color="auto" w:fill="FFD966"/>
            <w:vAlign w:val="center"/>
          </w:tcPr>
          <w:p w14:paraId="19EF1AFD" w14:textId="77777777" w:rsidR="007359F0" w:rsidRPr="000876AA" w:rsidRDefault="007359F0" w:rsidP="00256FB3">
            <w:pPr>
              <w:tabs>
                <w:tab w:val="center" w:pos="4536"/>
              </w:tabs>
              <w:jc w:val="center"/>
              <w:rPr>
                <w:rFonts w:ascii="Arial" w:eastAsia="Calibri" w:hAnsi="Arial" w:cs="Arial"/>
                <w:sz w:val="18"/>
                <w:szCs w:val="18"/>
              </w:rPr>
            </w:pPr>
          </w:p>
        </w:tc>
      </w:tr>
      <w:tr w:rsidR="007359F0" w:rsidRPr="000876AA" w14:paraId="5FDE325F"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vAlign w:val="center"/>
          </w:tcPr>
          <w:p w14:paraId="4CE76A87" w14:textId="29DA63F0" w:rsidR="007359F0" w:rsidRPr="000876AA" w:rsidRDefault="008C4501" w:rsidP="005371DA">
            <w:pPr>
              <w:tabs>
                <w:tab w:val="center" w:pos="4536"/>
              </w:tabs>
              <w:jc w:val="center"/>
              <w:rPr>
                <w:rFonts w:ascii="Arial" w:eastAsia="Calibri" w:hAnsi="Arial" w:cs="Arial"/>
                <w:b/>
                <w:bCs/>
                <w:sz w:val="18"/>
                <w:szCs w:val="18"/>
              </w:rPr>
            </w:pPr>
            <w:r w:rsidRPr="000876AA">
              <w:rPr>
                <w:rFonts w:ascii="Arial" w:hAnsi="Arial" w:cs="Arial"/>
                <w:sz w:val="18"/>
                <w:szCs w:val="18"/>
              </w:rPr>
              <w:t>Gestión Financiera y Presupuestal</w:t>
            </w:r>
          </w:p>
        </w:tc>
        <w:tc>
          <w:tcPr>
            <w:tcW w:w="598" w:type="pct"/>
            <w:tcBorders>
              <w:top w:val="single" w:sz="4" w:space="0" w:color="000000"/>
              <w:left w:val="single" w:sz="4" w:space="0" w:color="000000"/>
              <w:bottom w:val="single" w:sz="4" w:space="0" w:color="000000"/>
              <w:right w:val="single" w:sz="4" w:space="0" w:color="auto"/>
            </w:tcBorders>
            <w:vAlign w:val="center"/>
          </w:tcPr>
          <w:p w14:paraId="64EE97EE" w14:textId="77777777" w:rsidR="007359F0" w:rsidRPr="000876AA" w:rsidRDefault="00074718" w:rsidP="00256FB3">
            <w:pPr>
              <w:tabs>
                <w:tab w:val="center" w:pos="4536"/>
              </w:tabs>
              <w:jc w:val="center"/>
              <w:rPr>
                <w:rFonts w:ascii="Arial" w:eastAsia="Calibri" w:hAnsi="Arial" w:cs="Arial"/>
                <w:sz w:val="18"/>
                <w:szCs w:val="18"/>
              </w:rPr>
            </w:pPr>
            <w:r w:rsidRPr="000876AA">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vAlign w:val="center"/>
          </w:tcPr>
          <w:p w14:paraId="30476BF7" w14:textId="77777777" w:rsidR="007359F0" w:rsidRPr="000876AA" w:rsidRDefault="00074718" w:rsidP="00256FB3">
            <w:pPr>
              <w:tabs>
                <w:tab w:val="center" w:pos="4536"/>
              </w:tabs>
              <w:jc w:val="center"/>
              <w:rPr>
                <w:rFonts w:ascii="Arial" w:eastAsia="Calibri" w:hAnsi="Arial" w:cs="Arial"/>
                <w:sz w:val="18"/>
                <w:szCs w:val="18"/>
              </w:rPr>
            </w:pPr>
            <w:r w:rsidRPr="000876AA">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vAlign w:val="center"/>
          </w:tcPr>
          <w:p w14:paraId="3F05A8CA" w14:textId="77777777" w:rsidR="007359F0" w:rsidRPr="000876AA" w:rsidRDefault="00074718" w:rsidP="00256FB3">
            <w:pPr>
              <w:tabs>
                <w:tab w:val="center" w:pos="4536"/>
              </w:tabs>
              <w:jc w:val="center"/>
              <w:rPr>
                <w:rFonts w:ascii="Arial" w:eastAsia="Calibri" w:hAnsi="Arial" w:cs="Arial"/>
                <w:sz w:val="18"/>
                <w:szCs w:val="18"/>
              </w:rPr>
            </w:pPr>
            <w:r w:rsidRPr="000876AA">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vAlign w:val="center"/>
          </w:tcPr>
          <w:p w14:paraId="572920DA" w14:textId="77777777" w:rsidR="007359F0" w:rsidRPr="000876AA" w:rsidRDefault="00074718" w:rsidP="00256FB3">
            <w:pPr>
              <w:tabs>
                <w:tab w:val="center" w:pos="4536"/>
              </w:tabs>
              <w:jc w:val="center"/>
              <w:rPr>
                <w:rFonts w:ascii="Arial" w:eastAsia="Calibri" w:hAnsi="Arial" w:cs="Arial"/>
                <w:sz w:val="18"/>
                <w:szCs w:val="18"/>
              </w:rPr>
            </w:pPr>
            <w:r w:rsidRPr="000876AA">
              <w:rPr>
                <w:rFonts w:ascii="Arial" w:eastAsia="Calibri" w:hAnsi="Arial" w:cs="Arial"/>
                <w:sz w:val="18"/>
                <w:szCs w:val="18"/>
              </w:rPr>
              <w:t>El proceso no fue objeto de felicitaciones</w:t>
            </w:r>
          </w:p>
        </w:tc>
      </w:tr>
      <w:tr w:rsidR="00A51C28" w:rsidRPr="000876AA" w14:paraId="04B9717E" w14:textId="77777777" w:rsidTr="0077684E">
        <w:trPr>
          <w:trHeight w:val="20"/>
          <w:jc w:val="center"/>
        </w:trPr>
        <w:tc>
          <w:tcPr>
            <w:tcW w:w="98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6A3F44EB" w14:textId="77777777" w:rsidR="00A51C28" w:rsidRPr="000876AA" w:rsidRDefault="00A51C28" w:rsidP="007B0975">
            <w:pPr>
              <w:tabs>
                <w:tab w:val="center" w:pos="4536"/>
              </w:tabs>
              <w:jc w:val="center"/>
              <w:rPr>
                <w:rFonts w:ascii="Arial" w:eastAsia="Calibri" w:hAnsi="Arial" w:cs="Arial"/>
                <w:b/>
                <w:bCs/>
                <w:sz w:val="18"/>
                <w:szCs w:val="18"/>
              </w:rPr>
            </w:pPr>
            <w:r w:rsidRPr="000876AA">
              <w:rPr>
                <w:rFonts w:ascii="Arial" w:eastAsia="Calibri" w:hAnsi="Arial" w:cs="Arial"/>
                <w:b/>
                <w:bCs/>
                <w:sz w:val="18"/>
                <w:szCs w:val="18"/>
              </w:rPr>
              <w:t>Total</w:t>
            </w:r>
          </w:p>
        </w:tc>
        <w:tc>
          <w:tcPr>
            <w:tcW w:w="598" w:type="pct"/>
            <w:tcBorders>
              <w:top w:val="single" w:sz="4" w:space="0" w:color="000000"/>
              <w:left w:val="single" w:sz="4" w:space="0" w:color="000000"/>
              <w:bottom w:val="single" w:sz="4" w:space="0" w:color="000000"/>
              <w:right w:val="single" w:sz="4" w:space="0" w:color="auto"/>
            </w:tcBorders>
            <w:shd w:val="clear" w:color="auto" w:fill="D9D9D9"/>
            <w:vAlign w:val="center"/>
          </w:tcPr>
          <w:p w14:paraId="1843E67B" w14:textId="77777777" w:rsidR="00A51C28" w:rsidRPr="000876AA" w:rsidRDefault="00A51C28" w:rsidP="00A51C28">
            <w:pPr>
              <w:tabs>
                <w:tab w:val="center" w:pos="4536"/>
              </w:tabs>
              <w:jc w:val="center"/>
              <w:rPr>
                <w:rFonts w:ascii="Arial" w:eastAsia="Calibri" w:hAnsi="Arial" w:cs="Arial"/>
                <w:sz w:val="18"/>
                <w:szCs w:val="18"/>
              </w:rPr>
            </w:pPr>
            <w:r w:rsidRPr="000876AA">
              <w:rPr>
                <w:rFonts w:ascii="Arial" w:eastAsia="Calibri" w:hAnsi="Arial" w:cs="Arial"/>
                <w:sz w:val="18"/>
                <w:szCs w:val="18"/>
              </w:rPr>
              <w:t>0</w:t>
            </w:r>
          </w:p>
        </w:tc>
        <w:tc>
          <w:tcPr>
            <w:tcW w:w="1049" w:type="pct"/>
            <w:tcBorders>
              <w:top w:val="single" w:sz="4" w:space="0" w:color="000000"/>
              <w:left w:val="single" w:sz="4" w:space="0" w:color="000000"/>
              <w:bottom w:val="single" w:sz="4" w:space="0" w:color="000000"/>
              <w:right w:val="single" w:sz="4" w:space="0" w:color="auto"/>
            </w:tcBorders>
            <w:shd w:val="clear" w:color="auto" w:fill="D9D9D9"/>
            <w:vAlign w:val="center"/>
          </w:tcPr>
          <w:p w14:paraId="7FEDC0DD" w14:textId="77777777" w:rsidR="00A51C28" w:rsidRPr="000876AA" w:rsidRDefault="00A51C28" w:rsidP="00A51C28">
            <w:pPr>
              <w:tabs>
                <w:tab w:val="center" w:pos="4536"/>
              </w:tabs>
              <w:jc w:val="center"/>
              <w:rPr>
                <w:rFonts w:ascii="Arial" w:eastAsia="Calibri" w:hAnsi="Arial" w:cs="Arial"/>
                <w:sz w:val="18"/>
                <w:szCs w:val="18"/>
              </w:rPr>
            </w:pPr>
            <w:r w:rsidRPr="000876AA">
              <w:rPr>
                <w:rFonts w:ascii="Arial" w:eastAsia="Calibri" w:hAnsi="Arial" w:cs="Arial"/>
                <w:sz w:val="18"/>
                <w:szCs w:val="18"/>
              </w:rPr>
              <w:t>0</w:t>
            </w:r>
          </w:p>
        </w:tc>
        <w:tc>
          <w:tcPr>
            <w:tcW w:w="673" w:type="pct"/>
            <w:tcBorders>
              <w:top w:val="single" w:sz="4" w:space="0" w:color="000000"/>
              <w:left w:val="single" w:sz="4" w:space="0" w:color="auto"/>
              <w:bottom w:val="single" w:sz="4" w:space="0" w:color="000000"/>
              <w:right w:val="single" w:sz="4" w:space="0" w:color="auto"/>
            </w:tcBorders>
            <w:shd w:val="clear" w:color="auto" w:fill="D9D9D9"/>
            <w:vAlign w:val="center"/>
          </w:tcPr>
          <w:p w14:paraId="5F0CE9BA" w14:textId="77777777" w:rsidR="00A51C28" w:rsidRPr="000876AA" w:rsidRDefault="00A51C28" w:rsidP="00A51C28">
            <w:pPr>
              <w:tabs>
                <w:tab w:val="center" w:pos="4536"/>
              </w:tabs>
              <w:jc w:val="center"/>
              <w:rPr>
                <w:rFonts w:ascii="Arial" w:eastAsia="Calibri" w:hAnsi="Arial" w:cs="Arial"/>
                <w:sz w:val="18"/>
                <w:szCs w:val="18"/>
              </w:rPr>
            </w:pPr>
            <w:r w:rsidRPr="000876AA">
              <w:rPr>
                <w:rFonts w:ascii="Arial" w:eastAsia="Calibri" w:hAnsi="Arial" w:cs="Arial"/>
                <w:sz w:val="18"/>
                <w:szCs w:val="18"/>
              </w:rPr>
              <w:t>0</w:t>
            </w:r>
          </w:p>
        </w:tc>
        <w:tc>
          <w:tcPr>
            <w:tcW w:w="1691" w:type="pct"/>
            <w:tcBorders>
              <w:top w:val="single" w:sz="4" w:space="0" w:color="000000"/>
              <w:left w:val="single" w:sz="4" w:space="0" w:color="auto"/>
              <w:bottom w:val="single" w:sz="4" w:space="0" w:color="000000"/>
              <w:right w:val="single" w:sz="4" w:space="0" w:color="000000"/>
            </w:tcBorders>
            <w:shd w:val="clear" w:color="auto" w:fill="D9D9D9"/>
            <w:vAlign w:val="center"/>
          </w:tcPr>
          <w:p w14:paraId="0D6F5FC3" w14:textId="77777777" w:rsidR="00A51C28" w:rsidRPr="000876AA" w:rsidRDefault="00A51C28" w:rsidP="00A51C28">
            <w:pPr>
              <w:tabs>
                <w:tab w:val="center" w:pos="4536"/>
              </w:tabs>
              <w:jc w:val="center"/>
              <w:rPr>
                <w:rFonts w:ascii="Arial" w:eastAsia="Calibri" w:hAnsi="Arial" w:cs="Arial"/>
                <w:sz w:val="18"/>
                <w:szCs w:val="18"/>
              </w:rPr>
            </w:pPr>
          </w:p>
        </w:tc>
      </w:tr>
      <w:tr w:rsidR="007359F0" w:rsidRPr="000876AA" w14:paraId="1ECF7BA4" w14:textId="77777777" w:rsidTr="0077684E">
        <w:trPr>
          <w:trHeight w:val="20"/>
          <w:jc w:val="center"/>
        </w:trPr>
        <w:tc>
          <w:tcPr>
            <w:tcW w:w="989" w:type="pct"/>
            <w:tcBorders>
              <w:top w:val="single" w:sz="4" w:space="0" w:color="000000"/>
              <w:left w:val="single" w:sz="4" w:space="0" w:color="000000"/>
              <w:bottom w:val="single" w:sz="4" w:space="0" w:color="auto"/>
              <w:right w:val="single" w:sz="4" w:space="0" w:color="auto"/>
            </w:tcBorders>
            <w:shd w:val="clear" w:color="auto" w:fill="A6A6A6"/>
            <w:vAlign w:val="center"/>
          </w:tcPr>
          <w:p w14:paraId="5943A459" w14:textId="77777777" w:rsidR="007359F0" w:rsidRPr="000876AA" w:rsidRDefault="007359F0" w:rsidP="007B0975">
            <w:pPr>
              <w:tabs>
                <w:tab w:val="center" w:pos="4536"/>
              </w:tabs>
              <w:jc w:val="center"/>
              <w:rPr>
                <w:rFonts w:ascii="Arial" w:eastAsia="Calibri" w:hAnsi="Arial" w:cs="Arial"/>
                <w:b/>
                <w:sz w:val="18"/>
                <w:szCs w:val="18"/>
              </w:rPr>
            </w:pPr>
            <w:r w:rsidRPr="000876AA">
              <w:rPr>
                <w:rFonts w:ascii="Arial" w:eastAsia="Calibri" w:hAnsi="Arial" w:cs="Arial"/>
                <w:b/>
                <w:sz w:val="18"/>
                <w:szCs w:val="18"/>
              </w:rPr>
              <w:t>TOTAL</w:t>
            </w:r>
          </w:p>
        </w:tc>
        <w:tc>
          <w:tcPr>
            <w:tcW w:w="598" w:type="pct"/>
            <w:tcBorders>
              <w:top w:val="single" w:sz="4" w:space="0" w:color="000000"/>
              <w:left w:val="single" w:sz="4" w:space="0" w:color="000000"/>
              <w:bottom w:val="single" w:sz="4" w:space="0" w:color="auto"/>
              <w:right w:val="single" w:sz="4" w:space="0" w:color="auto"/>
            </w:tcBorders>
            <w:shd w:val="clear" w:color="auto" w:fill="A6A6A6"/>
            <w:vAlign w:val="center"/>
          </w:tcPr>
          <w:p w14:paraId="1304BF4E" w14:textId="384860E1" w:rsidR="007359F0" w:rsidRPr="000876AA" w:rsidRDefault="006460C0" w:rsidP="00256FB3">
            <w:pPr>
              <w:tabs>
                <w:tab w:val="center" w:pos="4536"/>
              </w:tabs>
              <w:jc w:val="center"/>
              <w:rPr>
                <w:rFonts w:ascii="Arial" w:eastAsia="Calibri" w:hAnsi="Arial" w:cs="Arial"/>
                <w:b/>
                <w:sz w:val="18"/>
                <w:szCs w:val="18"/>
              </w:rPr>
            </w:pPr>
            <w:r w:rsidRPr="000876AA">
              <w:rPr>
                <w:rFonts w:ascii="Arial" w:eastAsia="Calibri" w:hAnsi="Arial" w:cs="Arial"/>
                <w:b/>
                <w:sz w:val="18"/>
                <w:szCs w:val="18"/>
              </w:rPr>
              <w:t>0</w:t>
            </w:r>
          </w:p>
        </w:tc>
        <w:tc>
          <w:tcPr>
            <w:tcW w:w="1049" w:type="pct"/>
            <w:tcBorders>
              <w:top w:val="single" w:sz="4" w:space="0" w:color="000000"/>
              <w:left w:val="single" w:sz="4" w:space="0" w:color="000000"/>
              <w:bottom w:val="single" w:sz="4" w:space="0" w:color="auto"/>
              <w:right w:val="single" w:sz="4" w:space="0" w:color="auto"/>
            </w:tcBorders>
            <w:shd w:val="clear" w:color="auto" w:fill="A6A6A6"/>
            <w:vAlign w:val="center"/>
          </w:tcPr>
          <w:p w14:paraId="382BC610" w14:textId="77777777" w:rsidR="007359F0" w:rsidRPr="000876AA" w:rsidRDefault="00074718" w:rsidP="00256FB3">
            <w:pPr>
              <w:tabs>
                <w:tab w:val="center" w:pos="4536"/>
              </w:tabs>
              <w:jc w:val="center"/>
              <w:rPr>
                <w:rFonts w:ascii="Arial" w:eastAsia="Calibri" w:hAnsi="Arial" w:cs="Arial"/>
                <w:b/>
                <w:sz w:val="18"/>
                <w:szCs w:val="18"/>
              </w:rPr>
            </w:pPr>
            <w:r w:rsidRPr="000876AA">
              <w:rPr>
                <w:rFonts w:ascii="Arial" w:eastAsia="Calibri" w:hAnsi="Arial" w:cs="Arial"/>
                <w:b/>
                <w:sz w:val="18"/>
                <w:szCs w:val="18"/>
              </w:rPr>
              <w:t>0</w:t>
            </w:r>
          </w:p>
        </w:tc>
        <w:tc>
          <w:tcPr>
            <w:tcW w:w="673" w:type="pct"/>
            <w:tcBorders>
              <w:top w:val="single" w:sz="4" w:space="0" w:color="000000"/>
              <w:left w:val="single" w:sz="4" w:space="0" w:color="auto"/>
              <w:bottom w:val="single" w:sz="4" w:space="0" w:color="auto"/>
              <w:right w:val="single" w:sz="4" w:space="0" w:color="auto"/>
            </w:tcBorders>
            <w:shd w:val="clear" w:color="auto" w:fill="A6A6A6"/>
            <w:vAlign w:val="center"/>
          </w:tcPr>
          <w:p w14:paraId="025A2C88" w14:textId="77777777" w:rsidR="007359F0" w:rsidRPr="000876AA" w:rsidRDefault="00074718" w:rsidP="00256FB3">
            <w:pPr>
              <w:tabs>
                <w:tab w:val="center" w:pos="4536"/>
              </w:tabs>
              <w:jc w:val="center"/>
              <w:rPr>
                <w:rFonts w:ascii="Arial" w:eastAsia="Calibri" w:hAnsi="Arial" w:cs="Arial"/>
                <w:b/>
                <w:sz w:val="18"/>
                <w:szCs w:val="18"/>
              </w:rPr>
            </w:pPr>
            <w:r w:rsidRPr="000876AA">
              <w:rPr>
                <w:rFonts w:ascii="Arial" w:eastAsia="Calibri" w:hAnsi="Arial" w:cs="Arial"/>
                <w:b/>
                <w:sz w:val="18"/>
                <w:szCs w:val="18"/>
              </w:rPr>
              <w:t>0</w:t>
            </w:r>
          </w:p>
        </w:tc>
        <w:tc>
          <w:tcPr>
            <w:tcW w:w="1691" w:type="pct"/>
            <w:tcBorders>
              <w:top w:val="single" w:sz="4" w:space="0" w:color="000000"/>
              <w:left w:val="single" w:sz="4" w:space="0" w:color="auto"/>
              <w:bottom w:val="single" w:sz="4" w:space="0" w:color="auto"/>
              <w:right w:val="single" w:sz="4" w:space="0" w:color="000000"/>
            </w:tcBorders>
            <w:shd w:val="clear" w:color="auto" w:fill="A6A6A6"/>
            <w:vAlign w:val="center"/>
          </w:tcPr>
          <w:p w14:paraId="586B1347" w14:textId="77777777" w:rsidR="007359F0" w:rsidRPr="000876AA" w:rsidRDefault="007359F0" w:rsidP="00256FB3">
            <w:pPr>
              <w:tabs>
                <w:tab w:val="center" w:pos="4536"/>
              </w:tabs>
              <w:jc w:val="center"/>
              <w:rPr>
                <w:rFonts w:ascii="Arial" w:eastAsia="Calibri" w:hAnsi="Arial" w:cs="Arial"/>
                <w:b/>
                <w:sz w:val="18"/>
                <w:szCs w:val="18"/>
              </w:rPr>
            </w:pPr>
          </w:p>
        </w:tc>
      </w:tr>
    </w:tbl>
    <w:p w14:paraId="1064518B" w14:textId="178F73B8" w:rsidR="00E27EAE" w:rsidRDefault="00E27EAE" w:rsidP="001D2ECE">
      <w:pPr>
        <w:rPr>
          <w:rFonts w:ascii="Arial" w:hAnsi="Arial" w:cs="Arial"/>
          <w:sz w:val="22"/>
          <w:szCs w:val="22"/>
        </w:rPr>
      </w:pPr>
    </w:p>
    <w:p w14:paraId="75571FD3" w14:textId="77777777" w:rsidR="00AD15F9" w:rsidRPr="000876AA" w:rsidRDefault="00AD15F9" w:rsidP="001D2ECE">
      <w:pPr>
        <w:rPr>
          <w:rFonts w:ascii="Arial" w:hAnsi="Arial" w:cs="Arial"/>
          <w:sz w:val="22"/>
          <w:szCs w:val="22"/>
        </w:rPr>
      </w:pPr>
    </w:p>
    <w:p w14:paraId="24B79ECD" w14:textId="4B219EA0" w:rsidR="000E4C9E" w:rsidRPr="00AD15F9" w:rsidRDefault="000E4C9E" w:rsidP="00AD15F9">
      <w:pPr>
        <w:pStyle w:val="Prrafodelista"/>
        <w:numPr>
          <w:ilvl w:val="0"/>
          <w:numId w:val="31"/>
        </w:numPr>
        <w:jc w:val="both"/>
        <w:rPr>
          <w:rFonts w:ascii="Arial" w:hAnsi="Arial" w:cs="Arial"/>
          <w:b/>
          <w:color w:val="BFBFBF"/>
        </w:rPr>
      </w:pPr>
      <w:r w:rsidRPr="00AD15F9">
        <w:rPr>
          <w:rFonts w:ascii="Arial" w:hAnsi="Arial" w:cs="Arial"/>
          <w:b/>
        </w:rPr>
        <w:t>GRADO DE CUMPLIMIENTO DE LOS OBJETIVOS DEL SIGCMA</w:t>
      </w:r>
      <w:r w:rsidR="00390E54" w:rsidRPr="00AD15F9">
        <w:rPr>
          <w:rFonts w:ascii="Arial" w:hAnsi="Arial" w:cs="Arial"/>
          <w:b/>
        </w:rPr>
        <w:t xml:space="preserve"> </w:t>
      </w:r>
      <w:r w:rsidR="00865428" w:rsidRPr="00AD15F9">
        <w:rPr>
          <w:rFonts w:ascii="Arial" w:hAnsi="Arial" w:cs="Arial"/>
          <w:b/>
        </w:rPr>
        <w:t>(Fundamentado en el Plan de Acción)</w:t>
      </w:r>
      <w:r w:rsidRPr="00AD15F9">
        <w:rPr>
          <w:rFonts w:ascii="Arial" w:hAnsi="Arial" w:cs="Arial"/>
          <w:b/>
        </w:rPr>
        <w:t xml:space="preserve"> </w:t>
      </w:r>
      <w:r w:rsidR="000E02D3" w:rsidRPr="00AD15F9">
        <w:rPr>
          <w:rFonts w:ascii="Arial" w:hAnsi="Arial" w:cs="Arial"/>
          <w:b/>
        </w:rPr>
        <w:t>(</w:t>
      </w:r>
      <w:r w:rsidR="00390E54" w:rsidRPr="00AD15F9">
        <w:rPr>
          <w:rFonts w:ascii="Arial" w:hAnsi="Arial" w:cs="Arial"/>
          <w:b/>
        </w:rPr>
        <w:t>I</w:t>
      </w:r>
      <w:r w:rsidR="00390E54" w:rsidRPr="00AD15F9">
        <w:rPr>
          <w:rFonts w:ascii="Arial" w:hAnsi="Arial" w:cs="Arial"/>
          <w:b/>
          <w:color w:val="000000"/>
        </w:rPr>
        <w:t>ncluye ambiental</w:t>
      </w:r>
      <w:r w:rsidR="0080205C" w:rsidRPr="00AD15F9">
        <w:rPr>
          <w:rFonts w:ascii="Arial" w:hAnsi="Arial" w:cs="Arial"/>
          <w:b/>
          <w:color w:val="000000"/>
        </w:rPr>
        <w:t xml:space="preserve"> - </w:t>
      </w:r>
      <w:r w:rsidR="00390E54" w:rsidRPr="00AD15F9">
        <w:rPr>
          <w:rFonts w:ascii="Arial" w:hAnsi="Arial" w:cs="Arial"/>
          <w:b/>
          <w:color w:val="000000"/>
        </w:rPr>
        <w:t>Si aplica</w:t>
      </w:r>
      <w:r w:rsidR="00865428" w:rsidRPr="00AD15F9">
        <w:rPr>
          <w:rFonts w:ascii="Arial" w:hAnsi="Arial" w:cs="Arial"/>
          <w:b/>
          <w:color w:val="00000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47"/>
        <w:gridCol w:w="1477"/>
        <w:gridCol w:w="2140"/>
        <w:gridCol w:w="1560"/>
        <w:gridCol w:w="4440"/>
      </w:tblGrid>
      <w:tr w:rsidR="00102A9F" w:rsidRPr="000876AA" w14:paraId="61DFBB6C" w14:textId="77777777" w:rsidTr="00AD15F9">
        <w:trPr>
          <w:trHeight w:val="20"/>
          <w:tblHeader/>
          <w:jc w:val="center"/>
        </w:trPr>
        <w:tc>
          <w:tcPr>
            <w:tcW w:w="174" w:type="pct"/>
            <w:shd w:val="clear" w:color="auto" w:fill="B4C6E7" w:themeFill="accent1" w:themeFillTint="66"/>
            <w:vAlign w:val="center"/>
          </w:tcPr>
          <w:p w14:paraId="35C9197D" w14:textId="77777777" w:rsidR="00865428" w:rsidRPr="000876AA" w:rsidRDefault="00865428" w:rsidP="001752E7">
            <w:pPr>
              <w:tabs>
                <w:tab w:val="center" w:pos="4536"/>
              </w:tabs>
              <w:jc w:val="center"/>
              <w:rPr>
                <w:rFonts w:ascii="Arial" w:eastAsia="Calibri" w:hAnsi="Arial" w:cs="Arial"/>
                <w:b/>
                <w:sz w:val="16"/>
                <w:szCs w:val="16"/>
              </w:rPr>
            </w:pPr>
            <w:bookmarkStart w:id="0" w:name="_Hlk57700231"/>
            <w:r w:rsidRPr="000876AA">
              <w:rPr>
                <w:rFonts w:ascii="Arial" w:eastAsia="Calibri" w:hAnsi="Arial" w:cs="Arial"/>
                <w:b/>
                <w:sz w:val="16"/>
                <w:szCs w:val="16"/>
              </w:rPr>
              <w:t>N</w:t>
            </w:r>
            <w:r w:rsidR="00390E54" w:rsidRPr="000876AA">
              <w:rPr>
                <w:rFonts w:ascii="Arial" w:eastAsia="Calibri" w:hAnsi="Arial" w:cs="Arial"/>
                <w:b/>
                <w:sz w:val="16"/>
                <w:szCs w:val="16"/>
              </w:rPr>
              <w:t>o</w:t>
            </w:r>
            <w:r w:rsidRPr="000876AA">
              <w:rPr>
                <w:rFonts w:ascii="Arial" w:eastAsia="Calibri" w:hAnsi="Arial" w:cs="Arial"/>
                <w:b/>
                <w:sz w:val="16"/>
                <w:szCs w:val="16"/>
              </w:rPr>
              <w:t>.</w:t>
            </w:r>
          </w:p>
        </w:tc>
        <w:tc>
          <w:tcPr>
            <w:tcW w:w="741" w:type="pct"/>
            <w:shd w:val="clear" w:color="auto" w:fill="B4C6E7" w:themeFill="accent1" w:themeFillTint="66"/>
            <w:vAlign w:val="center"/>
            <w:hideMark/>
          </w:tcPr>
          <w:p w14:paraId="7EE39989" w14:textId="77777777" w:rsidR="00865428" w:rsidRPr="000876AA" w:rsidRDefault="00865428" w:rsidP="001752E7">
            <w:pPr>
              <w:tabs>
                <w:tab w:val="center" w:pos="4536"/>
              </w:tabs>
              <w:jc w:val="center"/>
              <w:rPr>
                <w:rFonts w:ascii="Arial" w:eastAsia="Calibri" w:hAnsi="Arial" w:cs="Arial"/>
                <w:b/>
                <w:sz w:val="16"/>
                <w:szCs w:val="16"/>
              </w:rPr>
            </w:pPr>
            <w:r w:rsidRPr="000876AA">
              <w:rPr>
                <w:rFonts w:ascii="Arial" w:eastAsia="Calibri" w:hAnsi="Arial" w:cs="Arial"/>
                <w:b/>
                <w:sz w:val="16"/>
                <w:szCs w:val="16"/>
              </w:rPr>
              <w:t>PILARES ESTRATÉGICOS</w:t>
            </w:r>
          </w:p>
        </w:tc>
        <w:tc>
          <w:tcPr>
            <w:tcW w:w="1074" w:type="pct"/>
            <w:shd w:val="clear" w:color="auto" w:fill="B4C6E7" w:themeFill="accent1" w:themeFillTint="66"/>
            <w:vAlign w:val="center"/>
          </w:tcPr>
          <w:p w14:paraId="7C8627C2" w14:textId="77777777" w:rsidR="00865428" w:rsidRPr="000876AA" w:rsidRDefault="00865428" w:rsidP="001752E7">
            <w:pPr>
              <w:tabs>
                <w:tab w:val="center" w:pos="4536"/>
              </w:tabs>
              <w:jc w:val="center"/>
              <w:rPr>
                <w:rFonts w:ascii="Arial" w:eastAsia="Calibri" w:hAnsi="Arial" w:cs="Arial"/>
                <w:b/>
                <w:sz w:val="16"/>
                <w:szCs w:val="16"/>
              </w:rPr>
            </w:pPr>
            <w:r w:rsidRPr="000876AA">
              <w:rPr>
                <w:rFonts w:ascii="Arial" w:eastAsia="Calibri" w:hAnsi="Arial" w:cs="Arial"/>
                <w:b/>
                <w:sz w:val="16"/>
                <w:szCs w:val="16"/>
              </w:rPr>
              <w:t>OBJETIVO</w:t>
            </w:r>
          </w:p>
        </w:tc>
        <w:tc>
          <w:tcPr>
            <w:tcW w:w="783" w:type="pct"/>
            <w:shd w:val="clear" w:color="auto" w:fill="B4C6E7" w:themeFill="accent1" w:themeFillTint="66"/>
            <w:vAlign w:val="center"/>
            <w:hideMark/>
          </w:tcPr>
          <w:p w14:paraId="41B03B95" w14:textId="77777777" w:rsidR="00865428" w:rsidRPr="000876AA" w:rsidRDefault="00865428" w:rsidP="001752E7">
            <w:pPr>
              <w:tabs>
                <w:tab w:val="center" w:pos="4536"/>
              </w:tabs>
              <w:jc w:val="center"/>
              <w:rPr>
                <w:rFonts w:ascii="Arial" w:eastAsia="Calibri" w:hAnsi="Arial" w:cs="Arial"/>
                <w:b/>
                <w:sz w:val="16"/>
                <w:szCs w:val="16"/>
              </w:rPr>
            </w:pPr>
            <w:r w:rsidRPr="000876AA">
              <w:rPr>
                <w:rFonts w:ascii="Arial" w:eastAsia="Calibri" w:hAnsi="Arial" w:cs="Arial"/>
                <w:b/>
                <w:sz w:val="16"/>
                <w:szCs w:val="16"/>
              </w:rPr>
              <w:t>RESULTADOS ANUALES</w:t>
            </w:r>
          </w:p>
        </w:tc>
        <w:tc>
          <w:tcPr>
            <w:tcW w:w="2228" w:type="pct"/>
            <w:shd w:val="clear" w:color="auto" w:fill="B4C6E7" w:themeFill="accent1" w:themeFillTint="66"/>
            <w:vAlign w:val="center"/>
            <w:hideMark/>
          </w:tcPr>
          <w:p w14:paraId="20EA9195" w14:textId="77777777" w:rsidR="00865428" w:rsidRPr="000876AA" w:rsidRDefault="00865428" w:rsidP="001752E7">
            <w:pPr>
              <w:tabs>
                <w:tab w:val="center" w:pos="4536"/>
              </w:tabs>
              <w:jc w:val="center"/>
              <w:rPr>
                <w:rFonts w:ascii="Arial" w:eastAsia="Calibri" w:hAnsi="Arial" w:cs="Arial"/>
                <w:b/>
                <w:sz w:val="16"/>
                <w:szCs w:val="16"/>
              </w:rPr>
            </w:pPr>
            <w:r w:rsidRPr="000876AA">
              <w:rPr>
                <w:rFonts w:ascii="Arial" w:eastAsia="Calibri" w:hAnsi="Arial" w:cs="Arial"/>
                <w:b/>
                <w:sz w:val="16"/>
                <w:szCs w:val="16"/>
              </w:rPr>
              <w:t>ANÁLISIS</w:t>
            </w:r>
          </w:p>
        </w:tc>
      </w:tr>
      <w:tr w:rsidR="002C2C4E" w:rsidRPr="000876AA" w14:paraId="0D476794" w14:textId="77777777" w:rsidTr="00AD15F9">
        <w:trPr>
          <w:trHeight w:val="20"/>
          <w:jc w:val="center"/>
        </w:trPr>
        <w:tc>
          <w:tcPr>
            <w:tcW w:w="174" w:type="pct"/>
            <w:shd w:val="clear" w:color="auto" w:fill="auto"/>
            <w:vAlign w:val="center"/>
          </w:tcPr>
          <w:p w14:paraId="3FC8BD69" w14:textId="075D4CEB" w:rsidR="002C2C4E" w:rsidRPr="000876AA" w:rsidRDefault="002C2C4E" w:rsidP="001752E7">
            <w:pPr>
              <w:tabs>
                <w:tab w:val="center" w:pos="4536"/>
              </w:tabs>
              <w:jc w:val="center"/>
              <w:rPr>
                <w:rFonts w:ascii="Arial" w:eastAsia="Calibri" w:hAnsi="Arial" w:cs="Arial"/>
                <w:sz w:val="16"/>
                <w:szCs w:val="16"/>
              </w:rPr>
            </w:pPr>
            <w:r w:rsidRPr="000876AA">
              <w:rPr>
                <w:rFonts w:ascii="Arial" w:eastAsia="Calibri" w:hAnsi="Arial" w:cs="Arial"/>
                <w:sz w:val="16"/>
                <w:szCs w:val="16"/>
              </w:rPr>
              <w:t>1</w:t>
            </w:r>
          </w:p>
        </w:tc>
        <w:tc>
          <w:tcPr>
            <w:tcW w:w="741" w:type="pct"/>
            <w:shd w:val="clear" w:color="auto" w:fill="auto"/>
            <w:vAlign w:val="center"/>
          </w:tcPr>
          <w:p w14:paraId="1317364C" w14:textId="0F5D0B88" w:rsidR="002C2C4E" w:rsidRPr="000876AA" w:rsidRDefault="002C2C4E" w:rsidP="001752E7">
            <w:pPr>
              <w:tabs>
                <w:tab w:val="center" w:pos="4536"/>
              </w:tabs>
              <w:jc w:val="center"/>
              <w:rPr>
                <w:rFonts w:ascii="Arial" w:eastAsia="Calibri" w:hAnsi="Arial" w:cs="Arial"/>
                <w:sz w:val="16"/>
                <w:szCs w:val="16"/>
              </w:rPr>
            </w:pPr>
            <w:r w:rsidRPr="000876AA">
              <w:rPr>
                <w:rFonts w:ascii="Arial" w:eastAsia="Calibri" w:hAnsi="Arial" w:cs="Arial"/>
                <w:sz w:val="16"/>
                <w:szCs w:val="16"/>
              </w:rPr>
              <w:t>Modernización tecnológica</w:t>
            </w:r>
          </w:p>
        </w:tc>
        <w:tc>
          <w:tcPr>
            <w:tcW w:w="1074" w:type="pct"/>
            <w:shd w:val="clear" w:color="auto" w:fill="auto"/>
            <w:vAlign w:val="center"/>
          </w:tcPr>
          <w:p w14:paraId="7C8AAA38" w14:textId="1B6810A4" w:rsidR="002C2C4E" w:rsidRPr="000876AA" w:rsidRDefault="00177508" w:rsidP="001752E7">
            <w:pPr>
              <w:tabs>
                <w:tab w:val="center" w:pos="4536"/>
              </w:tabs>
              <w:jc w:val="center"/>
              <w:rPr>
                <w:rFonts w:ascii="Arial" w:eastAsia="Calibri" w:hAnsi="Arial" w:cs="Arial"/>
                <w:sz w:val="16"/>
                <w:szCs w:val="16"/>
              </w:rPr>
            </w:pPr>
            <w:r w:rsidRPr="000876AA">
              <w:rPr>
                <w:rFonts w:ascii="Arial" w:eastAsia="Calibri" w:hAnsi="Arial" w:cs="Arial"/>
                <w:sz w:val="16"/>
                <w:szCs w:val="16"/>
              </w:rPr>
              <w:t>1. Garantizar el acceso a la Justicia, reconociendo al usuario como razón de ser de la misma.</w:t>
            </w:r>
          </w:p>
        </w:tc>
        <w:tc>
          <w:tcPr>
            <w:tcW w:w="783" w:type="pct"/>
            <w:shd w:val="clear" w:color="auto" w:fill="auto"/>
            <w:vAlign w:val="center"/>
          </w:tcPr>
          <w:p w14:paraId="6EB1116A" w14:textId="03C10243" w:rsidR="00AD5FC4" w:rsidRPr="000876AA" w:rsidRDefault="00AD5FC4" w:rsidP="001752E7">
            <w:pPr>
              <w:overflowPunct/>
              <w:autoSpaceDE/>
              <w:autoSpaceDN/>
              <w:adjustRightInd/>
              <w:jc w:val="center"/>
              <w:textAlignment w:val="auto"/>
              <w:rPr>
                <w:rFonts w:ascii="Arial" w:hAnsi="Arial" w:cs="Arial"/>
                <w:sz w:val="20"/>
                <w:szCs w:val="22"/>
              </w:rPr>
            </w:pPr>
            <w:r w:rsidRPr="000876AA">
              <w:rPr>
                <w:rFonts w:ascii="Arial" w:hAnsi="Arial" w:cs="Arial"/>
                <w:sz w:val="16"/>
                <w:szCs w:val="22"/>
              </w:rPr>
              <w:t>2.8 millones transacciones electrónicas de depósitos judiciales por $7.3 billones de pesos</w:t>
            </w:r>
          </w:p>
        </w:tc>
        <w:tc>
          <w:tcPr>
            <w:tcW w:w="2228" w:type="pct"/>
            <w:shd w:val="clear" w:color="auto" w:fill="auto"/>
            <w:vAlign w:val="center"/>
          </w:tcPr>
          <w:p w14:paraId="19F5FF14" w14:textId="5FE7E084" w:rsidR="002C2C4E" w:rsidRPr="000876AA" w:rsidRDefault="00AD5FC4" w:rsidP="001752E7">
            <w:pPr>
              <w:tabs>
                <w:tab w:val="center" w:pos="4536"/>
              </w:tabs>
              <w:rPr>
                <w:rFonts w:ascii="Arial" w:eastAsia="Calibri" w:hAnsi="Arial" w:cs="Arial"/>
                <w:sz w:val="16"/>
                <w:szCs w:val="16"/>
              </w:rPr>
            </w:pPr>
            <w:r w:rsidRPr="000876AA">
              <w:rPr>
                <w:rFonts w:ascii="Arial" w:eastAsia="Calibri" w:hAnsi="Arial" w:cs="Arial"/>
                <w:sz w:val="16"/>
                <w:szCs w:val="16"/>
              </w:rPr>
              <w:t>Se garantizado por parte de la Rama Judicial, un medio electrónico que le permita a los Despachos Judiciales tanto la administración de los depósitos como el pago de los mismos, haciendo más ágil el trámite para los usuarios de la justicia.</w:t>
            </w:r>
          </w:p>
        </w:tc>
      </w:tr>
      <w:tr w:rsidR="002C2C4E" w:rsidRPr="000876AA" w14:paraId="1D185DE6" w14:textId="77777777" w:rsidTr="00AD15F9">
        <w:trPr>
          <w:trHeight w:val="20"/>
          <w:jc w:val="center"/>
        </w:trPr>
        <w:tc>
          <w:tcPr>
            <w:tcW w:w="174" w:type="pct"/>
            <w:shd w:val="clear" w:color="auto" w:fill="auto"/>
            <w:vAlign w:val="center"/>
          </w:tcPr>
          <w:p w14:paraId="4874FBF7" w14:textId="09386E24" w:rsidR="002C2C4E" w:rsidRPr="000876AA" w:rsidRDefault="007030A7" w:rsidP="001752E7">
            <w:pPr>
              <w:tabs>
                <w:tab w:val="center" w:pos="4536"/>
              </w:tabs>
              <w:jc w:val="center"/>
              <w:rPr>
                <w:rFonts w:ascii="Arial" w:eastAsia="Calibri" w:hAnsi="Arial" w:cs="Arial"/>
                <w:sz w:val="16"/>
                <w:szCs w:val="16"/>
              </w:rPr>
            </w:pPr>
            <w:r w:rsidRPr="000876AA">
              <w:rPr>
                <w:rFonts w:ascii="Arial" w:eastAsia="Calibri" w:hAnsi="Arial" w:cs="Arial"/>
                <w:sz w:val="16"/>
                <w:szCs w:val="16"/>
              </w:rPr>
              <w:lastRenderedPageBreak/>
              <w:t>5</w:t>
            </w:r>
          </w:p>
        </w:tc>
        <w:tc>
          <w:tcPr>
            <w:tcW w:w="741" w:type="pct"/>
            <w:shd w:val="clear" w:color="auto" w:fill="auto"/>
            <w:vAlign w:val="center"/>
          </w:tcPr>
          <w:p w14:paraId="4AF320BA" w14:textId="38C3B838" w:rsidR="002C2C4E" w:rsidRPr="000876AA" w:rsidRDefault="00AA18CE" w:rsidP="001752E7">
            <w:pPr>
              <w:tabs>
                <w:tab w:val="center" w:pos="4536"/>
              </w:tabs>
              <w:jc w:val="center"/>
              <w:rPr>
                <w:rFonts w:ascii="Arial" w:eastAsia="Calibri" w:hAnsi="Arial" w:cs="Arial"/>
                <w:sz w:val="16"/>
                <w:szCs w:val="16"/>
              </w:rPr>
            </w:pPr>
            <w:r w:rsidRPr="000876AA">
              <w:rPr>
                <w:rFonts w:ascii="Arial" w:eastAsia="Calibri" w:hAnsi="Arial" w:cs="Arial"/>
                <w:sz w:val="16"/>
                <w:szCs w:val="16"/>
              </w:rPr>
              <w:t>J</w:t>
            </w:r>
            <w:r w:rsidR="007030A7" w:rsidRPr="000876AA">
              <w:rPr>
                <w:rFonts w:ascii="Arial" w:eastAsia="Calibri" w:hAnsi="Arial" w:cs="Arial"/>
                <w:sz w:val="16"/>
                <w:szCs w:val="16"/>
              </w:rPr>
              <w:t>usticia cercana al ciudadano y de comunicación</w:t>
            </w:r>
          </w:p>
        </w:tc>
        <w:tc>
          <w:tcPr>
            <w:tcW w:w="1074" w:type="pct"/>
            <w:shd w:val="clear" w:color="auto" w:fill="auto"/>
            <w:vAlign w:val="center"/>
          </w:tcPr>
          <w:p w14:paraId="6C3B4BEB" w14:textId="2B6437F3" w:rsidR="002C2C4E" w:rsidRPr="000876AA" w:rsidRDefault="00177508" w:rsidP="001752E7">
            <w:pPr>
              <w:tabs>
                <w:tab w:val="center" w:pos="4536"/>
              </w:tabs>
              <w:jc w:val="center"/>
              <w:rPr>
                <w:rFonts w:ascii="Arial" w:eastAsia="Calibri" w:hAnsi="Arial" w:cs="Arial"/>
                <w:sz w:val="16"/>
                <w:szCs w:val="16"/>
              </w:rPr>
            </w:pPr>
            <w:r w:rsidRPr="000876AA">
              <w:rPr>
                <w:rFonts w:ascii="Arial" w:eastAsia="Calibri" w:hAnsi="Arial" w:cs="Arial"/>
                <w:sz w:val="16"/>
                <w:szCs w:val="16"/>
              </w:rPr>
              <w:t>4.</w:t>
            </w:r>
            <w:r w:rsidR="00233D44" w:rsidRPr="000876AA">
              <w:rPr>
                <w:rFonts w:ascii="Arial" w:eastAsia="Calibri" w:hAnsi="Arial" w:cs="Arial"/>
                <w:sz w:val="16"/>
                <w:szCs w:val="16"/>
              </w:rPr>
              <w:t xml:space="preserve"> </w:t>
            </w:r>
            <w:r w:rsidRPr="000876AA">
              <w:rPr>
                <w:rFonts w:ascii="Arial" w:eastAsia="Calibri" w:hAnsi="Arial" w:cs="Arial"/>
                <w:sz w:val="16"/>
                <w:szCs w:val="16"/>
              </w:rPr>
              <w:t>Incrementar los niveles de satisfacción al usuario, estableciendo metas que respondan a las necesidades y expectativas de los usuarios internos y externos, a partir del fortalecimiento de las estrategias de planeación, gestión eficaz y eficiente de sus procesos.</w:t>
            </w:r>
          </w:p>
        </w:tc>
        <w:tc>
          <w:tcPr>
            <w:tcW w:w="783" w:type="pct"/>
            <w:shd w:val="clear" w:color="auto" w:fill="auto"/>
            <w:vAlign w:val="center"/>
          </w:tcPr>
          <w:p w14:paraId="39DC7A19" w14:textId="7D3D7FF4" w:rsidR="002C2C4E" w:rsidRPr="000876AA" w:rsidRDefault="001478A2" w:rsidP="001752E7">
            <w:pPr>
              <w:tabs>
                <w:tab w:val="center" w:pos="4536"/>
              </w:tabs>
              <w:jc w:val="center"/>
              <w:rPr>
                <w:rFonts w:ascii="Arial" w:eastAsia="Calibri" w:hAnsi="Arial" w:cs="Arial"/>
                <w:sz w:val="16"/>
                <w:szCs w:val="16"/>
              </w:rPr>
            </w:pPr>
            <w:r w:rsidRPr="000876AA">
              <w:rPr>
                <w:rFonts w:ascii="Arial" w:eastAsia="Calibri" w:hAnsi="Arial" w:cs="Arial"/>
                <w:sz w:val="16"/>
                <w:szCs w:val="16"/>
              </w:rPr>
              <w:t>Curso Virtual y 5 capacitaciones sobre administración de depósitos judiciales.</w:t>
            </w:r>
          </w:p>
        </w:tc>
        <w:tc>
          <w:tcPr>
            <w:tcW w:w="2228" w:type="pct"/>
            <w:shd w:val="clear" w:color="auto" w:fill="auto"/>
            <w:vAlign w:val="center"/>
          </w:tcPr>
          <w:p w14:paraId="5A44D125" w14:textId="457C1011" w:rsidR="002C2C4E" w:rsidRPr="000876AA" w:rsidRDefault="001478A2" w:rsidP="00AD15F9">
            <w:pPr>
              <w:tabs>
                <w:tab w:val="center" w:pos="4536"/>
              </w:tabs>
              <w:rPr>
                <w:rFonts w:ascii="Arial" w:eastAsia="Calibri" w:hAnsi="Arial" w:cs="Arial"/>
                <w:sz w:val="16"/>
                <w:szCs w:val="16"/>
              </w:rPr>
            </w:pPr>
            <w:r w:rsidRPr="000876AA">
              <w:rPr>
                <w:rFonts w:ascii="Arial" w:eastAsia="Calibri" w:hAnsi="Arial" w:cs="Arial"/>
                <w:sz w:val="16"/>
                <w:szCs w:val="16"/>
              </w:rPr>
              <w:t>Se trabajó con la Escuela Judicial un curso virtual de depósitos judiciales, asimismo, se realizó desde la Unidad de Presupuesto varias capacitaciones por Seccionales sobre este tema.</w:t>
            </w:r>
          </w:p>
        </w:tc>
      </w:tr>
      <w:tr w:rsidR="00233D44" w:rsidRPr="000876AA" w14:paraId="521C230B" w14:textId="77777777" w:rsidTr="00AD15F9">
        <w:trPr>
          <w:trHeight w:val="20"/>
          <w:jc w:val="center"/>
        </w:trPr>
        <w:tc>
          <w:tcPr>
            <w:tcW w:w="174" w:type="pct"/>
            <w:vAlign w:val="center"/>
          </w:tcPr>
          <w:p w14:paraId="5F260436" w14:textId="01921BDB" w:rsidR="00233D44" w:rsidRPr="000876AA" w:rsidRDefault="00233D44" w:rsidP="001752E7">
            <w:pPr>
              <w:tabs>
                <w:tab w:val="center" w:pos="4536"/>
              </w:tabs>
              <w:jc w:val="center"/>
              <w:rPr>
                <w:rFonts w:ascii="Arial" w:eastAsia="Calibri" w:hAnsi="Arial" w:cs="Arial"/>
                <w:sz w:val="16"/>
                <w:szCs w:val="16"/>
              </w:rPr>
            </w:pPr>
            <w:r w:rsidRPr="000876AA">
              <w:rPr>
                <w:rFonts w:ascii="Arial" w:eastAsia="Calibri" w:hAnsi="Arial" w:cs="Arial"/>
                <w:sz w:val="16"/>
                <w:szCs w:val="16"/>
              </w:rPr>
              <w:t>6</w:t>
            </w:r>
          </w:p>
        </w:tc>
        <w:tc>
          <w:tcPr>
            <w:tcW w:w="741" w:type="pct"/>
            <w:vMerge w:val="restart"/>
            <w:shd w:val="clear" w:color="auto" w:fill="auto"/>
            <w:vAlign w:val="center"/>
          </w:tcPr>
          <w:p w14:paraId="507C6D9F" w14:textId="77777777" w:rsidR="00233D44" w:rsidRPr="000876AA" w:rsidRDefault="00233D44" w:rsidP="001752E7">
            <w:pPr>
              <w:tabs>
                <w:tab w:val="center" w:pos="4536"/>
              </w:tabs>
              <w:jc w:val="center"/>
              <w:rPr>
                <w:rFonts w:ascii="Arial" w:eastAsia="Calibri" w:hAnsi="Arial" w:cs="Arial"/>
                <w:sz w:val="16"/>
                <w:szCs w:val="16"/>
              </w:rPr>
            </w:pPr>
            <w:r w:rsidRPr="000876AA">
              <w:rPr>
                <w:rFonts w:ascii="Arial" w:eastAsia="Calibri" w:hAnsi="Arial" w:cs="Arial"/>
                <w:sz w:val="16"/>
                <w:szCs w:val="16"/>
              </w:rPr>
              <w:t>Calidad de la Justicia</w:t>
            </w:r>
          </w:p>
        </w:tc>
        <w:tc>
          <w:tcPr>
            <w:tcW w:w="1074" w:type="pct"/>
            <w:vAlign w:val="center"/>
          </w:tcPr>
          <w:p w14:paraId="1F7D5C4F" w14:textId="257223AB" w:rsidR="00233D44" w:rsidRPr="000876AA" w:rsidRDefault="00233D44" w:rsidP="001752E7">
            <w:pPr>
              <w:tabs>
                <w:tab w:val="center" w:pos="4536"/>
              </w:tabs>
              <w:jc w:val="center"/>
              <w:rPr>
                <w:rFonts w:ascii="Arial" w:hAnsi="Arial" w:cs="Arial"/>
                <w:sz w:val="16"/>
                <w:szCs w:val="16"/>
                <w:lang w:eastAsia="es-CO"/>
              </w:rPr>
            </w:pPr>
            <w:r w:rsidRPr="000876AA">
              <w:rPr>
                <w:rFonts w:ascii="Arial" w:hAnsi="Arial" w:cs="Arial"/>
                <w:sz w:val="16"/>
                <w:szCs w:val="16"/>
                <w:lang w:eastAsia="es-CO"/>
              </w:rPr>
              <w:t>5. Fomentar la cultura organizacional de calidad, control y medio ambiente, orientada a la responsabilidad social y ética del servidor judicial.</w:t>
            </w:r>
          </w:p>
          <w:p w14:paraId="7179AE51" w14:textId="36928285" w:rsidR="00233D44" w:rsidRPr="000876AA" w:rsidRDefault="00233D44" w:rsidP="001752E7">
            <w:pPr>
              <w:tabs>
                <w:tab w:val="center" w:pos="4536"/>
              </w:tabs>
              <w:jc w:val="center"/>
              <w:rPr>
                <w:rFonts w:ascii="Arial" w:hAnsi="Arial" w:cs="Arial"/>
                <w:sz w:val="16"/>
                <w:szCs w:val="16"/>
                <w:lang w:eastAsia="es-CO"/>
              </w:rPr>
            </w:pPr>
          </w:p>
          <w:p w14:paraId="2DA5F844" w14:textId="77777777" w:rsidR="00233D44" w:rsidRPr="000876AA" w:rsidRDefault="00233D44" w:rsidP="001752E7">
            <w:pPr>
              <w:tabs>
                <w:tab w:val="center" w:pos="4536"/>
              </w:tabs>
              <w:jc w:val="center"/>
              <w:rPr>
                <w:rFonts w:ascii="Arial" w:hAnsi="Arial" w:cs="Arial"/>
                <w:sz w:val="16"/>
                <w:szCs w:val="16"/>
                <w:lang w:eastAsia="es-CO"/>
              </w:rPr>
            </w:pPr>
          </w:p>
          <w:p w14:paraId="50865D14" w14:textId="522EC669" w:rsidR="00233D44" w:rsidRPr="000876AA" w:rsidRDefault="00233D44" w:rsidP="001752E7">
            <w:pPr>
              <w:tabs>
                <w:tab w:val="center" w:pos="4536"/>
              </w:tabs>
              <w:jc w:val="center"/>
              <w:rPr>
                <w:rFonts w:ascii="Arial" w:hAnsi="Arial" w:cs="Arial"/>
                <w:sz w:val="16"/>
                <w:szCs w:val="16"/>
                <w:lang w:eastAsia="es-CO"/>
              </w:rPr>
            </w:pPr>
          </w:p>
        </w:tc>
        <w:tc>
          <w:tcPr>
            <w:tcW w:w="783" w:type="pct"/>
            <w:vAlign w:val="center"/>
          </w:tcPr>
          <w:p w14:paraId="212817F0" w14:textId="24A33DED" w:rsidR="00233D44" w:rsidRPr="000876AA" w:rsidRDefault="00233D44"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Se lideró la programación presupuestal de la Rama Judicial, a través de la proyección y distribución del presupuesto de gastos de funcionamiento e inversión, para el logro de objetivos y metas fijadas por el Consejo Superior de la Judicatura.</w:t>
            </w:r>
          </w:p>
          <w:p w14:paraId="03AF8C74" w14:textId="53321B46" w:rsidR="00233D44" w:rsidRPr="000876AA" w:rsidRDefault="00233D44" w:rsidP="001752E7">
            <w:pPr>
              <w:tabs>
                <w:tab w:val="center" w:pos="4536"/>
              </w:tabs>
              <w:jc w:val="both"/>
              <w:rPr>
                <w:rFonts w:ascii="Arial" w:eastAsia="Calibri" w:hAnsi="Arial" w:cs="Arial"/>
                <w:sz w:val="16"/>
                <w:szCs w:val="16"/>
              </w:rPr>
            </w:pPr>
          </w:p>
          <w:p w14:paraId="444D2CB6" w14:textId="77777777" w:rsidR="00233D44" w:rsidRPr="000876AA" w:rsidRDefault="00233D44" w:rsidP="001752E7">
            <w:pPr>
              <w:tabs>
                <w:tab w:val="center" w:pos="4536"/>
              </w:tabs>
              <w:jc w:val="both"/>
              <w:rPr>
                <w:rFonts w:ascii="Arial" w:eastAsia="Calibri" w:hAnsi="Arial" w:cs="Arial"/>
                <w:sz w:val="16"/>
                <w:szCs w:val="16"/>
              </w:rPr>
            </w:pPr>
          </w:p>
          <w:p w14:paraId="4DADACD2" w14:textId="18A631CE" w:rsidR="00233D44" w:rsidRPr="000876AA" w:rsidRDefault="00233D44"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w:t>
            </w:r>
          </w:p>
        </w:tc>
        <w:tc>
          <w:tcPr>
            <w:tcW w:w="2228" w:type="pct"/>
            <w:vAlign w:val="center"/>
          </w:tcPr>
          <w:p w14:paraId="3DDE5039" w14:textId="0AC253BE" w:rsidR="00A25826" w:rsidRPr="000876AA" w:rsidRDefault="00A25826" w:rsidP="001752E7">
            <w:pPr>
              <w:tabs>
                <w:tab w:val="center" w:pos="4536"/>
              </w:tabs>
              <w:jc w:val="both"/>
              <w:rPr>
                <w:rFonts w:ascii="Arial" w:eastAsia="Calibri" w:hAnsi="Arial" w:cs="Arial"/>
                <w:sz w:val="16"/>
                <w:szCs w:val="16"/>
                <w:u w:val="single"/>
              </w:rPr>
            </w:pPr>
            <w:r w:rsidRPr="000876AA">
              <w:rPr>
                <w:rFonts w:ascii="Arial" w:eastAsia="Calibri" w:hAnsi="Arial" w:cs="Arial"/>
                <w:sz w:val="16"/>
                <w:szCs w:val="16"/>
                <w:u w:val="single"/>
              </w:rPr>
              <w:t>Anteproyecto de Presupuesto</w:t>
            </w:r>
          </w:p>
          <w:p w14:paraId="030E8AD6" w14:textId="77777777" w:rsidR="00655232" w:rsidRPr="000876AA" w:rsidRDefault="00655232" w:rsidP="001752E7">
            <w:pPr>
              <w:tabs>
                <w:tab w:val="center" w:pos="4536"/>
              </w:tabs>
              <w:jc w:val="both"/>
              <w:rPr>
                <w:rFonts w:ascii="Arial" w:eastAsia="Calibri" w:hAnsi="Arial" w:cs="Arial"/>
                <w:sz w:val="16"/>
                <w:szCs w:val="16"/>
              </w:rPr>
            </w:pPr>
          </w:p>
          <w:p w14:paraId="0268C96E" w14:textId="39FF2CB9" w:rsidR="00655232" w:rsidRPr="000876AA" w:rsidRDefault="00655232"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En cumplimiento de lo establecido en el artículo 88 de la Ley 270 de 1996, con oficio DEAJO22-198 del 31 de marzo de 2022 se envió al Ministro de Hacienda y Crédito Público y a la Directora Departamento Nacional de Planeación, los Anteproyectos de Presupuesto - Rama Judicial, Fiscalía General de la Nación e Instituto Nacional de Medicina Legal y Ciencias Forenses.</w:t>
            </w:r>
          </w:p>
          <w:p w14:paraId="03DB3D5C" w14:textId="77777777" w:rsidR="00250670" w:rsidRPr="000876AA" w:rsidRDefault="00250670" w:rsidP="001752E7">
            <w:pPr>
              <w:tabs>
                <w:tab w:val="center" w:pos="4536"/>
              </w:tabs>
              <w:jc w:val="both"/>
              <w:rPr>
                <w:rFonts w:ascii="Arial" w:eastAsia="Calibri" w:hAnsi="Arial" w:cs="Arial"/>
                <w:sz w:val="16"/>
                <w:szCs w:val="16"/>
              </w:rPr>
            </w:pPr>
          </w:p>
          <w:p w14:paraId="7A920554" w14:textId="4EE35FB3" w:rsidR="00250670" w:rsidRPr="000876AA" w:rsidRDefault="00250670"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El presupuesto vigencia 2022 total proyectado de las entidades relacionadas ascendió a la suma de $14.265.541 millones que incluye las necesidades prioritarias de funcionamiento, servicio de la deuda pública e inversión, correspondiendo para la Rama Judicial la proyección del monto de $7.747.314. De esta manera se da cumplimiento a la presentación del Anteproyecto de presupuesto de la rama Judicial, en los términos de Ley.</w:t>
            </w:r>
          </w:p>
          <w:p w14:paraId="7F077845" w14:textId="77777777" w:rsidR="00FC0FD6" w:rsidRPr="000876AA" w:rsidRDefault="00FC0FD6" w:rsidP="001752E7">
            <w:pPr>
              <w:tabs>
                <w:tab w:val="center" w:pos="4536"/>
              </w:tabs>
              <w:jc w:val="both"/>
              <w:rPr>
                <w:rFonts w:ascii="Arial" w:eastAsia="Calibri" w:hAnsi="Arial" w:cs="Arial"/>
                <w:sz w:val="16"/>
                <w:szCs w:val="16"/>
              </w:rPr>
            </w:pPr>
          </w:p>
          <w:p w14:paraId="6620F586" w14:textId="5089D736" w:rsidR="00233D44" w:rsidRPr="000876AA" w:rsidRDefault="00233D44"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En el cuarto trimestre</w:t>
            </w:r>
            <w:r w:rsidR="00250670" w:rsidRPr="000876AA">
              <w:rPr>
                <w:rFonts w:ascii="Arial" w:eastAsia="Calibri" w:hAnsi="Arial" w:cs="Arial"/>
                <w:sz w:val="16"/>
                <w:szCs w:val="16"/>
              </w:rPr>
              <w:t xml:space="preserve"> de 2022</w:t>
            </w:r>
            <w:r w:rsidRPr="000876AA">
              <w:rPr>
                <w:rFonts w:ascii="Arial" w:eastAsia="Calibri" w:hAnsi="Arial" w:cs="Arial"/>
                <w:sz w:val="16"/>
                <w:szCs w:val="16"/>
              </w:rPr>
              <w:t>, se da inicio a la elaboración del anteproyecto de presupuesto de la vigencia 2024, emitiendo el pasado 3 de noviembre de 2022, con destino a las Unidades y Direcciones Seccionales, la Circular No. DEAJC22-46 para la programación de gasto 2023 y 2024.</w:t>
            </w:r>
          </w:p>
          <w:p w14:paraId="2E87B54D" w14:textId="30738C8D" w:rsidR="00233D44" w:rsidRPr="000876AA" w:rsidRDefault="00233D44" w:rsidP="001752E7">
            <w:pPr>
              <w:tabs>
                <w:tab w:val="center" w:pos="4536"/>
              </w:tabs>
              <w:jc w:val="both"/>
              <w:rPr>
                <w:rFonts w:ascii="Arial" w:eastAsia="Calibri" w:hAnsi="Arial" w:cs="Arial"/>
                <w:sz w:val="16"/>
                <w:szCs w:val="16"/>
              </w:rPr>
            </w:pPr>
          </w:p>
          <w:p w14:paraId="5BE3C3E1" w14:textId="353958B0" w:rsidR="00250670" w:rsidRPr="000876AA" w:rsidRDefault="00250670" w:rsidP="001752E7">
            <w:pPr>
              <w:tabs>
                <w:tab w:val="center" w:pos="4536"/>
              </w:tabs>
              <w:jc w:val="both"/>
              <w:rPr>
                <w:rFonts w:ascii="Arial" w:eastAsia="Calibri" w:hAnsi="Arial" w:cs="Arial"/>
                <w:sz w:val="16"/>
                <w:szCs w:val="16"/>
                <w:u w:val="single"/>
              </w:rPr>
            </w:pPr>
            <w:r w:rsidRPr="000876AA">
              <w:rPr>
                <w:rFonts w:ascii="Arial" w:eastAsia="Calibri" w:hAnsi="Arial" w:cs="Arial"/>
                <w:sz w:val="16"/>
                <w:szCs w:val="16"/>
                <w:u w:val="single"/>
              </w:rPr>
              <w:t>Plan Operativo Anual de inversión POAI de la Rama Judicial.</w:t>
            </w:r>
          </w:p>
          <w:p w14:paraId="3005546E" w14:textId="77777777" w:rsidR="00250670" w:rsidRPr="000876AA" w:rsidRDefault="00250670" w:rsidP="001752E7">
            <w:pPr>
              <w:tabs>
                <w:tab w:val="center" w:pos="4536"/>
              </w:tabs>
              <w:jc w:val="both"/>
              <w:rPr>
                <w:rFonts w:ascii="Arial" w:eastAsia="Calibri" w:hAnsi="Arial" w:cs="Arial"/>
                <w:sz w:val="16"/>
                <w:szCs w:val="16"/>
              </w:rPr>
            </w:pPr>
          </w:p>
          <w:p w14:paraId="69EB8C5F" w14:textId="77777777" w:rsidR="00233D44" w:rsidRPr="000876AA" w:rsidRDefault="00233D44"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 xml:space="preserve">Se elaboró la versión final de la programación del gasto del Plan Operativo Anual de Inversión - POAI-2023 de la Rama Judicial, el cual se estructuró sobre la base de materializar las grandes apuestas del Consejo Superior de la Judicatura en el Plan Sectorial de la Rama </w:t>
            </w:r>
            <w:proofErr w:type="gramStart"/>
            <w:r w:rsidRPr="000876AA">
              <w:rPr>
                <w:rFonts w:ascii="Arial" w:eastAsia="Calibri" w:hAnsi="Arial" w:cs="Arial"/>
                <w:sz w:val="16"/>
                <w:szCs w:val="16"/>
              </w:rPr>
              <w:t>Judicial ,</w:t>
            </w:r>
            <w:proofErr w:type="gramEnd"/>
            <w:r w:rsidRPr="000876AA">
              <w:rPr>
                <w:rFonts w:ascii="Arial" w:eastAsia="Calibri" w:hAnsi="Arial" w:cs="Arial"/>
                <w:sz w:val="16"/>
                <w:szCs w:val="16"/>
              </w:rPr>
              <w:t xml:space="preserve"> ya con la cuota del POAI socializada para la Rama Judicial por parte de la Dirección de Programación de Inversiones Públicas del Departamento Nacional de Planeación. Con Acuerdo PCSJA22-12030 del 28 de diciembre de 2022 se aprueba la desagregación de los proyectos de inversión de la Rama Judicial 2023, teniendo en cuenta que la Ley asignó el presupuesto de inversión 2023 la suma de $726.909.850.</w:t>
            </w:r>
          </w:p>
          <w:p w14:paraId="026D3FBA" w14:textId="6D8C7389" w:rsidR="00233D44" w:rsidRPr="000876AA" w:rsidRDefault="00233D44" w:rsidP="001752E7">
            <w:pPr>
              <w:tabs>
                <w:tab w:val="center" w:pos="4536"/>
              </w:tabs>
              <w:jc w:val="both"/>
              <w:rPr>
                <w:rFonts w:ascii="Arial" w:eastAsia="Calibri" w:hAnsi="Arial" w:cs="Arial"/>
                <w:sz w:val="16"/>
                <w:szCs w:val="16"/>
              </w:rPr>
            </w:pPr>
          </w:p>
          <w:p w14:paraId="4039362C" w14:textId="0EFB3F47" w:rsidR="00655232" w:rsidRPr="000876AA" w:rsidRDefault="00655232" w:rsidP="001752E7">
            <w:pPr>
              <w:tabs>
                <w:tab w:val="center" w:pos="4536"/>
              </w:tabs>
              <w:jc w:val="both"/>
              <w:rPr>
                <w:rFonts w:ascii="Arial" w:eastAsia="Calibri" w:hAnsi="Arial" w:cs="Arial"/>
                <w:sz w:val="16"/>
                <w:szCs w:val="16"/>
                <w:u w:val="single"/>
              </w:rPr>
            </w:pPr>
            <w:r w:rsidRPr="000876AA">
              <w:rPr>
                <w:rFonts w:ascii="Arial" w:eastAsia="Calibri" w:hAnsi="Arial" w:cs="Arial"/>
                <w:sz w:val="16"/>
                <w:szCs w:val="16"/>
                <w:u w:val="single"/>
              </w:rPr>
              <w:t>Cuadro control de solicitudes y de Resoluciones de ajustes presupuestales y vigencias futuras tramitadas.</w:t>
            </w:r>
          </w:p>
          <w:p w14:paraId="45DD7991" w14:textId="77777777" w:rsidR="00655232" w:rsidRPr="000876AA" w:rsidRDefault="00655232" w:rsidP="001752E7">
            <w:pPr>
              <w:tabs>
                <w:tab w:val="center" w:pos="4536"/>
              </w:tabs>
              <w:jc w:val="both"/>
              <w:rPr>
                <w:rFonts w:ascii="Arial" w:eastAsia="Calibri" w:hAnsi="Arial" w:cs="Arial"/>
                <w:sz w:val="16"/>
                <w:szCs w:val="16"/>
              </w:rPr>
            </w:pPr>
          </w:p>
          <w:p w14:paraId="70AFE8B6" w14:textId="098BEA32" w:rsidR="00233D44" w:rsidRPr="000876AA" w:rsidRDefault="00233D44"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 xml:space="preserve">Durante la vigencia 2022, se recibieron 1325 solicitudes de ajustes presupuestales de las 20 Direcciones Seccionales de Administración judicial y del nivel central, que generaron 320 Resoluciones para la formalidad de las modificaciones presupuestales del presupuesto de Funcionamiento e Inversión, cuyos conceptos más representativos correspondieron a las reducciones, traslados y adiciones de recursos. Lo que generó la atención de 1211 solicitudes de un total de 1325 solicitudes recibidas, quedando pendiente 114 </w:t>
            </w:r>
            <w:proofErr w:type="gramStart"/>
            <w:r w:rsidRPr="000876AA">
              <w:rPr>
                <w:rFonts w:ascii="Arial" w:eastAsia="Calibri" w:hAnsi="Arial" w:cs="Arial"/>
                <w:sz w:val="16"/>
                <w:szCs w:val="16"/>
              </w:rPr>
              <w:t>solicitudes  por</w:t>
            </w:r>
            <w:proofErr w:type="gramEnd"/>
            <w:r w:rsidRPr="000876AA">
              <w:rPr>
                <w:rFonts w:ascii="Arial" w:eastAsia="Calibri" w:hAnsi="Arial" w:cs="Arial"/>
                <w:sz w:val="16"/>
                <w:szCs w:val="16"/>
              </w:rPr>
              <w:t xml:space="preserve"> atender, en consideración al déficit presupuestal que no permitió atender las peticiones de adición presupuestal,  lo que representa un cumplimiento del 91%.</w:t>
            </w:r>
          </w:p>
          <w:p w14:paraId="0512D9B2" w14:textId="3FA649C0" w:rsidR="00233D44" w:rsidRPr="000876AA" w:rsidRDefault="00233D44" w:rsidP="001752E7">
            <w:pPr>
              <w:tabs>
                <w:tab w:val="center" w:pos="4536"/>
              </w:tabs>
              <w:jc w:val="both"/>
              <w:rPr>
                <w:rFonts w:ascii="Arial" w:eastAsia="Calibri" w:hAnsi="Arial" w:cs="Arial"/>
                <w:sz w:val="16"/>
                <w:szCs w:val="16"/>
              </w:rPr>
            </w:pPr>
          </w:p>
          <w:p w14:paraId="696833B9" w14:textId="43F783E6" w:rsidR="00467806" w:rsidRPr="000876AA" w:rsidRDefault="00467806" w:rsidP="001752E7">
            <w:pPr>
              <w:tabs>
                <w:tab w:val="center" w:pos="4536"/>
              </w:tabs>
              <w:jc w:val="both"/>
              <w:rPr>
                <w:rFonts w:ascii="Arial" w:eastAsia="Calibri" w:hAnsi="Arial" w:cs="Arial"/>
                <w:sz w:val="16"/>
                <w:szCs w:val="16"/>
                <w:u w:val="single"/>
              </w:rPr>
            </w:pPr>
            <w:r w:rsidRPr="000876AA">
              <w:rPr>
                <w:rFonts w:ascii="Arial" w:eastAsia="Calibri" w:hAnsi="Arial" w:cs="Arial"/>
                <w:sz w:val="16"/>
                <w:szCs w:val="16"/>
                <w:u w:val="single"/>
              </w:rPr>
              <w:lastRenderedPageBreak/>
              <w:t>Resoluciones de Desagregación, asignación y/o distribución de presupuesto.</w:t>
            </w:r>
          </w:p>
          <w:p w14:paraId="3ED55059" w14:textId="77777777" w:rsidR="00467806" w:rsidRPr="000876AA" w:rsidRDefault="00467806" w:rsidP="001752E7">
            <w:pPr>
              <w:tabs>
                <w:tab w:val="center" w:pos="4536"/>
              </w:tabs>
              <w:jc w:val="both"/>
              <w:rPr>
                <w:rFonts w:ascii="Arial" w:eastAsia="Calibri" w:hAnsi="Arial" w:cs="Arial"/>
                <w:sz w:val="16"/>
                <w:szCs w:val="16"/>
              </w:rPr>
            </w:pPr>
          </w:p>
          <w:p w14:paraId="277F8D7F" w14:textId="77777777" w:rsidR="00233D44" w:rsidRPr="000876AA" w:rsidRDefault="00233D44"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Las modificaciones presupuestales se realizaron para  optimizar el uso del presupuesto en función de las necesidades surgidas durante la vigencia fiscal, en la cuenta de bienes y servicios se generaron un total de 125 Resoluciones, en la cuenta de gastos de personal 136, en la cuenta de disminución de pasivos 28 Resoluciones, para un total de 289 Resoluciones de ajustes presupuestales internos en el presupuesto de funcionamiento, y en el presupuesto de inversión se produjeron 31 resoluciones con modificaciones.</w:t>
            </w:r>
          </w:p>
          <w:p w14:paraId="4429A0F9" w14:textId="57A43942" w:rsidR="00233D44" w:rsidRPr="000876AA" w:rsidRDefault="00233D44"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Cumplimiento=91%</w:t>
            </w:r>
          </w:p>
          <w:p w14:paraId="0C4E0EF4" w14:textId="77777777" w:rsidR="00233D44" w:rsidRPr="000876AA" w:rsidRDefault="00233D44" w:rsidP="001752E7">
            <w:pPr>
              <w:tabs>
                <w:tab w:val="center" w:pos="4536"/>
              </w:tabs>
              <w:jc w:val="both"/>
              <w:rPr>
                <w:rFonts w:ascii="Arial" w:eastAsia="Calibri" w:hAnsi="Arial" w:cs="Arial"/>
                <w:sz w:val="16"/>
                <w:szCs w:val="16"/>
              </w:rPr>
            </w:pPr>
          </w:p>
          <w:p w14:paraId="5F46AC88" w14:textId="4D0D035F" w:rsidR="00233D44" w:rsidRPr="000876AA" w:rsidRDefault="00233D44"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 xml:space="preserve">La desagregación inicial del presupuesto del año 2022 se hizo en los primeros días hábiles del año, reflejándose en el primer trimestre de la vigencia 2022 esta gestión. Para la vigencia 2023, con la emisión de la Ley 2276 del 29 de noviembre de 2022 a través de la cual se decreta el presupuesto y ley de apropiaciones vigencia 2023 y el Decreto 590 del 23 de diciembre de 2022 que liquido el Presupuesto General de la Nación para la vigencia 2023, se desagregan los recursos el 30 de diciembre de 2022, así: </w:t>
            </w:r>
          </w:p>
          <w:p w14:paraId="3555C110" w14:textId="77777777" w:rsidR="00233D44" w:rsidRPr="000876AA" w:rsidRDefault="00233D44"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 Resoluciones 2785 y 2974 de 2022: Desagregación y asignación inicial de Gastos de Personal.</w:t>
            </w:r>
          </w:p>
          <w:p w14:paraId="35DC4C9E" w14:textId="77777777" w:rsidR="00233D44" w:rsidRPr="000876AA" w:rsidRDefault="00233D44"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 Resoluciones 2790 y 2791 de 2022: Desagregación y asignación inicial de Adquisición bienes y servicios y gastos por tributos.</w:t>
            </w:r>
          </w:p>
          <w:p w14:paraId="44A03B9F" w14:textId="78503A2A" w:rsidR="00233D44" w:rsidRPr="000876AA" w:rsidRDefault="00233D44"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 Resolución 009 de 2023 Sentencias y Servicio a la deuda</w:t>
            </w:r>
          </w:p>
        </w:tc>
      </w:tr>
      <w:tr w:rsidR="00233D44" w:rsidRPr="000876AA" w14:paraId="44EAF422" w14:textId="77777777" w:rsidTr="00AD15F9">
        <w:trPr>
          <w:trHeight w:val="20"/>
          <w:jc w:val="center"/>
        </w:trPr>
        <w:tc>
          <w:tcPr>
            <w:tcW w:w="174" w:type="pct"/>
            <w:vAlign w:val="center"/>
          </w:tcPr>
          <w:p w14:paraId="163800F3" w14:textId="1DD8E912" w:rsidR="00233D44" w:rsidRPr="000876AA" w:rsidRDefault="00233D44" w:rsidP="001752E7">
            <w:pPr>
              <w:tabs>
                <w:tab w:val="center" w:pos="4536"/>
              </w:tabs>
              <w:jc w:val="center"/>
              <w:rPr>
                <w:rFonts w:ascii="Arial" w:eastAsia="Calibri" w:hAnsi="Arial" w:cs="Arial"/>
                <w:sz w:val="16"/>
                <w:szCs w:val="16"/>
              </w:rPr>
            </w:pPr>
            <w:r w:rsidRPr="000876AA">
              <w:rPr>
                <w:rFonts w:ascii="Arial" w:eastAsia="Calibri" w:hAnsi="Arial" w:cs="Arial"/>
                <w:sz w:val="16"/>
                <w:szCs w:val="16"/>
              </w:rPr>
              <w:lastRenderedPageBreak/>
              <w:t>6</w:t>
            </w:r>
          </w:p>
        </w:tc>
        <w:tc>
          <w:tcPr>
            <w:tcW w:w="741" w:type="pct"/>
            <w:vMerge/>
            <w:shd w:val="clear" w:color="auto" w:fill="auto"/>
            <w:vAlign w:val="center"/>
          </w:tcPr>
          <w:p w14:paraId="7D892924" w14:textId="77777777" w:rsidR="00233D44" w:rsidRPr="000876AA" w:rsidRDefault="00233D44" w:rsidP="001752E7">
            <w:pPr>
              <w:tabs>
                <w:tab w:val="center" w:pos="4536"/>
              </w:tabs>
              <w:jc w:val="center"/>
              <w:rPr>
                <w:rFonts w:ascii="Arial" w:eastAsia="Calibri" w:hAnsi="Arial" w:cs="Arial"/>
                <w:sz w:val="16"/>
                <w:szCs w:val="16"/>
              </w:rPr>
            </w:pPr>
          </w:p>
        </w:tc>
        <w:tc>
          <w:tcPr>
            <w:tcW w:w="1074" w:type="pct"/>
            <w:vAlign w:val="center"/>
          </w:tcPr>
          <w:p w14:paraId="11FC3321" w14:textId="677E954B" w:rsidR="00233D44" w:rsidRPr="000876AA" w:rsidRDefault="00233D44" w:rsidP="001752E7">
            <w:pPr>
              <w:tabs>
                <w:tab w:val="center" w:pos="4536"/>
              </w:tabs>
              <w:jc w:val="center"/>
              <w:rPr>
                <w:rFonts w:ascii="Arial" w:hAnsi="Arial" w:cs="Arial"/>
                <w:sz w:val="16"/>
                <w:szCs w:val="16"/>
                <w:lang w:eastAsia="es-CO"/>
              </w:rPr>
            </w:pPr>
            <w:r w:rsidRPr="000876AA">
              <w:rPr>
                <w:rFonts w:ascii="Arial" w:hAnsi="Arial" w:cs="Arial"/>
                <w:sz w:val="16"/>
                <w:szCs w:val="16"/>
                <w:lang w:eastAsia="es-CO"/>
              </w:rPr>
              <w:t>7. Fortalecer continuamente las competencias y el liderazgo del talento humano de la organización</w:t>
            </w:r>
          </w:p>
        </w:tc>
        <w:tc>
          <w:tcPr>
            <w:tcW w:w="783" w:type="pct"/>
            <w:vAlign w:val="center"/>
          </w:tcPr>
          <w:p w14:paraId="134245F1" w14:textId="3AD17651" w:rsidR="00233D44" w:rsidRPr="000876AA" w:rsidRDefault="00233D44"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Se adelantaron capacitaciones según los requerimientos para la elaboración de los informes, requerimientos y los planes de mejoramiento de la CGR</w:t>
            </w:r>
          </w:p>
        </w:tc>
        <w:tc>
          <w:tcPr>
            <w:tcW w:w="2228" w:type="pct"/>
            <w:vAlign w:val="center"/>
          </w:tcPr>
          <w:p w14:paraId="7081F6EE" w14:textId="29A5F42C" w:rsidR="00233D44" w:rsidRPr="000876AA" w:rsidRDefault="00210D90" w:rsidP="001752E7">
            <w:pPr>
              <w:tabs>
                <w:tab w:val="center" w:pos="4536"/>
              </w:tabs>
              <w:jc w:val="both"/>
              <w:rPr>
                <w:rFonts w:ascii="Arial" w:eastAsia="Calibri" w:hAnsi="Arial" w:cs="Arial"/>
                <w:sz w:val="16"/>
                <w:szCs w:val="16"/>
              </w:rPr>
            </w:pPr>
            <w:r w:rsidRPr="00210D90">
              <w:rPr>
                <w:rFonts w:ascii="Arial" w:eastAsia="Calibri" w:hAnsi="Arial" w:cs="Arial"/>
                <w:sz w:val="16"/>
                <w:szCs w:val="16"/>
              </w:rPr>
              <w:t>En aras de que las dependencias cono</w:t>
            </w:r>
            <w:r>
              <w:rPr>
                <w:rFonts w:ascii="Arial" w:eastAsia="Calibri" w:hAnsi="Arial" w:cs="Arial"/>
                <w:sz w:val="16"/>
                <w:szCs w:val="16"/>
              </w:rPr>
              <w:t>cieran</w:t>
            </w:r>
            <w:r w:rsidRPr="00210D90">
              <w:rPr>
                <w:rFonts w:ascii="Arial" w:eastAsia="Calibri" w:hAnsi="Arial" w:cs="Arial"/>
                <w:sz w:val="16"/>
                <w:szCs w:val="16"/>
              </w:rPr>
              <w:t xml:space="preserve"> las solicitudes y forma de realizar las entregas ante la Contraloría General de la República se realizaron mesas de trabajo con las dependencias que deben cargar información al SFTP de la CGR y </w:t>
            </w:r>
            <w:r w:rsidR="00215797">
              <w:rPr>
                <w:rFonts w:ascii="Arial" w:eastAsia="Calibri" w:hAnsi="Arial" w:cs="Arial"/>
                <w:sz w:val="16"/>
                <w:szCs w:val="16"/>
              </w:rPr>
              <w:t xml:space="preserve">así poder </w:t>
            </w:r>
            <w:r w:rsidRPr="00210D90">
              <w:rPr>
                <w:rFonts w:ascii="Arial" w:eastAsia="Calibri" w:hAnsi="Arial" w:cs="Arial"/>
                <w:sz w:val="16"/>
                <w:szCs w:val="16"/>
              </w:rPr>
              <w:t>cumplir con las pautas establecidas por la Contraloría.</w:t>
            </w:r>
          </w:p>
        </w:tc>
      </w:tr>
      <w:tr w:rsidR="0021073E" w:rsidRPr="000876AA" w14:paraId="308BE30C" w14:textId="77777777" w:rsidTr="00AD15F9">
        <w:trPr>
          <w:trHeight w:val="20"/>
          <w:jc w:val="center"/>
        </w:trPr>
        <w:tc>
          <w:tcPr>
            <w:tcW w:w="174" w:type="pct"/>
            <w:vMerge w:val="restart"/>
            <w:vAlign w:val="center"/>
          </w:tcPr>
          <w:p w14:paraId="131457A5" w14:textId="5D434187" w:rsidR="0021073E" w:rsidRPr="000876AA" w:rsidRDefault="0021073E" w:rsidP="001752E7">
            <w:pPr>
              <w:tabs>
                <w:tab w:val="center" w:pos="4536"/>
              </w:tabs>
              <w:jc w:val="center"/>
              <w:rPr>
                <w:rFonts w:ascii="Arial" w:eastAsia="Calibri" w:hAnsi="Arial" w:cs="Arial"/>
                <w:sz w:val="16"/>
                <w:szCs w:val="16"/>
              </w:rPr>
            </w:pPr>
            <w:r w:rsidRPr="000876AA">
              <w:rPr>
                <w:rFonts w:ascii="Arial" w:eastAsia="Calibri" w:hAnsi="Arial" w:cs="Arial"/>
                <w:sz w:val="16"/>
                <w:szCs w:val="16"/>
              </w:rPr>
              <w:t>7</w:t>
            </w:r>
          </w:p>
        </w:tc>
        <w:tc>
          <w:tcPr>
            <w:tcW w:w="741" w:type="pct"/>
            <w:vMerge w:val="restart"/>
            <w:shd w:val="clear" w:color="auto" w:fill="auto"/>
            <w:vAlign w:val="center"/>
          </w:tcPr>
          <w:p w14:paraId="0E732305" w14:textId="6C1102A2" w:rsidR="0021073E" w:rsidRPr="000876AA" w:rsidRDefault="0021073E" w:rsidP="001752E7">
            <w:pPr>
              <w:tabs>
                <w:tab w:val="center" w:pos="4536"/>
              </w:tabs>
              <w:jc w:val="center"/>
              <w:rPr>
                <w:rFonts w:ascii="Arial" w:eastAsia="Calibri" w:hAnsi="Arial" w:cs="Arial"/>
                <w:sz w:val="16"/>
                <w:szCs w:val="16"/>
              </w:rPr>
            </w:pPr>
            <w:r w:rsidRPr="000876AA">
              <w:rPr>
                <w:rFonts w:ascii="Arial" w:eastAsia="Calibri" w:hAnsi="Arial" w:cs="Arial"/>
                <w:sz w:val="16"/>
                <w:szCs w:val="16"/>
              </w:rPr>
              <w:t>Anticorrupción y Transparencia</w:t>
            </w:r>
          </w:p>
        </w:tc>
        <w:tc>
          <w:tcPr>
            <w:tcW w:w="1074" w:type="pct"/>
            <w:vMerge w:val="restart"/>
            <w:vAlign w:val="center"/>
          </w:tcPr>
          <w:p w14:paraId="5EB28C22" w14:textId="77777777" w:rsidR="0021073E" w:rsidRPr="000876AA" w:rsidRDefault="0021073E" w:rsidP="001752E7">
            <w:pPr>
              <w:tabs>
                <w:tab w:val="center" w:pos="4536"/>
              </w:tabs>
              <w:jc w:val="center"/>
              <w:rPr>
                <w:rFonts w:ascii="Arial" w:hAnsi="Arial" w:cs="Arial"/>
                <w:sz w:val="16"/>
                <w:szCs w:val="16"/>
                <w:lang w:eastAsia="es-CO"/>
              </w:rPr>
            </w:pPr>
            <w:r w:rsidRPr="000876AA">
              <w:rPr>
                <w:rFonts w:ascii="Arial" w:hAnsi="Arial" w:cs="Arial"/>
                <w:sz w:val="16"/>
                <w:szCs w:val="16"/>
                <w:lang w:eastAsia="es-CO"/>
              </w:rPr>
              <w:t>5.Fomentar la cultura organizacional de calidad, control y medio ambiente, orientada a la responsabilidad social y ética del servidor judicial.</w:t>
            </w:r>
          </w:p>
          <w:p w14:paraId="16FDC4AA" w14:textId="100A9A4D" w:rsidR="0021073E" w:rsidRPr="000876AA" w:rsidRDefault="0021073E" w:rsidP="001752E7">
            <w:pPr>
              <w:tabs>
                <w:tab w:val="center" w:pos="4536"/>
              </w:tabs>
              <w:jc w:val="center"/>
              <w:rPr>
                <w:rFonts w:ascii="Arial" w:hAnsi="Arial" w:cs="Arial"/>
                <w:sz w:val="16"/>
                <w:szCs w:val="16"/>
                <w:lang w:eastAsia="es-CO"/>
              </w:rPr>
            </w:pPr>
          </w:p>
          <w:p w14:paraId="01CE4748" w14:textId="61913752" w:rsidR="00A25826" w:rsidRPr="000876AA" w:rsidRDefault="00A25826" w:rsidP="001752E7">
            <w:pPr>
              <w:tabs>
                <w:tab w:val="center" w:pos="4536"/>
              </w:tabs>
              <w:jc w:val="center"/>
              <w:rPr>
                <w:rFonts w:ascii="Arial" w:hAnsi="Arial" w:cs="Arial"/>
                <w:sz w:val="16"/>
                <w:szCs w:val="16"/>
                <w:lang w:eastAsia="es-CO"/>
              </w:rPr>
            </w:pPr>
          </w:p>
          <w:p w14:paraId="1B043E67" w14:textId="77777777" w:rsidR="00A25826" w:rsidRPr="000876AA" w:rsidRDefault="00A25826" w:rsidP="001752E7">
            <w:pPr>
              <w:tabs>
                <w:tab w:val="center" w:pos="4536"/>
              </w:tabs>
              <w:jc w:val="center"/>
              <w:rPr>
                <w:rFonts w:ascii="Arial" w:hAnsi="Arial" w:cs="Arial"/>
                <w:sz w:val="16"/>
                <w:szCs w:val="16"/>
                <w:lang w:eastAsia="es-CO"/>
              </w:rPr>
            </w:pPr>
          </w:p>
          <w:p w14:paraId="721334A1" w14:textId="3E247087" w:rsidR="0021073E" w:rsidRPr="000876AA" w:rsidRDefault="0021073E" w:rsidP="001752E7">
            <w:pPr>
              <w:tabs>
                <w:tab w:val="center" w:pos="4536"/>
              </w:tabs>
              <w:jc w:val="center"/>
              <w:rPr>
                <w:rFonts w:ascii="Arial" w:hAnsi="Arial" w:cs="Arial"/>
                <w:sz w:val="16"/>
                <w:szCs w:val="16"/>
                <w:lang w:eastAsia="es-CO"/>
              </w:rPr>
            </w:pPr>
            <w:r w:rsidRPr="000876AA">
              <w:rPr>
                <w:rFonts w:ascii="Arial" w:hAnsi="Arial" w:cs="Arial"/>
                <w:sz w:val="16"/>
                <w:szCs w:val="16"/>
                <w:lang w:eastAsia="es-CO"/>
              </w:rPr>
              <w:t>6.Generar las condiciones adecuadas y convenientes necesarias para la transparencia, rendición de cuentas y participación ciudadana</w:t>
            </w:r>
          </w:p>
        </w:tc>
        <w:tc>
          <w:tcPr>
            <w:tcW w:w="783" w:type="pct"/>
            <w:vAlign w:val="center"/>
          </w:tcPr>
          <w:p w14:paraId="65D6FF12" w14:textId="691EBDA6" w:rsidR="0021073E" w:rsidRPr="000876AA" w:rsidRDefault="0021073E"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Coordinar las capacitaciones según requerimiento sobre la operación y manejo del SIA POAS MANAGER.</w:t>
            </w:r>
          </w:p>
        </w:tc>
        <w:tc>
          <w:tcPr>
            <w:tcW w:w="2228" w:type="pct"/>
            <w:vAlign w:val="center"/>
          </w:tcPr>
          <w:p w14:paraId="7DE7204B" w14:textId="159EE22C" w:rsidR="00215797" w:rsidRDefault="00215797" w:rsidP="001752E7">
            <w:pPr>
              <w:tabs>
                <w:tab w:val="center" w:pos="4536"/>
              </w:tabs>
              <w:jc w:val="both"/>
              <w:rPr>
                <w:rFonts w:ascii="Arial" w:eastAsia="Calibri" w:hAnsi="Arial" w:cs="Arial"/>
                <w:sz w:val="16"/>
                <w:szCs w:val="16"/>
              </w:rPr>
            </w:pPr>
            <w:r w:rsidRPr="00215797">
              <w:rPr>
                <w:rFonts w:ascii="Arial" w:eastAsia="Calibri" w:hAnsi="Arial" w:cs="Arial"/>
                <w:sz w:val="16"/>
                <w:szCs w:val="16"/>
              </w:rPr>
              <w:t xml:space="preserve">La Unidad de Planeación </w:t>
            </w:r>
            <w:r w:rsidR="00DB6C07">
              <w:rPr>
                <w:rFonts w:ascii="Arial" w:eastAsia="Calibri" w:hAnsi="Arial" w:cs="Arial"/>
                <w:sz w:val="16"/>
                <w:szCs w:val="16"/>
              </w:rPr>
              <w:t xml:space="preserve">en 2022 </w:t>
            </w:r>
            <w:r w:rsidRPr="00215797">
              <w:rPr>
                <w:rFonts w:ascii="Arial" w:eastAsia="Calibri" w:hAnsi="Arial" w:cs="Arial"/>
                <w:sz w:val="16"/>
                <w:szCs w:val="16"/>
              </w:rPr>
              <w:t xml:space="preserve">organizó </w:t>
            </w:r>
            <w:r w:rsidR="00DB6C07">
              <w:rPr>
                <w:rFonts w:ascii="Arial" w:eastAsia="Calibri" w:hAnsi="Arial" w:cs="Arial"/>
                <w:sz w:val="16"/>
                <w:szCs w:val="16"/>
              </w:rPr>
              <w:t>4</w:t>
            </w:r>
            <w:r w:rsidRPr="00215797">
              <w:rPr>
                <w:rFonts w:ascii="Arial" w:eastAsia="Calibri" w:hAnsi="Arial" w:cs="Arial"/>
                <w:sz w:val="16"/>
                <w:szCs w:val="16"/>
              </w:rPr>
              <w:t xml:space="preserve"> capacitaciones sobre el uso y manejo del SIA POAS con la Unidad de Auditoría y las Unidades de Recursos Humanos, Compras Públicas y Asistencia Legal.</w:t>
            </w:r>
          </w:p>
          <w:p w14:paraId="13318D16" w14:textId="77777777" w:rsidR="00215797" w:rsidRPr="00215797" w:rsidRDefault="00215797" w:rsidP="001752E7">
            <w:pPr>
              <w:tabs>
                <w:tab w:val="center" w:pos="4536"/>
              </w:tabs>
              <w:jc w:val="both"/>
              <w:rPr>
                <w:rFonts w:ascii="Arial" w:eastAsia="Calibri" w:hAnsi="Arial" w:cs="Arial"/>
                <w:sz w:val="16"/>
                <w:szCs w:val="16"/>
              </w:rPr>
            </w:pPr>
          </w:p>
          <w:p w14:paraId="040435AD" w14:textId="4ECE86DF" w:rsidR="0021073E" w:rsidRPr="000876AA" w:rsidRDefault="00215797" w:rsidP="001752E7">
            <w:pPr>
              <w:tabs>
                <w:tab w:val="center" w:pos="4536"/>
              </w:tabs>
              <w:jc w:val="both"/>
              <w:rPr>
                <w:rFonts w:ascii="Arial" w:eastAsia="Calibri" w:hAnsi="Arial" w:cs="Arial"/>
                <w:sz w:val="16"/>
                <w:szCs w:val="16"/>
              </w:rPr>
            </w:pPr>
            <w:r>
              <w:rPr>
                <w:rFonts w:ascii="Arial" w:eastAsia="Calibri" w:hAnsi="Arial" w:cs="Arial"/>
                <w:sz w:val="16"/>
                <w:szCs w:val="16"/>
              </w:rPr>
              <w:t xml:space="preserve">Teniendo en cuenta </w:t>
            </w:r>
            <w:r w:rsidRPr="00215797">
              <w:rPr>
                <w:rFonts w:ascii="Arial" w:eastAsia="Calibri" w:hAnsi="Arial" w:cs="Arial"/>
                <w:sz w:val="16"/>
                <w:szCs w:val="16"/>
              </w:rPr>
              <w:t xml:space="preserve">que la Unidad de Planeación es el puente entre la Unidad de Auditoría y las dependencias, se organizan estas reuniones cuando se realiza el </w:t>
            </w:r>
            <w:r w:rsidRPr="00215797">
              <w:rPr>
                <w:rFonts w:ascii="Arial" w:eastAsia="Calibri" w:hAnsi="Arial" w:cs="Arial"/>
                <w:sz w:val="16"/>
                <w:szCs w:val="16"/>
              </w:rPr>
              <w:t>requerimiento</w:t>
            </w:r>
            <w:r w:rsidRPr="00215797">
              <w:rPr>
                <w:rFonts w:ascii="Arial" w:eastAsia="Calibri" w:hAnsi="Arial" w:cs="Arial"/>
                <w:sz w:val="16"/>
                <w:szCs w:val="16"/>
              </w:rPr>
              <w:t>, ya que surgen dudas con base al SIA POAS MANAGER.</w:t>
            </w:r>
          </w:p>
        </w:tc>
      </w:tr>
      <w:tr w:rsidR="0021073E" w:rsidRPr="000876AA" w14:paraId="3CBB79A4" w14:textId="77777777" w:rsidTr="00AD15F9">
        <w:trPr>
          <w:trHeight w:val="20"/>
          <w:jc w:val="center"/>
        </w:trPr>
        <w:tc>
          <w:tcPr>
            <w:tcW w:w="174" w:type="pct"/>
            <w:vMerge/>
            <w:vAlign w:val="center"/>
          </w:tcPr>
          <w:p w14:paraId="43D8CC25" w14:textId="77777777" w:rsidR="0021073E" w:rsidRPr="000876AA" w:rsidRDefault="0021073E" w:rsidP="001752E7">
            <w:pPr>
              <w:tabs>
                <w:tab w:val="center" w:pos="4536"/>
              </w:tabs>
              <w:jc w:val="center"/>
              <w:rPr>
                <w:rFonts w:ascii="Arial" w:eastAsia="Calibri" w:hAnsi="Arial" w:cs="Arial"/>
                <w:sz w:val="16"/>
                <w:szCs w:val="16"/>
              </w:rPr>
            </w:pPr>
          </w:p>
        </w:tc>
        <w:tc>
          <w:tcPr>
            <w:tcW w:w="741" w:type="pct"/>
            <w:vMerge/>
            <w:shd w:val="clear" w:color="auto" w:fill="auto"/>
            <w:vAlign w:val="center"/>
          </w:tcPr>
          <w:p w14:paraId="6F1C82C7" w14:textId="77777777" w:rsidR="0021073E" w:rsidRPr="000876AA" w:rsidRDefault="0021073E" w:rsidP="001752E7">
            <w:pPr>
              <w:tabs>
                <w:tab w:val="center" w:pos="4536"/>
              </w:tabs>
              <w:jc w:val="center"/>
              <w:rPr>
                <w:rFonts w:ascii="Arial" w:eastAsia="Calibri" w:hAnsi="Arial" w:cs="Arial"/>
                <w:sz w:val="16"/>
                <w:szCs w:val="16"/>
              </w:rPr>
            </w:pPr>
          </w:p>
        </w:tc>
        <w:tc>
          <w:tcPr>
            <w:tcW w:w="1074" w:type="pct"/>
            <w:vMerge/>
            <w:vAlign w:val="center"/>
          </w:tcPr>
          <w:p w14:paraId="33D1F63E" w14:textId="77777777" w:rsidR="0021073E" w:rsidRPr="000876AA" w:rsidRDefault="0021073E" w:rsidP="001752E7">
            <w:pPr>
              <w:tabs>
                <w:tab w:val="center" w:pos="4536"/>
              </w:tabs>
              <w:jc w:val="center"/>
              <w:rPr>
                <w:rFonts w:ascii="Arial" w:hAnsi="Arial" w:cs="Arial"/>
                <w:sz w:val="16"/>
                <w:szCs w:val="16"/>
                <w:lang w:eastAsia="es-CO"/>
              </w:rPr>
            </w:pPr>
          </w:p>
        </w:tc>
        <w:tc>
          <w:tcPr>
            <w:tcW w:w="783" w:type="pct"/>
            <w:vAlign w:val="center"/>
          </w:tcPr>
          <w:p w14:paraId="18E07C5F" w14:textId="38A7955A" w:rsidR="0021073E" w:rsidRPr="000876AA" w:rsidRDefault="0021073E"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Elaboración, seguimiento y presentación de informes de CGR y suscripción y seguimiento de Planes de Mejoramiento, y requerimientos (SIRECI, DIARI y otros)</w:t>
            </w:r>
          </w:p>
        </w:tc>
        <w:tc>
          <w:tcPr>
            <w:tcW w:w="2228" w:type="pct"/>
            <w:vAlign w:val="center"/>
          </w:tcPr>
          <w:p w14:paraId="25E47278" w14:textId="7F390E61" w:rsidR="00FC0FD6" w:rsidRPr="000876AA" w:rsidRDefault="00FC0FD6"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En cumplimiento de la Resolución Reglamentaria 042 de 2020 Contraloría General de la República en la cual se reglamenta la rendición electrónica de la cuenta, los informes y otra información que realizan los sujetos de vigilancia y control fiscal a la Contraloría General de la República a través del Sistema de Rendición Electrónico de la Cuenta e Informes y otra información, se presentaron transmisiones e informes a la CGR de:</w:t>
            </w:r>
          </w:p>
          <w:p w14:paraId="4AE9AC8D" w14:textId="77777777" w:rsidR="00F95AF0" w:rsidRPr="000876AA" w:rsidRDefault="00F95AF0" w:rsidP="001752E7">
            <w:pPr>
              <w:tabs>
                <w:tab w:val="center" w:pos="4536"/>
              </w:tabs>
              <w:jc w:val="both"/>
              <w:rPr>
                <w:rFonts w:ascii="Arial" w:eastAsia="Calibri" w:hAnsi="Arial" w:cs="Arial"/>
                <w:sz w:val="16"/>
                <w:szCs w:val="16"/>
              </w:rPr>
            </w:pPr>
          </w:p>
          <w:p w14:paraId="480833AB" w14:textId="77777777" w:rsidR="00FC0FD6" w:rsidRPr="000876AA" w:rsidRDefault="00FC0FD6"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1. Obras civiles inconclusas o sin uso</w:t>
            </w:r>
          </w:p>
          <w:p w14:paraId="7DB30B4C" w14:textId="77777777" w:rsidR="00FC0FD6" w:rsidRPr="000876AA" w:rsidRDefault="00FC0FD6"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2. Cuenta o informe anual consolidado</w:t>
            </w:r>
          </w:p>
          <w:p w14:paraId="58C55D31" w14:textId="77777777" w:rsidR="00FC0FD6" w:rsidRPr="000876AA" w:rsidRDefault="00FC0FD6"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3. Plan de mejoramiento</w:t>
            </w:r>
          </w:p>
          <w:p w14:paraId="269500F0" w14:textId="77777777" w:rsidR="00FC0FD6" w:rsidRPr="000876AA" w:rsidRDefault="00FC0FD6"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4. Gestión contractual</w:t>
            </w:r>
          </w:p>
          <w:p w14:paraId="3D51AC63" w14:textId="2E704C35" w:rsidR="00FC0FD6" w:rsidRPr="000876AA" w:rsidRDefault="00F95AF0"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6</w:t>
            </w:r>
            <w:r w:rsidR="00FC0FD6" w:rsidRPr="000876AA">
              <w:rPr>
                <w:rFonts w:ascii="Arial" w:eastAsia="Calibri" w:hAnsi="Arial" w:cs="Arial"/>
                <w:sz w:val="16"/>
                <w:szCs w:val="16"/>
              </w:rPr>
              <w:t>. Delitos contra la administración pública</w:t>
            </w:r>
          </w:p>
          <w:p w14:paraId="014F2A76" w14:textId="1561D670" w:rsidR="00FC0FD6" w:rsidRPr="000876AA" w:rsidRDefault="00F95AF0"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7</w:t>
            </w:r>
            <w:r w:rsidR="00FC0FD6" w:rsidRPr="000876AA">
              <w:rPr>
                <w:rFonts w:ascii="Arial" w:eastAsia="Calibri" w:hAnsi="Arial" w:cs="Arial"/>
                <w:sz w:val="16"/>
                <w:szCs w:val="16"/>
              </w:rPr>
              <w:t>. Acciones de Repetición</w:t>
            </w:r>
          </w:p>
          <w:p w14:paraId="44139596" w14:textId="77777777" w:rsidR="00FC0FD6" w:rsidRPr="000876AA" w:rsidRDefault="00FC0FD6" w:rsidP="001752E7">
            <w:pPr>
              <w:tabs>
                <w:tab w:val="center" w:pos="4536"/>
              </w:tabs>
              <w:jc w:val="both"/>
              <w:rPr>
                <w:rFonts w:ascii="Arial" w:eastAsia="Calibri" w:hAnsi="Arial" w:cs="Arial"/>
                <w:sz w:val="16"/>
                <w:szCs w:val="16"/>
              </w:rPr>
            </w:pPr>
          </w:p>
          <w:p w14:paraId="3E5E6E70" w14:textId="77777777" w:rsidR="00FC0FD6" w:rsidRPr="000876AA" w:rsidRDefault="00FC0FD6"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 xml:space="preserve">En cumplimiento de la resolución orgánica número 7350 del 29 de noviembre de 2013 y la resolución reglamentaria </w:t>
            </w:r>
            <w:r w:rsidRPr="000876AA">
              <w:rPr>
                <w:rFonts w:ascii="Arial" w:eastAsia="Calibri" w:hAnsi="Arial" w:cs="Arial"/>
                <w:sz w:val="16"/>
                <w:szCs w:val="16"/>
              </w:rPr>
              <w:lastRenderedPageBreak/>
              <w:t>orgánica número 033 del 2 de agosto de 2019 en las cuales se reglamenta la rendición electrónica de la cuenta, los informes y otra información que realizan los sujetos de vigilancia y control fiscal a la Contraloría General de la República a través del Sistema de Rendición Electrónico de la Cuenta e Informes y otra información, se presentó:</w:t>
            </w:r>
          </w:p>
          <w:p w14:paraId="47BF9B73" w14:textId="77777777" w:rsidR="00FC0FD6" w:rsidRPr="000876AA" w:rsidRDefault="00FC0FD6" w:rsidP="001752E7">
            <w:pPr>
              <w:tabs>
                <w:tab w:val="center" w:pos="4536"/>
              </w:tabs>
              <w:jc w:val="both"/>
              <w:rPr>
                <w:rFonts w:ascii="Arial" w:eastAsia="Calibri" w:hAnsi="Arial" w:cs="Arial"/>
                <w:sz w:val="16"/>
                <w:szCs w:val="16"/>
              </w:rPr>
            </w:pPr>
          </w:p>
          <w:p w14:paraId="1CBB5FAC" w14:textId="77777777" w:rsidR="00FC0FD6" w:rsidRPr="000876AA" w:rsidRDefault="00FC0FD6"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7. Personal y costos: Se remite anualmente y fue cargado el 31/03/2022</w:t>
            </w:r>
          </w:p>
          <w:p w14:paraId="5B521B9B" w14:textId="77777777" w:rsidR="00FC0FD6" w:rsidRPr="000876AA" w:rsidRDefault="00FC0FD6" w:rsidP="001752E7">
            <w:pPr>
              <w:tabs>
                <w:tab w:val="center" w:pos="4536"/>
              </w:tabs>
              <w:jc w:val="both"/>
              <w:rPr>
                <w:rFonts w:ascii="Arial" w:eastAsia="Calibri" w:hAnsi="Arial" w:cs="Arial"/>
                <w:sz w:val="16"/>
                <w:szCs w:val="16"/>
              </w:rPr>
            </w:pPr>
          </w:p>
          <w:p w14:paraId="77F9E624" w14:textId="19E97DBF" w:rsidR="00FC0FD6" w:rsidRPr="000876AA" w:rsidRDefault="00FC0FD6"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De conformidad con lo establecido en los incisos 1º a 4º del artículo 267 de la Constitución Política de Colombia, el artículo 136 de la Ley 1955 de 2019 y los artículos 59 y 91 del Decreto Ley 403 de 2020, la CGR solicitó el diligenciamiento mensual del informe Contractual y Presupuestal Regionalizado el cual es enviado a través de correo electrónico (CGR).</w:t>
            </w:r>
          </w:p>
          <w:p w14:paraId="48FEF54E" w14:textId="77777777" w:rsidR="00FC0FD6" w:rsidRPr="000876AA" w:rsidRDefault="00FC0FD6" w:rsidP="001752E7">
            <w:pPr>
              <w:tabs>
                <w:tab w:val="center" w:pos="4536"/>
              </w:tabs>
              <w:jc w:val="both"/>
              <w:rPr>
                <w:rFonts w:ascii="Arial" w:eastAsia="Calibri" w:hAnsi="Arial" w:cs="Arial"/>
                <w:sz w:val="16"/>
                <w:szCs w:val="16"/>
              </w:rPr>
            </w:pPr>
          </w:p>
          <w:p w14:paraId="78157F7C" w14:textId="44F05F2C" w:rsidR="00FC0FD6" w:rsidRPr="000876AA" w:rsidRDefault="00FC0FD6"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8. Informe Contractual y Presupuestal Regionalizado</w:t>
            </w:r>
          </w:p>
          <w:p w14:paraId="4E7DD631" w14:textId="4AC3A2BE" w:rsidR="00F95AF0" w:rsidRPr="000876AA" w:rsidRDefault="00F95AF0"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9. Matriz de requerimiento seguimiento obras</w:t>
            </w:r>
          </w:p>
          <w:p w14:paraId="4335F41D" w14:textId="77777777" w:rsidR="001752E7" w:rsidRDefault="001752E7" w:rsidP="001752E7">
            <w:pPr>
              <w:tabs>
                <w:tab w:val="center" w:pos="4536"/>
              </w:tabs>
              <w:jc w:val="both"/>
              <w:rPr>
                <w:rFonts w:ascii="Arial" w:eastAsia="Calibri" w:hAnsi="Arial" w:cs="Arial"/>
                <w:sz w:val="16"/>
                <w:szCs w:val="16"/>
              </w:rPr>
            </w:pPr>
          </w:p>
          <w:p w14:paraId="771005CD" w14:textId="2D94DED9" w:rsidR="0021073E" w:rsidRPr="000876AA" w:rsidRDefault="00FC0FD6"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Adicionalmente, se presentaron respuestas a los requerimientos de la DIARI y aquellos relacionados con auditorías del ente de control.</w:t>
            </w:r>
          </w:p>
        </w:tc>
      </w:tr>
      <w:tr w:rsidR="0021073E" w:rsidRPr="000876AA" w14:paraId="728785EB" w14:textId="77777777" w:rsidTr="00AD15F9">
        <w:trPr>
          <w:trHeight w:val="20"/>
          <w:jc w:val="center"/>
        </w:trPr>
        <w:tc>
          <w:tcPr>
            <w:tcW w:w="174" w:type="pct"/>
            <w:vMerge/>
            <w:vAlign w:val="center"/>
          </w:tcPr>
          <w:p w14:paraId="26791890" w14:textId="77777777" w:rsidR="0021073E" w:rsidRPr="000876AA" w:rsidRDefault="0021073E" w:rsidP="001752E7">
            <w:pPr>
              <w:tabs>
                <w:tab w:val="center" w:pos="4536"/>
              </w:tabs>
              <w:jc w:val="center"/>
              <w:rPr>
                <w:rFonts w:ascii="Arial" w:eastAsia="Calibri" w:hAnsi="Arial" w:cs="Arial"/>
                <w:sz w:val="16"/>
                <w:szCs w:val="16"/>
              </w:rPr>
            </w:pPr>
          </w:p>
        </w:tc>
        <w:tc>
          <w:tcPr>
            <w:tcW w:w="741" w:type="pct"/>
            <w:vMerge/>
            <w:shd w:val="clear" w:color="auto" w:fill="auto"/>
            <w:vAlign w:val="center"/>
          </w:tcPr>
          <w:p w14:paraId="0EB00D6E" w14:textId="77777777" w:rsidR="0021073E" w:rsidRPr="000876AA" w:rsidRDefault="0021073E" w:rsidP="001752E7">
            <w:pPr>
              <w:tabs>
                <w:tab w:val="center" w:pos="4536"/>
              </w:tabs>
              <w:jc w:val="center"/>
              <w:rPr>
                <w:rFonts w:ascii="Arial" w:eastAsia="Calibri" w:hAnsi="Arial" w:cs="Arial"/>
                <w:sz w:val="16"/>
                <w:szCs w:val="16"/>
              </w:rPr>
            </w:pPr>
          </w:p>
        </w:tc>
        <w:tc>
          <w:tcPr>
            <w:tcW w:w="1074" w:type="pct"/>
            <w:vMerge/>
            <w:vAlign w:val="center"/>
          </w:tcPr>
          <w:p w14:paraId="12FFE285" w14:textId="77777777" w:rsidR="0021073E" w:rsidRPr="000876AA" w:rsidRDefault="0021073E" w:rsidP="001752E7">
            <w:pPr>
              <w:tabs>
                <w:tab w:val="center" w:pos="4536"/>
              </w:tabs>
              <w:jc w:val="center"/>
              <w:rPr>
                <w:rFonts w:ascii="Arial" w:hAnsi="Arial" w:cs="Arial"/>
                <w:sz w:val="16"/>
                <w:szCs w:val="16"/>
                <w:lang w:eastAsia="es-CO"/>
              </w:rPr>
            </w:pPr>
          </w:p>
        </w:tc>
        <w:tc>
          <w:tcPr>
            <w:tcW w:w="783" w:type="pct"/>
            <w:vAlign w:val="center"/>
          </w:tcPr>
          <w:p w14:paraId="75A94F2C" w14:textId="77777777" w:rsidR="0021073E" w:rsidRPr="000876AA" w:rsidRDefault="0021073E"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Consolidación y presentación de informe Planes de Mejoramiento de control interno.</w:t>
            </w:r>
          </w:p>
          <w:p w14:paraId="7DA1CC93" w14:textId="77777777" w:rsidR="0021073E" w:rsidRPr="000876AA" w:rsidRDefault="0021073E" w:rsidP="001752E7">
            <w:pPr>
              <w:tabs>
                <w:tab w:val="center" w:pos="4536"/>
              </w:tabs>
              <w:jc w:val="both"/>
              <w:rPr>
                <w:rFonts w:ascii="Arial" w:eastAsia="Calibri" w:hAnsi="Arial" w:cs="Arial"/>
                <w:sz w:val="16"/>
                <w:szCs w:val="16"/>
              </w:rPr>
            </w:pPr>
          </w:p>
        </w:tc>
        <w:tc>
          <w:tcPr>
            <w:tcW w:w="2228" w:type="pct"/>
            <w:vAlign w:val="center"/>
          </w:tcPr>
          <w:p w14:paraId="244506BD" w14:textId="1DE93799" w:rsidR="00FC0FD6" w:rsidRPr="000876AA" w:rsidRDefault="00FC0FD6"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 xml:space="preserve">Con la nueva herramienta del SIA POAS MANAGER, la Unidad de Planeación </w:t>
            </w:r>
            <w:r w:rsidR="001752E7">
              <w:rPr>
                <w:rFonts w:ascii="Arial" w:eastAsia="Calibri" w:hAnsi="Arial" w:cs="Arial"/>
                <w:sz w:val="16"/>
                <w:szCs w:val="16"/>
              </w:rPr>
              <w:t xml:space="preserve">pudo </w:t>
            </w:r>
            <w:r w:rsidRPr="000876AA">
              <w:rPr>
                <w:rFonts w:ascii="Arial" w:eastAsia="Calibri" w:hAnsi="Arial" w:cs="Arial"/>
                <w:sz w:val="16"/>
                <w:szCs w:val="16"/>
              </w:rPr>
              <w:t>hacer el seguimiento semestral de cierre y apertura de hallazgos, en donde realiza un comparativo entre los informes de Auditoría, el aplicativo y así crea planes de choque para trabajar en los temas transversales a nivel DEAJ y DESAJ.</w:t>
            </w:r>
          </w:p>
          <w:p w14:paraId="7EC6D778" w14:textId="77777777" w:rsidR="00FC0FD6" w:rsidRPr="000876AA" w:rsidRDefault="00FC0FD6" w:rsidP="001752E7">
            <w:pPr>
              <w:tabs>
                <w:tab w:val="center" w:pos="4536"/>
              </w:tabs>
              <w:jc w:val="both"/>
              <w:rPr>
                <w:rFonts w:ascii="Arial" w:eastAsia="Calibri" w:hAnsi="Arial" w:cs="Arial"/>
                <w:sz w:val="16"/>
                <w:szCs w:val="16"/>
              </w:rPr>
            </w:pPr>
          </w:p>
          <w:p w14:paraId="43320F73" w14:textId="149D630C" w:rsidR="0021073E" w:rsidRPr="000876AA" w:rsidRDefault="001752E7" w:rsidP="001752E7">
            <w:pPr>
              <w:tabs>
                <w:tab w:val="center" w:pos="4536"/>
              </w:tabs>
              <w:jc w:val="both"/>
              <w:rPr>
                <w:rFonts w:ascii="Arial" w:eastAsia="Calibri" w:hAnsi="Arial" w:cs="Arial"/>
                <w:sz w:val="16"/>
                <w:szCs w:val="16"/>
              </w:rPr>
            </w:pPr>
            <w:r>
              <w:rPr>
                <w:rFonts w:ascii="Arial" w:eastAsia="Calibri" w:hAnsi="Arial" w:cs="Arial"/>
                <w:sz w:val="16"/>
                <w:szCs w:val="16"/>
              </w:rPr>
              <w:t>De manera significativa, s</w:t>
            </w:r>
            <w:r w:rsidR="00FC0FD6" w:rsidRPr="000876AA">
              <w:rPr>
                <w:rFonts w:ascii="Arial" w:eastAsia="Calibri" w:hAnsi="Arial" w:cs="Arial"/>
                <w:sz w:val="16"/>
                <w:szCs w:val="16"/>
              </w:rPr>
              <w:t xml:space="preserve">e </w:t>
            </w:r>
            <w:r>
              <w:rPr>
                <w:rFonts w:ascii="Arial" w:eastAsia="Calibri" w:hAnsi="Arial" w:cs="Arial"/>
                <w:sz w:val="16"/>
                <w:szCs w:val="16"/>
              </w:rPr>
              <w:t xml:space="preserve">presentó </w:t>
            </w:r>
            <w:r w:rsidR="00FC0FD6" w:rsidRPr="000876AA">
              <w:rPr>
                <w:rFonts w:ascii="Arial" w:eastAsia="Calibri" w:hAnsi="Arial" w:cs="Arial"/>
                <w:sz w:val="16"/>
                <w:szCs w:val="16"/>
              </w:rPr>
              <w:t>informe, con presentación basada en el fenecimiento de la cuenta</w:t>
            </w:r>
            <w:r>
              <w:rPr>
                <w:rFonts w:ascii="Arial" w:eastAsia="Calibri" w:hAnsi="Arial" w:cs="Arial"/>
                <w:sz w:val="16"/>
                <w:szCs w:val="16"/>
              </w:rPr>
              <w:t>, la cual</w:t>
            </w:r>
            <w:r w:rsidR="00FC0FD6" w:rsidRPr="000876AA">
              <w:rPr>
                <w:rFonts w:ascii="Arial" w:eastAsia="Calibri" w:hAnsi="Arial" w:cs="Arial"/>
                <w:sz w:val="16"/>
                <w:szCs w:val="16"/>
              </w:rPr>
              <w:t xml:space="preserve"> fue socializada en el V Conversatorio Internacional y IX Conversatorio Nacional SIGCMA el 19-11-2022</w:t>
            </w:r>
          </w:p>
        </w:tc>
      </w:tr>
      <w:tr w:rsidR="0021073E" w:rsidRPr="000876AA" w14:paraId="2CB7D9CC" w14:textId="77777777" w:rsidTr="00AD15F9">
        <w:trPr>
          <w:trHeight w:val="20"/>
          <w:jc w:val="center"/>
        </w:trPr>
        <w:tc>
          <w:tcPr>
            <w:tcW w:w="174" w:type="pct"/>
            <w:vMerge/>
            <w:vAlign w:val="center"/>
          </w:tcPr>
          <w:p w14:paraId="2CB23BE6" w14:textId="77777777" w:rsidR="0021073E" w:rsidRPr="000876AA" w:rsidRDefault="0021073E" w:rsidP="001752E7">
            <w:pPr>
              <w:tabs>
                <w:tab w:val="center" w:pos="4536"/>
              </w:tabs>
              <w:jc w:val="center"/>
              <w:rPr>
                <w:rFonts w:ascii="Arial" w:eastAsia="Calibri" w:hAnsi="Arial" w:cs="Arial"/>
                <w:sz w:val="16"/>
                <w:szCs w:val="16"/>
              </w:rPr>
            </w:pPr>
          </w:p>
        </w:tc>
        <w:tc>
          <w:tcPr>
            <w:tcW w:w="741" w:type="pct"/>
            <w:vMerge/>
            <w:shd w:val="clear" w:color="auto" w:fill="auto"/>
            <w:vAlign w:val="center"/>
          </w:tcPr>
          <w:p w14:paraId="4CB09F6D" w14:textId="77777777" w:rsidR="0021073E" w:rsidRPr="000876AA" w:rsidRDefault="0021073E" w:rsidP="001752E7">
            <w:pPr>
              <w:tabs>
                <w:tab w:val="center" w:pos="4536"/>
              </w:tabs>
              <w:jc w:val="center"/>
              <w:rPr>
                <w:rFonts w:ascii="Arial" w:eastAsia="Calibri" w:hAnsi="Arial" w:cs="Arial"/>
                <w:sz w:val="16"/>
                <w:szCs w:val="16"/>
              </w:rPr>
            </w:pPr>
          </w:p>
        </w:tc>
        <w:tc>
          <w:tcPr>
            <w:tcW w:w="1074" w:type="pct"/>
            <w:vMerge/>
            <w:vAlign w:val="center"/>
          </w:tcPr>
          <w:p w14:paraId="2EE0ED45" w14:textId="77777777" w:rsidR="0021073E" w:rsidRPr="000876AA" w:rsidRDefault="0021073E" w:rsidP="001752E7">
            <w:pPr>
              <w:tabs>
                <w:tab w:val="center" w:pos="4536"/>
              </w:tabs>
              <w:jc w:val="center"/>
              <w:rPr>
                <w:rFonts w:ascii="Arial" w:hAnsi="Arial" w:cs="Arial"/>
                <w:sz w:val="16"/>
                <w:szCs w:val="16"/>
                <w:lang w:eastAsia="es-CO"/>
              </w:rPr>
            </w:pPr>
          </w:p>
        </w:tc>
        <w:tc>
          <w:tcPr>
            <w:tcW w:w="783" w:type="pct"/>
            <w:vAlign w:val="center"/>
          </w:tcPr>
          <w:p w14:paraId="05FB2D49" w14:textId="711C2337" w:rsidR="0021073E" w:rsidRPr="000876AA" w:rsidRDefault="0021073E"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Promover la cultura de cumplimiento en la entrega de información requerida para la consolidación y elaboración de informes.</w:t>
            </w:r>
          </w:p>
        </w:tc>
        <w:tc>
          <w:tcPr>
            <w:tcW w:w="2228" w:type="pct"/>
            <w:vAlign w:val="center"/>
          </w:tcPr>
          <w:p w14:paraId="10050C5C" w14:textId="2A212EE2" w:rsidR="0021073E" w:rsidRPr="000876AA" w:rsidRDefault="0021073E"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 xml:space="preserve">La Unidad de Planeación realiza acompañamientos a las dependencias por medio de llamadas, correos electrónicos, conversaciones por </w:t>
            </w:r>
            <w:proofErr w:type="spellStart"/>
            <w:r w:rsidRPr="000876AA">
              <w:rPr>
                <w:rFonts w:ascii="Arial" w:eastAsia="Calibri" w:hAnsi="Arial" w:cs="Arial"/>
                <w:sz w:val="16"/>
                <w:szCs w:val="16"/>
              </w:rPr>
              <w:t>Whatsapp</w:t>
            </w:r>
            <w:proofErr w:type="spellEnd"/>
            <w:r w:rsidRPr="000876AA">
              <w:rPr>
                <w:rFonts w:ascii="Arial" w:eastAsia="Calibri" w:hAnsi="Arial" w:cs="Arial"/>
                <w:sz w:val="16"/>
                <w:szCs w:val="16"/>
              </w:rPr>
              <w:t xml:space="preserve"> y </w:t>
            </w:r>
            <w:proofErr w:type="spellStart"/>
            <w:r w:rsidRPr="000876AA">
              <w:rPr>
                <w:rFonts w:ascii="Arial" w:eastAsia="Calibri" w:hAnsi="Arial" w:cs="Arial"/>
                <w:sz w:val="16"/>
                <w:szCs w:val="16"/>
              </w:rPr>
              <w:t>Teams</w:t>
            </w:r>
            <w:proofErr w:type="spellEnd"/>
            <w:r w:rsidRPr="000876AA">
              <w:rPr>
                <w:rFonts w:ascii="Arial" w:eastAsia="Calibri" w:hAnsi="Arial" w:cs="Arial"/>
                <w:sz w:val="16"/>
                <w:szCs w:val="16"/>
              </w:rPr>
              <w:t xml:space="preserve"> en donde se realizan los recordatorios para el cargue de información y/o cumplimiento de metas en Planes de Mejoramiento y requerimientos de la CGR.</w:t>
            </w:r>
          </w:p>
        </w:tc>
      </w:tr>
      <w:tr w:rsidR="0021073E" w:rsidRPr="000876AA" w14:paraId="5BDB3E2F" w14:textId="77777777" w:rsidTr="00AD15F9">
        <w:trPr>
          <w:trHeight w:val="1956"/>
          <w:jc w:val="center"/>
        </w:trPr>
        <w:tc>
          <w:tcPr>
            <w:tcW w:w="174" w:type="pct"/>
            <w:vMerge/>
            <w:vAlign w:val="center"/>
          </w:tcPr>
          <w:p w14:paraId="5EFD7F0D" w14:textId="77777777" w:rsidR="0021073E" w:rsidRPr="000876AA" w:rsidRDefault="0021073E" w:rsidP="001752E7">
            <w:pPr>
              <w:tabs>
                <w:tab w:val="center" w:pos="4536"/>
              </w:tabs>
              <w:jc w:val="center"/>
              <w:rPr>
                <w:rFonts w:ascii="Arial" w:eastAsia="Calibri" w:hAnsi="Arial" w:cs="Arial"/>
                <w:sz w:val="16"/>
                <w:szCs w:val="16"/>
              </w:rPr>
            </w:pPr>
          </w:p>
        </w:tc>
        <w:tc>
          <w:tcPr>
            <w:tcW w:w="741" w:type="pct"/>
            <w:vMerge/>
            <w:shd w:val="clear" w:color="auto" w:fill="auto"/>
            <w:vAlign w:val="center"/>
          </w:tcPr>
          <w:p w14:paraId="3E0007EA" w14:textId="77777777" w:rsidR="0021073E" w:rsidRPr="000876AA" w:rsidRDefault="0021073E" w:rsidP="001752E7">
            <w:pPr>
              <w:tabs>
                <w:tab w:val="center" w:pos="4536"/>
              </w:tabs>
              <w:jc w:val="center"/>
              <w:rPr>
                <w:rFonts w:ascii="Arial" w:eastAsia="Calibri" w:hAnsi="Arial" w:cs="Arial"/>
                <w:sz w:val="16"/>
                <w:szCs w:val="16"/>
              </w:rPr>
            </w:pPr>
          </w:p>
        </w:tc>
        <w:tc>
          <w:tcPr>
            <w:tcW w:w="1074" w:type="pct"/>
            <w:vMerge/>
            <w:vAlign w:val="center"/>
          </w:tcPr>
          <w:p w14:paraId="223C6EF5" w14:textId="77777777" w:rsidR="0021073E" w:rsidRPr="000876AA" w:rsidRDefault="0021073E" w:rsidP="001752E7">
            <w:pPr>
              <w:tabs>
                <w:tab w:val="center" w:pos="4536"/>
              </w:tabs>
              <w:jc w:val="center"/>
              <w:rPr>
                <w:rFonts w:ascii="Arial" w:hAnsi="Arial" w:cs="Arial"/>
                <w:sz w:val="16"/>
                <w:szCs w:val="16"/>
                <w:lang w:eastAsia="es-CO"/>
              </w:rPr>
            </w:pPr>
          </w:p>
        </w:tc>
        <w:tc>
          <w:tcPr>
            <w:tcW w:w="783" w:type="pct"/>
            <w:vAlign w:val="center"/>
          </w:tcPr>
          <w:p w14:paraId="03796368" w14:textId="5F6CE3D7" w:rsidR="0021073E" w:rsidRPr="000876AA" w:rsidRDefault="0021073E" w:rsidP="001752E7">
            <w:pPr>
              <w:tabs>
                <w:tab w:val="center" w:pos="4536"/>
              </w:tabs>
              <w:jc w:val="both"/>
              <w:rPr>
                <w:rFonts w:ascii="Arial" w:eastAsia="Calibri" w:hAnsi="Arial" w:cs="Arial"/>
                <w:sz w:val="16"/>
                <w:szCs w:val="16"/>
              </w:rPr>
            </w:pPr>
            <w:r w:rsidRPr="000876AA">
              <w:rPr>
                <w:rFonts w:ascii="Arial" w:eastAsia="Calibri" w:hAnsi="Arial" w:cs="Arial"/>
                <w:sz w:val="16"/>
                <w:szCs w:val="16"/>
              </w:rPr>
              <w:t>Fomentar la transferencia del conocimiento de servidores de DESAJ y DEAJ.</w:t>
            </w:r>
          </w:p>
        </w:tc>
        <w:tc>
          <w:tcPr>
            <w:tcW w:w="2228" w:type="pct"/>
            <w:vAlign w:val="center"/>
          </w:tcPr>
          <w:p w14:paraId="7590A5D2" w14:textId="0CA659BC" w:rsidR="001752E7" w:rsidRDefault="001752E7" w:rsidP="001752E7">
            <w:pPr>
              <w:tabs>
                <w:tab w:val="center" w:pos="4536"/>
              </w:tabs>
              <w:jc w:val="both"/>
              <w:rPr>
                <w:rFonts w:ascii="Arial" w:eastAsia="Calibri" w:hAnsi="Arial" w:cs="Arial"/>
                <w:sz w:val="16"/>
                <w:szCs w:val="16"/>
              </w:rPr>
            </w:pPr>
            <w:r w:rsidRPr="001752E7">
              <w:rPr>
                <w:rFonts w:ascii="Arial" w:eastAsia="Calibri" w:hAnsi="Arial" w:cs="Arial"/>
                <w:sz w:val="16"/>
                <w:szCs w:val="16"/>
              </w:rPr>
              <w:t>La Unidad de Planeación</w:t>
            </w:r>
            <w:r>
              <w:rPr>
                <w:rFonts w:ascii="Arial" w:eastAsia="Calibri" w:hAnsi="Arial" w:cs="Arial"/>
                <w:sz w:val="16"/>
                <w:szCs w:val="16"/>
              </w:rPr>
              <w:t>, para el 1er semestre del 2022,</w:t>
            </w:r>
            <w:r w:rsidRPr="001752E7">
              <w:rPr>
                <w:rFonts w:ascii="Arial" w:eastAsia="Calibri" w:hAnsi="Arial" w:cs="Arial"/>
                <w:sz w:val="16"/>
                <w:szCs w:val="16"/>
              </w:rPr>
              <w:t xml:space="preserve"> realizó la capacitación a la Unidad de Infraestructura Física sobre el cargue de información de Obras Inconclusas en el aplicativo SIRECI.</w:t>
            </w:r>
          </w:p>
          <w:p w14:paraId="64CD47E1" w14:textId="77777777" w:rsidR="001752E7" w:rsidRDefault="001752E7" w:rsidP="001752E7">
            <w:pPr>
              <w:tabs>
                <w:tab w:val="center" w:pos="4536"/>
              </w:tabs>
              <w:jc w:val="both"/>
              <w:rPr>
                <w:rFonts w:ascii="Arial" w:eastAsia="Calibri" w:hAnsi="Arial" w:cs="Arial"/>
                <w:sz w:val="16"/>
                <w:szCs w:val="16"/>
              </w:rPr>
            </w:pPr>
          </w:p>
          <w:p w14:paraId="5067CFE8" w14:textId="77777777" w:rsidR="001752E7" w:rsidRDefault="001752E7" w:rsidP="001752E7">
            <w:pPr>
              <w:tabs>
                <w:tab w:val="center" w:pos="4536"/>
              </w:tabs>
              <w:jc w:val="both"/>
              <w:rPr>
                <w:rFonts w:ascii="Arial" w:eastAsia="Calibri" w:hAnsi="Arial" w:cs="Arial"/>
                <w:sz w:val="16"/>
                <w:szCs w:val="16"/>
              </w:rPr>
            </w:pPr>
            <w:r>
              <w:rPr>
                <w:rFonts w:ascii="Arial" w:eastAsia="Calibri" w:hAnsi="Arial" w:cs="Arial"/>
                <w:sz w:val="16"/>
                <w:szCs w:val="16"/>
              </w:rPr>
              <w:t xml:space="preserve">Para el segundo semestre, </w:t>
            </w:r>
            <w:r w:rsidRPr="001752E7">
              <w:rPr>
                <w:rFonts w:ascii="Arial" w:eastAsia="Calibri" w:hAnsi="Arial" w:cs="Arial"/>
                <w:sz w:val="16"/>
                <w:szCs w:val="16"/>
              </w:rPr>
              <w:t xml:space="preserve">fue requerida </w:t>
            </w:r>
            <w:r>
              <w:rPr>
                <w:rFonts w:ascii="Arial" w:eastAsia="Calibri" w:hAnsi="Arial" w:cs="Arial"/>
                <w:sz w:val="16"/>
                <w:szCs w:val="16"/>
              </w:rPr>
              <w:t>se realizaron</w:t>
            </w:r>
          </w:p>
          <w:p w14:paraId="082C2F8D" w14:textId="77777777" w:rsidR="001752E7" w:rsidRDefault="001752E7" w:rsidP="001752E7">
            <w:pPr>
              <w:pStyle w:val="Prrafodelista"/>
              <w:numPr>
                <w:ilvl w:val="0"/>
                <w:numId w:val="29"/>
              </w:numPr>
              <w:tabs>
                <w:tab w:val="center" w:pos="4536"/>
              </w:tabs>
              <w:spacing w:after="0" w:line="240" w:lineRule="auto"/>
              <w:jc w:val="both"/>
              <w:rPr>
                <w:rFonts w:ascii="Arial" w:hAnsi="Arial" w:cs="Arial"/>
                <w:sz w:val="16"/>
                <w:szCs w:val="16"/>
              </w:rPr>
            </w:pPr>
            <w:r>
              <w:rPr>
                <w:rFonts w:ascii="Arial" w:hAnsi="Arial" w:cs="Arial"/>
                <w:sz w:val="16"/>
                <w:szCs w:val="16"/>
              </w:rPr>
              <w:t>C</w:t>
            </w:r>
            <w:r w:rsidRPr="001752E7">
              <w:rPr>
                <w:rFonts w:ascii="Arial" w:hAnsi="Arial" w:cs="Arial"/>
                <w:sz w:val="16"/>
                <w:szCs w:val="16"/>
              </w:rPr>
              <w:t>apacitación para diligenciamiento de matrices para el cumplimiento del plan de choque de liquidación de contratos (hallazgos CGR y Auditoría interna</w:t>
            </w:r>
          </w:p>
          <w:p w14:paraId="62E73B4F" w14:textId="70F528D4" w:rsidR="0021073E" w:rsidRPr="001752E7" w:rsidRDefault="0021073E" w:rsidP="001752E7">
            <w:pPr>
              <w:pStyle w:val="Prrafodelista"/>
              <w:numPr>
                <w:ilvl w:val="0"/>
                <w:numId w:val="29"/>
              </w:numPr>
              <w:tabs>
                <w:tab w:val="center" w:pos="4536"/>
              </w:tabs>
              <w:spacing w:after="0" w:line="240" w:lineRule="auto"/>
              <w:jc w:val="both"/>
              <w:rPr>
                <w:rFonts w:ascii="Arial" w:hAnsi="Arial" w:cs="Arial"/>
                <w:sz w:val="16"/>
                <w:szCs w:val="16"/>
              </w:rPr>
            </w:pPr>
            <w:r w:rsidRPr="001752E7">
              <w:rPr>
                <w:rFonts w:ascii="Arial" w:hAnsi="Arial" w:cs="Arial"/>
                <w:sz w:val="16"/>
                <w:szCs w:val="16"/>
              </w:rPr>
              <w:t>capacitaciones en conjunto con la división de estudios y evaluaciones con base a temas de contratación y cobro coactivo</w:t>
            </w:r>
          </w:p>
        </w:tc>
      </w:tr>
      <w:bookmarkEnd w:id="0"/>
    </w:tbl>
    <w:p w14:paraId="22775EFB" w14:textId="76329932" w:rsidR="000E4C9E" w:rsidRDefault="000E4C9E" w:rsidP="0029124F">
      <w:pPr>
        <w:jc w:val="both"/>
        <w:rPr>
          <w:rFonts w:ascii="Arial" w:hAnsi="Arial" w:cs="Arial"/>
          <w:sz w:val="22"/>
          <w:szCs w:val="22"/>
        </w:rPr>
      </w:pPr>
    </w:p>
    <w:p w14:paraId="0E2C10AC" w14:textId="77777777" w:rsidR="00845C23" w:rsidRPr="000876AA" w:rsidRDefault="00845C23" w:rsidP="0029124F">
      <w:pPr>
        <w:jc w:val="both"/>
        <w:rPr>
          <w:rFonts w:ascii="Arial" w:hAnsi="Arial" w:cs="Arial"/>
          <w:sz w:val="22"/>
          <w:szCs w:val="22"/>
        </w:rPr>
      </w:pPr>
    </w:p>
    <w:p w14:paraId="58839B26" w14:textId="77777777" w:rsidR="000E4C9E" w:rsidRPr="000876AA" w:rsidRDefault="000E4C9E" w:rsidP="00AD15F9">
      <w:pPr>
        <w:numPr>
          <w:ilvl w:val="0"/>
          <w:numId w:val="31"/>
        </w:numPr>
        <w:jc w:val="both"/>
        <w:rPr>
          <w:rFonts w:ascii="Arial" w:hAnsi="Arial" w:cs="Arial"/>
          <w:sz w:val="22"/>
          <w:szCs w:val="22"/>
        </w:rPr>
      </w:pPr>
      <w:bookmarkStart w:id="1" w:name="_Hlk57696247"/>
      <w:r w:rsidRPr="000876AA">
        <w:rPr>
          <w:rFonts w:ascii="Arial" w:hAnsi="Arial" w:cs="Arial"/>
          <w:b/>
          <w:sz w:val="22"/>
          <w:szCs w:val="22"/>
        </w:rPr>
        <w:t>DESEMPEÑO DE LOS PROCESOS</w:t>
      </w:r>
      <w:r w:rsidR="0029124F" w:rsidRPr="000876AA">
        <w:rPr>
          <w:rFonts w:ascii="Arial" w:hAnsi="Arial" w:cs="Arial"/>
          <w:b/>
          <w:sz w:val="22"/>
          <w:szCs w:val="22"/>
        </w:rPr>
        <w:t xml:space="preserve"> -</w:t>
      </w:r>
      <w:r w:rsidR="002A230E" w:rsidRPr="000876AA">
        <w:rPr>
          <w:rFonts w:ascii="Arial" w:hAnsi="Arial" w:cs="Arial"/>
          <w:b/>
          <w:sz w:val="22"/>
          <w:szCs w:val="22"/>
        </w:rPr>
        <w:t>RESULTADO INDICADORES</w:t>
      </w:r>
      <w:r w:rsidRPr="000876AA">
        <w:rPr>
          <w:rFonts w:ascii="Arial" w:hAnsi="Arial" w:cs="Arial"/>
          <w:b/>
          <w:sz w:val="22"/>
          <w:szCs w:val="22"/>
        </w:rPr>
        <w:t>-</w:t>
      </w:r>
    </w:p>
    <w:p w14:paraId="4BE3E416" w14:textId="77777777" w:rsidR="000E4C9E" w:rsidRPr="000876AA" w:rsidRDefault="000E4C9E" w:rsidP="0029124F">
      <w:pPr>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819"/>
        <w:gridCol w:w="2009"/>
        <w:gridCol w:w="566"/>
        <w:gridCol w:w="1178"/>
        <w:gridCol w:w="4392"/>
      </w:tblGrid>
      <w:tr w:rsidR="0016637C" w:rsidRPr="000876AA" w14:paraId="46BE4F18" w14:textId="77777777" w:rsidTr="004155C7">
        <w:trPr>
          <w:trHeight w:val="20"/>
          <w:tblHeader/>
          <w:jc w:val="center"/>
        </w:trPr>
        <w:tc>
          <w:tcPr>
            <w:tcW w:w="913" w:type="pct"/>
            <w:tcBorders>
              <w:top w:val="single" w:sz="4" w:space="0" w:color="000000"/>
              <w:left w:val="single" w:sz="4" w:space="0" w:color="000000"/>
              <w:bottom w:val="single" w:sz="4" w:space="0" w:color="auto"/>
              <w:right w:val="single" w:sz="4" w:space="0" w:color="auto"/>
            </w:tcBorders>
            <w:shd w:val="clear" w:color="auto" w:fill="BFBFBF"/>
            <w:vAlign w:val="center"/>
          </w:tcPr>
          <w:p w14:paraId="00B1ED53" w14:textId="77777777" w:rsidR="0016637C" w:rsidRPr="000876AA" w:rsidRDefault="0016637C" w:rsidP="0029124F">
            <w:pPr>
              <w:tabs>
                <w:tab w:val="center" w:pos="4536"/>
              </w:tabs>
              <w:jc w:val="center"/>
              <w:rPr>
                <w:rFonts w:ascii="Arial" w:eastAsia="Calibri" w:hAnsi="Arial" w:cs="Arial"/>
                <w:b/>
                <w:bCs/>
                <w:sz w:val="18"/>
                <w:szCs w:val="18"/>
              </w:rPr>
            </w:pPr>
            <w:bookmarkStart w:id="2" w:name="_Hlk57701205"/>
            <w:r w:rsidRPr="000876AA">
              <w:rPr>
                <w:rFonts w:ascii="Arial" w:eastAsia="Calibri" w:hAnsi="Arial" w:cs="Arial"/>
                <w:b/>
                <w:bCs/>
                <w:sz w:val="18"/>
                <w:szCs w:val="18"/>
              </w:rPr>
              <w:t>PROCESO</w:t>
            </w:r>
          </w:p>
        </w:tc>
        <w:tc>
          <w:tcPr>
            <w:tcW w:w="1008" w:type="pct"/>
            <w:tcBorders>
              <w:top w:val="single" w:sz="4" w:space="0" w:color="000000"/>
              <w:left w:val="single" w:sz="4" w:space="0" w:color="000000"/>
              <w:bottom w:val="single" w:sz="4" w:space="0" w:color="auto"/>
              <w:right w:val="single" w:sz="4" w:space="0" w:color="000000"/>
            </w:tcBorders>
            <w:shd w:val="clear" w:color="auto" w:fill="BFBFBF"/>
            <w:vAlign w:val="center"/>
          </w:tcPr>
          <w:p w14:paraId="44EA27A6" w14:textId="77777777" w:rsidR="0016637C" w:rsidRPr="000876AA" w:rsidRDefault="0016637C" w:rsidP="0029124F">
            <w:pPr>
              <w:tabs>
                <w:tab w:val="center" w:pos="4536"/>
              </w:tabs>
              <w:jc w:val="center"/>
              <w:rPr>
                <w:rFonts w:ascii="Arial" w:eastAsia="Calibri" w:hAnsi="Arial" w:cs="Arial"/>
                <w:b/>
                <w:sz w:val="18"/>
                <w:szCs w:val="18"/>
              </w:rPr>
            </w:pPr>
            <w:r w:rsidRPr="000876AA">
              <w:rPr>
                <w:rFonts w:ascii="Arial" w:eastAsia="Calibri" w:hAnsi="Arial" w:cs="Arial"/>
                <w:b/>
                <w:sz w:val="18"/>
                <w:szCs w:val="18"/>
              </w:rPr>
              <w:t>INDICADOR</w:t>
            </w:r>
          </w:p>
        </w:tc>
        <w:tc>
          <w:tcPr>
            <w:tcW w:w="284" w:type="pct"/>
            <w:tcBorders>
              <w:top w:val="single" w:sz="4" w:space="0" w:color="000000"/>
              <w:left w:val="single" w:sz="4" w:space="0" w:color="000000"/>
              <w:bottom w:val="single" w:sz="4" w:space="0" w:color="auto"/>
              <w:right w:val="single" w:sz="4" w:space="0" w:color="auto"/>
            </w:tcBorders>
            <w:shd w:val="clear" w:color="auto" w:fill="BFBFBF"/>
            <w:vAlign w:val="center"/>
          </w:tcPr>
          <w:p w14:paraId="65FFE25F" w14:textId="77777777" w:rsidR="0016637C" w:rsidRPr="000876AA" w:rsidRDefault="0016637C" w:rsidP="0029124F">
            <w:pPr>
              <w:tabs>
                <w:tab w:val="center" w:pos="4536"/>
              </w:tabs>
              <w:jc w:val="center"/>
              <w:rPr>
                <w:rFonts w:ascii="Arial" w:eastAsia="Calibri" w:hAnsi="Arial" w:cs="Arial"/>
                <w:b/>
                <w:sz w:val="18"/>
                <w:szCs w:val="18"/>
              </w:rPr>
            </w:pPr>
            <w:r w:rsidRPr="000876AA">
              <w:rPr>
                <w:rFonts w:ascii="Arial" w:eastAsia="Calibri" w:hAnsi="Arial" w:cs="Arial"/>
                <w:b/>
                <w:sz w:val="18"/>
                <w:szCs w:val="18"/>
              </w:rPr>
              <w:t>META</w:t>
            </w:r>
          </w:p>
        </w:tc>
        <w:tc>
          <w:tcPr>
            <w:tcW w:w="591" w:type="pct"/>
            <w:tcBorders>
              <w:top w:val="single" w:sz="4" w:space="0" w:color="000000"/>
              <w:left w:val="single" w:sz="4" w:space="0" w:color="000000"/>
              <w:bottom w:val="single" w:sz="4" w:space="0" w:color="auto"/>
              <w:right w:val="single" w:sz="4" w:space="0" w:color="auto"/>
            </w:tcBorders>
            <w:shd w:val="clear" w:color="auto" w:fill="BFBFBF"/>
            <w:vAlign w:val="center"/>
          </w:tcPr>
          <w:p w14:paraId="249C3E5D" w14:textId="77777777" w:rsidR="0016637C" w:rsidRPr="000876AA" w:rsidRDefault="0016637C" w:rsidP="0029124F">
            <w:pPr>
              <w:tabs>
                <w:tab w:val="center" w:pos="4536"/>
              </w:tabs>
              <w:jc w:val="center"/>
              <w:rPr>
                <w:rFonts w:ascii="Arial" w:eastAsia="Calibri" w:hAnsi="Arial" w:cs="Arial"/>
                <w:b/>
                <w:sz w:val="18"/>
                <w:szCs w:val="18"/>
              </w:rPr>
            </w:pPr>
            <w:r w:rsidRPr="000876AA">
              <w:rPr>
                <w:rFonts w:ascii="Arial" w:eastAsia="Calibri" w:hAnsi="Arial" w:cs="Arial"/>
                <w:b/>
                <w:sz w:val="18"/>
                <w:szCs w:val="18"/>
              </w:rPr>
              <w:t>RESULTADO</w:t>
            </w:r>
          </w:p>
        </w:tc>
        <w:tc>
          <w:tcPr>
            <w:tcW w:w="2204" w:type="pct"/>
            <w:tcBorders>
              <w:top w:val="single" w:sz="4" w:space="0" w:color="000000"/>
              <w:left w:val="single" w:sz="4" w:space="0" w:color="auto"/>
              <w:bottom w:val="single" w:sz="4" w:space="0" w:color="auto"/>
              <w:right w:val="single" w:sz="4" w:space="0" w:color="auto"/>
            </w:tcBorders>
            <w:shd w:val="clear" w:color="auto" w:fill="BFBFBF"/>
            <w:vAlign w:val="center"/>
          </w:tcPr>
          <w:p w14:paraId="19114630" w14:textId="77777777" w:rsidR="0016637C" w:rsidRPr="000876AA" w:rsidRDefault="006C4EEB" w:rsidP="0029124F">
            <w:pPr>
              <w:tabs>
                <w:tab w:val="center" w:pos="4536"/>
              </w:tabs>
              <w:jc w:val="center"/>
              <w:rPr>
                <w:rFonts w:ascii="Arial" w:eastAsia="Calibri" w:hAnsi="Arial" w:cs="Arial"/>
                <w:b/>
                <w:sz w:val="18"/>
                <w:szCs w:val="18"/>
              </w:rPr>
            </w:pPr>
            <w:r w:rsidRPr="000876AA">
              <w:rPr>
                <w:rFonts w:ascii="Arial" w:eastAsia="Calibri" w:hAnsi="Arial" w:cs="Arial"/>
                <w:b/>
                <w:sz w:val="18"/>
                <w:szCs w:val="18"/>
              </w:rPr>
              <w:t>ANÁLISIS (</w:t>
            </w:r>
            <w:r w:rsidRPr="000876AA">
              <w:rPr>
                <w:rFonts w:ascii="Arial" w:eastAsia="Calibri" w:hAnsi="Arial" w:cs="Arial"/>
                <w:b/>
                <w:color w:val="000000"/>
                <w:sz w:val="18"/>
                <w:szCs w:val="18"/>
              </w:rPr>
              <w:t>comparar</w:t>
            </w:r>
            <w:r w:rsidR="0016637C" w:rsidRPr="000876AA">
              <w:rPr>
                <w:rFonts w:ascii="Arial" w:eastAsia="Calibri" w:hAnsi="Arial" w:cs="Arial"/>
                <w:b/>
                <w:color w:val="000000"/>
                <w:sz w:val="18"/>
                <w:szCs w:val="18"/>
              </w:rPr>
              <w:t xml:space="preserve"> períodos)</w:t>
            </w:r>
          </w:p>
        </w:tc>
      </w:tr>
      <w:tr w:rsidR="0016637C" w:rsidRPr="000876AA" w14:paraId="3E36F938" w14:textId="77777777" w:rsidTr="004155C7">
        <w:trPr>
          <w:trHeight w:val="20"/>
          <w:jc w:val="center"/>
        </w:trPr>
        <w:tc>
          <w:tcPr>
            <w:tcW w:w="913" w:type="pct"/>
            <w:tcBorders>
              <w:top w:val="single" w:sz="4" w:space="0" w:color="000000"/>
              <w:left w:val="single" w:sz="4" w:space="0" w:color="000000"/>
              <w:bottom w:val="single" w:sz="4" w:space="0" w:color="auto"/>
              <w:right w:val="single" w:sz="4" w:space="0" w:color="auto"/>
            </w:tcBorders>
            <w:vAlign w:val="center"/>
          </w:tcPr>
          <w:p w14:paraId="0DED1347" w14:textId="6CDD0975" w:rsidR="0016637C" w:rsidRPr="000876AA" w:rsidRDefault="004155C7" w:rsidP="002A245E">
            <w:pPr>
              <w:tabs>
                <w:tab w:val="center" w:pos="4536"/>
              </w:tabs>
              <w:jc w:val="center"/>
              <w:rPr>
                <w:rFonts w:ascii="Arial" w:eastAsia="Calibri" w:hAnsi="Arial" w:cs="Arial"/>
                <w:b/>
                <w:bCs/>
                <w:sz w:val="18"/>
                <w:szCs w:val="18"/>
              </w:rPr>
            </w:pPr>
            <w:r w:rsidRPr="000876AA">
              <w:rPr>
                <w:rFonts w:ascii="Arial" w:eastAsia="Calibri" w:hAnsi="Arial" w:cs="Arial"/>
                <w:bCs/>
                <w:sz w:val="16"/>
                <w:szCs w:val="18"/>
              </w:rPr>
              <w:t>Gestión Financiera y Presupuestal</w:t>
            </w:r>
          </w:p>
        </w:tc>
        <w:tc>
          <w:tcPr>
            <w:tcW w:w="1008" w:type="pct"/>
            <w:tcBorders>
              <w:top w:val="single" w:sz="4" w:space="0" w:color="000000"/>
              <w:left w:val="single" w:sz="4" w:space="0" w:color="000000"/>
              <w:bottom w:val="single" w:sz="4" w:space="0" w:color="auto"/>
              <w:right w:val="single" w:sz="4" w:space="0" w:color="000000"/>
            </w:tcBorders>
            <w:vAlign w:val="center"/>
          </w:tcPr>
          <w:p w14:paraId="5B09502D" w14:textId="63BCCBFB" w:rsidR="0016637C" w:rsidRPr="000876AA" w:rsidRDefault="004155C7" w:rsidP="001D2ECE">
            <w:pPr>
              <w:tabs>
                <w:tab w:val="center" w:pos="4536"/>
              </w:tabs>
              <w:jc w:val="center"/>
              <w:rPr>
                <w:rFonts w:ascii="Arial" w:eastAsia="Calibri" w:hAnsi="Arial" w:cs="Arial"/>
                <w:sz w:val="18"/>
                <w:szCs w:val="18"/>
              </w:rPr>
            </w:pPr>
            <w:r w:rsidRPr="000876AA">
              <w:rPr>
                <w:rFonts w:ascii="Arial" w:eastAsia="Calibri" w:hAnsi="Arial" w:cs="Arial"/>
                <w:sz w:val="16"/>
                <w:szCs w:val="18"/>
              </w:rPr>
              <w:t>% ejecución Presupuestal</w:t>
            </w:r>
          </w:p>
        </w:tc>
        <w:tc>
          <w:tcPr>
            <w:tcW w:w="284" w:type="pct"/>
            <w:tcBorders>
              <w:top w:val="single" w:sz="4" w:space="0" w:color="000000"/>
              <w:left w:val="single" w:sz="4" w:space="0" w:color="000000"/>
              <w:bottom w:val="single" w:sz="4" w:space="0" w:color="auto"/>
              <w:right w:val="single" w:sz="4" w:space="0" w:color="auto"/>
            </w:tcBorders>
            <w:vAlign w:val="center"/>
          </w:tcPr>
          <w:p w14:paraId="0F55AFD5" w14:textId="7410E5C2" w:rsidR="0016637C" w:rsidRPr="000876AA" w:rsidRDefault="004155C7" w:rsidP="001D2ECE">
            <w:pPr>
              <w:tabs>
                <w:tab w:val="center" w:pos="4536"/>
              </w:tabs>
              <w:jc w:val="center"/>
              <w:rPr>
                <w:rFonts w:ascii="Arial" w:eastAsia="Calibri" w:hAnsi="Arial" w:cs="Arial"/>
                <w:sz w:val="18"/>
                <w:szCs w:val="18"/>
              </w:rPr>
            </w:pPr>
            <w:r w:rsidRPr="000876AA">
              <w:rPr>
                <w:rFonts w:ascii="Arial" w:eastAsia="Calibri" w:hAnsi="Arial" w:cs="Arial"/>
                <w:sz w:val="16"/>
                <w:szCs w:val="18"/>
              </w:rPr>
              <w:t>100%</w:t>
            </w:r>
          </w:p>
        </w:tc>
        <w:tc>
          <w:tcPr>
            <w:tcW w:w="591" w:type="pct"/>
            <w:tcBorders>
              <w:top w:val="single" w:sz="4" w:space="0" w:color="000000"/>
              <w:left w:val="single" w:sz="4" w:space="0" w:color="000000"/>
              <w:bottom w:val="single" w:sz="4" w:space="0" w:color="auto"/>
              <w:right w:val="single" w:sz="4" w:space="0" w:color="auto"/>
            </w:tcBorders>
            <w:vAlign w:val="center"/>
          </w:tcPr>
          <w:p w14:paraId="65473DEB" w14:textId="7E965E6E" w:rsidR="0016637C" w:rsidRPr="000876AA" w:rsidRDefault="004155C7" w:rsidP="001D2ECE">
            <w:pPr>
              <w:tabs>
                <w:tab w:val="center" w:pos="4536"/>
              </w:tabs>
              <w:jc w:val="center"/>
              <w:rPr>
                <w:rFonts w:ascii="Arial" w:eastAsia="Calibri" w:hAnsi="Arial" w:cs="Arial"/>
                <w:sz w:val="16"/>
                <w:szCs w:val="18"/>
              </w:rPr>
            </w:pPr>
            <w:r w:rsidRPr="000876AA">
              <w:rPr>
                <w:rFonts w:ascii="Arial" w:eastAsia="Calibri" w:hAnsi="Arial" w:cs="Arial"/>
                <w:sz w:val="16"/>
                <w:szCs w:val="18"/>
              </w:rPr>
              <w:t>96.5%</w:t>
            </w:r>
          </w:p>
        </w:tc>
        <w:tc>
          <w:tcPr>
            <w:tcW w:w="2204" w:type="pct"/>
            <w:tcBorders>
              <w:top w:val="single" w:sz="4" w:space="0" w:color="000000"/>
              <w:left w:val="single" w:sz="4" w:space="0" w:color="auto"/>
              <w:bottom w:val="single" w:sz="4" w:space="0" w:color="auto"/>
              <w:right w:val="single" w:sz="4" w:space="0" w:color="auto"/>
            </w:tcBorders>
            <w:vAlign w:val="center"/>
          </w:tcPr>
          <w:p w14:paraId="1BB16584" w14:textId="0BC7E30C" w:rsidR="004155C7" w:rsidRPr="000876AA" w:rsidRDefault="004155C7" w:rsidP="004155C7">
            <w:pPr>
              <w:tabs>
                <w:tab w:val="center" w:pos="4536"/>
              </w:tabs>
              <w:jc w:val="both"/>
              <w:rPr>
                <w:rFonts w:ascii="Arial" w:eastAsia="Calibri" w:hAnsi="Arial" w:cs="Arial"/>
                <w:sz w:val="16"/>
                <w:szCs w:val="18"/>
              </w:rPr>
            </w:pPr>
            <w:r w:rsidRPr="000876AA">
              <w:rPr>
                <w:rFonts w:ascii="Arial" w:eastAsia="Calibri" w:hAnsi="Arial" w:cs="Arial"/>
                <w:sz w:val="16"/>
                <w:szCs w:val="18"/>
              </w:rPr>
              <w:t>El indicador que corresponde a la ejecución financiera y presupuestal es del porcentaje de ejecución del prepuesto, en este orden, el presupuesto de la Rama Judicial para el 202</w:t>
            </w:r>
            <w:r w:rsidR="00E81392" w:rsidRPr="000876AA">
              <w:rPr>
                <w:rFonts w:ascii="Arial" w:eastAsia="Calibri" w:hAnsi="Arial" w:cs="Arial"/>
                <w:sz w:val="16"/>
                <w:szCs w:val="18"/>
              </w:rPr>
              <w:t>2</w:t>
            </w:r>
            <w:r w:rsidRPr="000876AA">
              <w:rPr>
                <w:rFonts w:ascii="Arial" w:eastAsia="Calibri" w:hAnsi="Arial" w:cs="Arial"/>
                <w:sz w:val="16"/>
                <w:szCs w:val="18"/>
              </w:rPr>
              <w:t xml:space="preserve"> alcanzó la suma de $</w:t>
            </w:r>
            <w:r w:rsidR="00E81392" w:rsidRPr="000876AA">
              <w:rPr>
                <w:rFonts w:ascii="Arial" w:eastAsia="Calibri" w:hAnsi="Arial" w:cs="Arial"/>
                <w:sz w:val="16"/>
                <w:szCs w:val="18"/>
              </w:rPr>
              <w:t>6 b</w:t>
            </w:r>
            <w:r w:rsidRPr="000876AA">
              <w:rPr>
                <w:rFonts w:ascii="Arial" w:eastAsia="Calibri" w:hAnsi="Arial" w:cs="Arial"/>
                <w:sz w:val="16"/>
                <w:szCs w:val="18"/>
              </w:rPr>
              <w:t xml:space="preserve">illones, de los cuales se suscribieron </w:t>
            </w:r>
            <w:r w:rsidRPr="000876AA">
              <w:rPr>
                <w:rFonts w:ascii="Arial" w:eastAsia="Calibri" w:hAnsi="Arial" w:cs="Arial"/>
                <w:sz w:val="16"/>
                <w:szCs w:val="18"/>
              </w:rPr>
              <w:lastRenderedPageBreak/>
              <w:t xml:space="preserve">compromisos por la suma de </w:t>
            </w:r>
            <w:r w:rsidR="00E81392" w:rsidRPr="000876AA">
              <w:rPr>
                <w:rFonts w:ascii="Arial" w:eastAsia="Calibri" w:hAnsi="Arial" w:cs="Arial"/>
                <w:sz w:val="16"/>
                <w:szCs w:val="18"/>
              </w:rPr>
              <w:t>$5.9 billones</w:t>
            </w:r>
            <w:r w:rsidRPr="000876AA">
              <w:rPr>
                <w:rFonts w:ascii="Arial" w:eastAsia="Calibri" w:hAnsi="Arial" w:cs="Arial"/>
                <w:sz w:val="16"/>
                <w:szCs w:val="18"/>
              </w:rPr>
              <w:t>, es decir se ejecutó el 9</w:t>
            </w:r>
            <w:r w:rsidR="00E81392" w:rsidRPr="000876AA">
              <w:rPr>
                <w:rFonts w:ascii="Arial" w:eastAsia="Calibri" w:hAnsi="Arial" w:cs="Arial"/>
                <w:sz w:val="16"/>
                <w:szCs w:val="18"/>
              </w:rPr>
              <w:t>7</w:t>
            </w:r>
            <w:r w:rsidRPr="000876AA">
              <w:rPr>
                <w:rFonts w:ascii="Arial" w:eastAsia="Calibri" w:hAnsi="Arial" w:cs="Arial"/>
                <w:sz w:val="16"/>
                <w:szCs w:val="18"/>
              </w:rPr>
              <w:t>,</w:t>
            </w:r>
            <w:r w:rsidR="00E81392" w:rsidRPr="000876AA">
              <w:rPr>
                <w:rFonts w:ascii="Arial" w:eastAsia="Calibri" w:hAnsi="Arial" w:cs="Arial"/>
                <w:sz w:val="16"/>
                <w:szCs w:val="18"/>
              </w:rPr>
              <w:t>6</w:t>
            </w:r>
            <w:r w:rsidRPr="000876AA">
              <w:rPr>
                <w:rFonts w:ascii="Arial" w:eastAsia="Calibri" w:hAnsi="Arial" w:cs="Arial"/>
                <w:sz w:val="16"/>
                <w:szCs w:val="18"/>
              </w:rPr>
              <w:t>%.</w:t>
            </w:r>
          </w:p>
          <w:p w14:paraId="7F90302C" w14:textId="77777777" w:rsidR="004155C7" w:rsidRPr="000876AA" w:rsidRDefault="004155C7" w:rsidP="004155C7">
            <w:pPr>
              <w:tabs>
                <w:tab w:val="center" w:pos="4536"/>
              </w:tabs>
              <w:jc w:val="both"/>
              <w:rPr>
                <w:rFonts w:ascii="Arial" w:eastAsia="Calibri" w:hAnsi="Arial" w:cs="Arial"/>
                <w:sz w:val="16"/>
                <w:szCs w:val="18"/>
              </w:rPr>
            </w:pPr>
          </w:p>
          <w:p w14:paraId="791F3B68" w14:textId="5445D951" w:rsidR="0016637C" w:rsidRPr="000876AA" w:rsidRDefault="004155C7" w:rsidP="004155C7">
            <w:pPr>
              <w:tabs>
                <w:tab w:val="center" w:pos="4536"/>
              </w:tabs>
              <w:jc w:val="both"/>
              <w:rPr>
                <w:rFonts w:ascii="Arial" w:eastAsia="Calibri" w:hAnsi="Arial" w:cs="Arial"/>
                <w:sz w:val="16"/>
                <w:szCs w:val="18"/>
              </w:rPr>
            </w:pPr>
            <w:r w:rsidRPr="000876AA">
              <w:rPr>
                <w:rFonts w:ascii="Arial" w:eastAsia="Calibri" w:hAnsi="Arial" w:cs="Arial"/>
                <w:sz w:val="16"/>
                <w:szCs w:val="18"/>
              </w:rPr>
              <w:t>Respecto del año 202</w:t>
            </w:r>
            <w:r w:rsidR="00E81392" w:rsidRPr="000876AA">
              <w:rPr>
                <w:rFonts w:ascii="Arial" w:eastAsia="Calibri" w:hAnsi="Arial" w:cs="Arial"/>
                <w:sz w:val="16"/>
                <w:szCs w:val="18"/>
              </w:rPr>
              <w:t>1,</w:t>
            </w:r>
            <w:r w:rsidRPr="000876AA">
              <w:rPr>
                <w:rFonts w:ascii="Arial" w:eastAsia="Calibri" w:hAnsi="Arial" w:cs="Arial"/>
                <w:sz w:val="16"/>
                <w:szCs w:val="18"/>
              </w:rPr>
              <w:t xml:space="preserve"> que hubo una ejecución del 9</w:t>
            </w:r>
            <w:r w:rsidR="00E81392" w:rsidRPr="000876AA">
              <w:rPr>
                <w:rFonts w:ascii="Arial" w:eastAsia="Calibri" w:hAnsi="Arial" w:cs="Arial"/>
                <w:sz w:val="16"/>
                <w:szCs w:val="18"/>
              </w:rPr>
              <w:t>6</w:t>
            </w:r>
            <w:r w:rsidRPr="000876AA">
              <w:rPr>
                <w:rFonts w:ascii="Arial" w:eastAsia="Calibri" w:hAnsi="Arial" w:cs="Arial"/>
                <w:sz w:val="16"/>
                <w:szCs w:val="18"/>
              </w:rPr>
              <w:t>.</w:t>
            </w:r>
            <w:r w:rsidR="00E81392" w:rsidRPr="000876AA">
              <w:rPr>
                <w:rFonts w:ascii="Arial" w:eastAsia="Calibri" w:hAnsi="Arial" w:cs="Arial"/>
                <w:sz w:val="16"/>
                <w:szCs w:val="18"/>
              </w:rPr>
              <w:t>5</w:t>
            </w:r>
            <w:r w:rsidRPr="000876AA">
              <w:rPr>
                <w:rFonts w:ascii="Arial" w:eastAsia="Calibri" w:hAnsi="Arial" w:cs="Arial"/>
                <w:sz w:val="16"/>
                <w:szCs w:val="18"/>
              </w:rPr>
              <w:t xml:space="preserve">%, se </w:t>
            </w:r>
            <w:r w:rsidR="00E81392" w:rsidRPr="000876AA">
              <w:rPr>
                <w:rFonts w:ascii="Arial" w:eastAsia="Calibri" w:hAnsi="Arial" w:cs="Arial"/>
                <w:sz w:val="16"/>
                <w:szCs w:val="18"/>
              </w:rPr>
              <w:t xml:space="preserve">aumentó </w:t>
            </w:r>
            <w:r w:rsidRPr="000876AA">
              <w:rPr>
                <w:rFonts w:ascii="Arial" w:eastAsia="Calibri" w:hAnsi="Arial" w:cs="Arial"/>
                <w:sz w:val="16"/>
                <w:szCs w:val="18"/>
              </w:rPr>
              <w:t xml:space="preserve">la ejecución en </w:t>
            </w:r>
            <w:r w:rsidR="00E81392" w:rsidRPr="000876AA">
              <w:rPr>
                <w:rFonts w:ascii="Arial" w:eastAsia="Calibri" w:hAnsi="Arial" w:cs="Arial"/>
                <w:sz w:val="16"/>
                <w:szCs w:val="18"/>
              </w:rPr>
              <w:t>1</w:t>
            </w:r>
            <w:r w:rsidRPr="000876AA">
              <w:rPr>
                <w:rFonts w:ascii="Arial" w:eastAsia="Calibri" w:hAnsi="Arial" w:cs="Arial"/>
                <w:sz w:val="16"/>
                <w:szCs w:val="18"/>
              </w:rPr>
              <w:t>.</w:t>
            </w:r>
            <w:r w:rsidR="00E81392" w:rsidRPr="000876AA">
              <w:rPr>
                <w:rFonts w:ascii="Arial" w:eastAsia="Calibri" w:hAnsi="Arial" w:cs="Arial"/>
                <w:sz w:val="16"/>
                <w:szCs w:val="18"/>
              </w:rPr>
              <w:t>1</w:t>
            </w:r>
            <w:r w:rsidRPr="000876AA">
              <w:rPr>
                <w:rFonts w:ascii="Arial" w:eastAsia="Calibri" w:hAnsi="Arial" w:cs="Arial"/>
                <w:sz w:val="16"/>
                <w:szCs w:val="18"/>
              </w:rPr>
              <w:t>%</w:t>
            </w:r>
            <w:r w:rsidR="00E81392" w:rsidRPr="000876AA">
              <w:rPr>
                <w:rFonts w:ascii="Arial" w:eastAsia="Calibri" w:hAnsi="Arial" w:cs="Arial"/>
                <w:sz w:val="16"/>
                <w:szCs w:val="18"/>
              </w:rPr>
              <w:t>.</w:t>
            </w:r>
          </w:p>
        </w:tc>
      </w:tr>
      <w:bookmarkEnd w:id="2"/>
    </w:tbl>
    <w:p w14:paraId="3CF18984" w14:textId="4B88538D" w:rsidR="000E4C9E" w:rsidRDefault="000E4C9E" w:rsidP="001D2ECE">
      <w:pPr>
        <w:rPr>
          <w:rFonts w:ascii="Arial" w:hAnsi="Arial" w:cs="Arial"/>
          <w:sz w:val="22"/>
          <w:szCs w:val="22"/>
        </w:rPr>
      </w:pPr>
    </w:p>
    <w:p w14:paraId="47FA237C" w14:textId="77777777" w:rsidR="00845C23" w:rsidRPr="000876AA" w:rsidRDefault="00845C23" w:rsidP="001D2ECE">
      <w:pPr>
        <w:rPr>
          <w:rFonts w:ascii="Arial" w:hAnsi="Arial" w:cs="Arial"/>
          <w:sz w:val="22"/>
          <w:szCs w:val="22"/>
        </w:rPr>
      </w:pPr>
    </w:p>
    <w:p w14:paraId="1935611A" w14:textId="77777777" w:rsidR="0025037C" w:rsidRPr="000876AA" w:rsidRDefault="000E4C9E" w:rsidP="00AD15F9">
      <w:pPr>
        <w:numPr>
          <w:ilvl w:val="0"/>
          <w:numId w:val="31"/>
        </w:numPr>
        <w:jc w:val="both"/>
        <w:rPr>
          <w:rFonts w:ascii="Arial" w:hAnsi="Arial" w:cs="Arial"/>
          <w:b/>
          <w:color w:val="A6A6A6"/>
          <w:sz w:val="22"/>
          <w:szCs w:val="22"/>
        </w:rPr>
      </w:pPr>
      <w:bookmarkStart w:id="3" w:name="_Hlk57697604"/>
      <w:bookmarkEnd w:id="1"/>
      <w:r w:rsidRPr="000876AA">
        <w:rPr>
          <w:rFonts w:ascii="Arial" w:hAnsi="Arial" w:cs="Arial"/>
          <w:b/>
          <w:sz w:val="22"/>
          <w:szCs w:val="22"/>
        </w:rPr>
        <w:t>SALIDAS NO CONFORMES</w:t>
      </w:r>
      <w:r w:rsidR="000037CB" w:rsidRPr="000876AA">
        <w:rPr>
          <w:rFonts w:ascii="Arial" w:hAnsi="Arial" w:cs="Arial"/>
          <w:b/>
          <w:sz w:val="22"/>
          <w:szCs w:val="22"/>
        </w:rPr>
        <w:t xml:space="preserve"> Y ACCIONES CORRECTIVAS</w:t>
      </w:r>
    </w:p>
    <w:p w14:paraId="2FDAD53F" w14:textId="77777777" w:rsidR="007A0BF3" w:rsidRPr="000876AA" w:rsidRDefault="007A0BF3" w:rsidP="007A0BF3">
      <w:pPr>
        <w:pStyle w:val="Prrafodelista"/>
        <w:tabs>
          <w:tab w:val="center" w:pos="4536"/>
        </w:tabs>
        <w:spacing w:after="0" w:line="240" w:lineRule="auto"/>
        <w:ind w:left="0"/>
        <w:contextualSpacing w:val="0"/>
        <w:jc w:val="both"/>
        <w:rPr>
          <w:rFonts w:ascii="Arial" w:hAnsi="Arial" w:cs="Arial"/>
          <w:bCs/>
          <w:color w:val="000000"/>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400"/>
        <w:gridCol w:w="1242"/>
        <w:gridCol w:w="4587"/>
        <w:gridCol w:w="1242"/>
        <w:gridCol w:w="1493"/>
      </w:tblGrid>
      <w:tr w:rsidR="0079793C" w:rsidRPr="000876AA" w14:paraId="55E7560C" w14:textId="77777777" w:rsidTr="009236EA">
        <w:trPr>
          <w:trHeight w:val="20"/>
          <w:tblHeader/>
          <w:jc w:val="center"/>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EDEDED"/>
            <w:vAlign w:val="center"/>
          </w:tcPr>
          <w:p w14:paraId="0068F764" w14:textId="77777777" w:rsidR="0079793C" w:rsidRPr="000876AA" w:rsidRDefault="0079793C" w:rsidP="001D2ECE">
            <w:pPr>
              <w:tabs>
                <w:tab w:val="center" w:pos="4536"/>
              </w:tabs>
              <w:jc w:val="center"/>
              <w:rPr>
                <w:rFonts w:ascii="Arial" w:eastAsia="Calibri" w:hAnsi="Arial" w:cs="Arial"/>
                <w:b/>
                <w:sz w:val="16"/>
                <w:szCs w:val="16"/>
              </w:rPr>
            </w:pPr>
            <w:bookmarkStart w:id="4" w:name="_Hlk57697497"/>
            <w:bookmarkEnd w:id="3"/>
            <w:r w:rsidRPr="000876AA">
              <w:rPr>
                <w:rFonts w:ascii="Arial" w:eastAsia="Calibri" w:hAnsi="Arial" w:cs="Arial"/>
                <w:b/>
                <w:sz w:val="16"/>
                <w:szCs w:val="16"/>
              </w:rPr>
              <w:t>N</w:t>
            </w:r>
            <w:r w:rsidR="007A0BF3" w:rsidRPr="000876AA">
              <w:rPr>
                <w:rFonts w:ascii="Arial" w:eastAsia="Calibri" w:hAnsi="Arial" w:cs="Arial"/>
                <w:b/>
                <w:sz w:val="16"/>
                <w:szCs w:val="16"/>
              </w:rPr>
              <w:t>Ú</w:t>
            </w:r>
            <w:r w:rsidRPr="000876AA">
              <w:rPr>
                <w:rFonts w:ascii="Arial" w:eastAsia="Calibri" w:hAnsi="Arial" w:cs="Arial"/>
                <w:b/>
                <w:sz w:val="16"/>
                <w:szCs w:val="16"/>
              </w:rPr>
              <w:t xml:space="preserve">MERO DE SALIDAS NO CONFORMES REGISTRADAS EN EL FORMATO IDENTIFICACIÓN DE </w:t>
            </w:r>
            <w:r w:rsidR="007A0BF3" w:rsidRPr="000876AA">
              <w:rPr>
                <w:rFonts w:ascii="Arial" w:eastAsia="Calibri" w:hAnsi="Arial" w:cs="Arial"/>
                <w:b/>
                <w:sz w:val="16"/>
                <w:szCs w:val="16"/>
              </w:rPr>
              <w:t xml:space="preserve">SALIDAS </w:t>
            </w:r>
            <w:r w:rsidRPr="000876AA">
              <w:rPr>
                <w:rFonts w:ascii="Arial" w:eastAsia="Calibri" w:hAnsi="Arial" w:cs="Arial"/>
                <w:b/>
                <w:sz w:val="16"/>
                <w:szCs w:val="16"/>
              </w:rPr>
              <w:t>NO CONFORME</w:t>
            </w:r>
            <w:r w:rsidR="007A0BF3" w:rsidRPr="000876AA">
              <w:rPr>
                <w:rFonts w:ascii="Arial" w:eastAsia="Calibri" w:hAnsi="Arial" w:cs="Arial"/>
                <w:b/>
                <w:sz w:val="16"/>
                <w:szCs w:val="16"/>
              </w:rPr>
              <w:t>S</w:t>
            </w:r>
          </w:p>
        </w:tc>
      </w:tr>
      <w:tr w:rsidR="0079793C" w:rsidRPr="000876AA" w14:paraId="066D323F" w14:textId="77777777" w:rsidTr="009236EA">
        <w:trPr>
          <w:trHeight w:val="20"/>
          <w:tblHeader/>
          <w:jc w:val="center"/>
        </w:trPr>
        <w:tc>
          <w:tcPr>
            <w:tcW w:w="703" w:type="pct"/>
            <w:tcBorders>
              <w:top w:val="single" w:sz="4" w:space="0" w:color="000000"/>
              <w:left w:val="single" w:sz="4" w:space="0" w:color="000000"/>
              <w:right w:val="single" w:sz="4" w:space="0" w:color="000000"/>
            </w:tcBorders>
            <w:shd w:val="clear" w:color="auto" w:fill="EDEDED"/>
            <w:vAlign w:val="center"/>
          </w:tcPr>
          <w:p w14:paraId="26DCF656" w14:textId="77777777" w:rsidR="0079793C" w:rsidRPr="000876AA" w:rsidRDefault="0079793C" w:rsidP="007A0BF3">
            <w:pPr>
              <w:tabs>
                <w:tab w:val="center" w:pos="4536"/>
              </w:tabs>
              <w:jc w:val="center"/>
              <w:rPr>
                <w:rFonts w:ascii="Arial" w:eastAsia="Calibri" w:hAnsi="Arial" w:cs="Arial"/>
                <w:b/>
                <w:sz w:val="18"/>
                <w:szCs w:val="18"/>
              </w:rPr>
            </w:pPr>
            <w:r w:rsidRPr="000876AA">
              <w:rPr>
                <w:rFonts w:ascii="Arial" w:eastAsia="Calibri" w:hAnsi="Arial" w:cs="Arial"/>
                <w:b/>
                <w:sz w:val="18"/>
                <w:szCs w:val="18"/>
              </w:rPr>
              <w:t>Proceso</w:t>
            </w:r>
          </w:p>
        </w:tc>
        <w:tc>
          <w:tcPr>
            <w:tcW w:w="623"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05E2F94B" w14:textId="77777777" w:rsidR="0079793C" w:rsidRPr="000876AA" w:rsidRDefault="001228B3" w:rsidP="007A0BF3">
            <w:pPr>
              <w:tabs>
                <w:tab w:val="center" w:pos="4536"/>
              </w:tabs>
              <w:jc w:val="center"/>
              <w:rPr>
                <w:rFonts w:ascii="Arial" w:eastAsia="Calibri" w:hAnsi="Arial" w:cs="Arial"/>
                <w:b/>
                <w:sz w:val="18"/>
                <w:szCs w:val="18"/>
              </w:rPr>
            </w:pPr>
            <w:r w:rsidRPr="000876AA">
              <w:rPr>
                <w:rFonts w:ascii="Arial" w:eastAsia="Calibri" w:hAnsi="Arial" w:cs="Arial"/>
                <w:b/>
                <w:sz w:val="18"/>
                <w:szCs w:val="18"/>
              </w:rPr>
              <w:t>N</w:t>
            </w:r>
            <w:r w:rsidR="007A0BF3" w:rsidRPr="000876AA">
              <w:rPr>
                <w:rFonts w:ascii="Arial" w:eastAsia="Calibri" w:hAnsi="Arial" w:cs="Arial"/>
                <w:b/>
                <w:sz w:val="18"/>
                <w:szCs w:val="18"/>
              </w:rPr>
              <w:t xml:space="preserve">o. </w:t>
            </w:r>
            <w:r w:rsidRPr="000876AA">
              <w:rPr>
                <w:rFonts w:ascii="Arial" w:eastAsia="Calibri" w:hAnsi="Arial" w:cs="Arial"/>
                <w:b/>
                <w:sz w:val="18"/>
                <w:szCs w:val="18"/>
              </w:rPr>
              <w:t>de Salida</w:t>
            </w:r>
            <w:r w:rsidR="00167B98" w:rsidRPr="000876AA">
              <w:rPr>
                <w:rFonts w:ascii="Arial" w:eastAsia="Calibri" w:hAnsi="Arial" w:cs="Arial"/>
                <w:b/>
                <w:sz w:val="18"/>
                <w:szCs w:val="18"/>
              </w:rPr>
              <w:t>s</w:t>
            </w:r>
            <w:r w:rsidRPr="000876AA">
              <w:rPr>
                <w:rFonts w:ascii="Arial" w:eastAsia="Calibri" w:hAnsi="Arial" w:cs="Arial"/>
                <w:b/>
                <w:sz w:val="18"/>
                <w:szCs w:val="18"/>
              </w:rPr>
              <w:t xml:space="preserve"> No</w:t>
            </w:r>
            <w:r w:rsidR="0079793C" w:rsidRPr="000876AA">
              <w:rPr>
                <w:rFonts w:ascii="Arial" w:eastAsia="Calibri" w:hAnsi="Arial" w:cs="Arial"/>
                <w:b/>
                <w:sz w:val="18"/>
                <w:szCs w:val="18"/>
              </w:rPr>
              <w:t xml:space="preserve"> Conforme</w:t>
            </w:r>
            <w:r w:rsidRPr="000876AA">
              <w:rPr>
                <w:rFonts w:ascii="Arial" w:eastAsia="Calibri" w:hAnsi="Arial" w:cs="Arial"/>
                <w:b/>
                <w:sz w:val="18"/>
                <w:szCs w:val="18"/>
              </w:rPr>
              <w:t>s</w:t>
            </w:r>
          </w:p>
        </w:tc>
        <w:tc>
          <w:tcPr>
            <w:tcW w:w="2302"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6F8260A0" w14:textId="77777777" w:rsidR="0079793C" w:rsidRPr="000876AA" w:rsidRDefault="0079793C" w:rsidP="007A0BF3">
            <w:pPr>
              <w:tabs>
                <w:tab w:val="center" w:pos="4536"/>
              </w:tabs>
              <w:jc w:val="center"/>
              <w:rPr>
                <w:rFonts w:ascii="Arial" w:eastAsia="Calibri" w:hAnsi="Arial" w:cs="Arial"/>
                <w:b/>
                <w:sz w:val="18"/>
                <w:szCs w:val="18"/>
              </w:rPr>
            </w:pPr>
            <w:r w:rsidRPr="000876AA">
              <w:rPr>
                <w:rFonts w:ascii="Arial" w:eastAsia="Calibri" w:hAnsi="Arial" w:cs="Arial"/>
                <w:b/>
                <w:sz w:val="18"/>
                <w:szCs w:val="18"/>
              </w:rPr>
              <w:t>Análisis</w:t>
            </w:r>
          </w:p>
        </w:tc>
        <w:tc>
          <w:tcPr>
            <w:tcW w:w="623"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77C1C4AC" w14:textId="77777777" w:rsidR="0079793C" w:rsidRPr="000876AA" w:rsidRDefault="0079793C" w:rsidP="007A0BF3">
            <w:pPr>
              <w:tabs>
                <w:tab w:val="center" w:pos="4536"/>
              </w:tabs>
              <w:jc w:val="center"/>
              <w:rPr>
                <w:rFonts w:ascii="Arial" w:eastAsia="Calibri" w:hAnsi="Arial" w:cs="Arial"/>
                <w:b/>
                <w:sz w:val="18"/>
                <w:szCs w:val="18"/>
              </w:rPr>
            </w:pPr>
            <w:r w:rsidRPr="000876AA">
              <w:rPr>
                <w:rFonts w:ascii="Arial" w:eastAsia="Calibri" w:hAnsi="Arial" w:cs="Arial"/>
                <w:b/>
                <w:sz w:val="18"/>
                <w:szCs w:val="18"/>
              </w:rPr>
              <w:t>Corrección</w:t>
            </w:r>
          </w:p>
        </w:tc>
        <w:tc>
          <w:tcPr>
            <w:tcW w:w="749" w:type="pct"/>
            <w:tcBorders>
              <w:top w:val="single" w:sz="4" w:space="0" w:color="000000"/>
              <w:left w:val="single" w:sz="4" w:space="0" w:color="000000"/>
              <w:bottom w:val="single" w:sz="4" w:space="0" w:color="000000"/>
              <w:right w:val="single" w:sz="4" w:space="0" w:color="000000"/>
            </w:tcBorders>
            <w:shd w:val="clear" w:color="auto" w:fill="EDEDED"/>
            <w:vAlign w:val="center"/>
          </w:tcPr>
          <w:p w14:paraId="5FA2DFB6" w14:textId="77777777" w:rsidR="0079793C" w:rsidRPr="000876AA" w:rsidRDefault="0079793C" w:rsidP="007A0BF3">
            <w:pPr>
              <w:tabs>
                <w:tab w:val="center" w:pos="4536"/>
              </w:tabs>
              <w:jc w:val="center"/>
              <w:rPr>
                <w:rFonts w:ascii="Arial" w:eastAsia="Calibri" w:hAnsi="Arial" w:cs="Arial"/>
                <w:b/>
                <w:sz w:val="18"/>
                <w:szCs w:val="18"/>
              </w:rPr>
            </w:pPr>
            <w:r w:rsidRPr="000876AA">
              <w:rPr>
                <w:rFonts w:ascii="Arial" w:eastAsia="Calibri" w:hAnsi="Arial" w:cs="Arial"/>
                <w:b/>
                <w:sz w:val="18"/>
                <w:szCs w:val="18"/>
              </w:rPr>
              <w:t>Acción Correctiva</w:t>
            </w:r>
          </w:p>
        </w:tc>
      </w:tr>
      <w:tr w:rsidR="0079793C" w:rsidRPr="000876AA" w14:paraId="72B4A1AE" w14:textId="77777777" w:rsidTr="009236EA">
        <w:trPr>
          <w:trHeight w:val="20"/>
          <w:jc w:val="center"/>
        </w:trPr>
        <w:tc>
          <w:tcPr>
            <w:tcW w:w="703" w:type="pct"/>
            <w:tcBorders>
              <w:top w:val="single" w:sz="4" w:space="0" w:color="auto"/>
              <w:left w:val="single" w:sz="4" w:space="0" w:color="000000"/>
              <w:bottom w:val="single" w:sz="4" w:space="0" w:color="auto"/>
              <w:right w:val="single" w:sz="4" w:space="0" w:color="auto"/>
            </w:tcBorders>
            <w:vAlign w:val="center"/>
          </w:tcPr>
          <w:p w14:paraId="262D484C" w14:textId="4C1B44A0" w:rsidR="0079793C" w:rsidRPr="000876AA" w:rsidRDefault="00CA664D" w:rsidP="0066692A">
            <w:pPr>
              <w:tabs>
                <w:tab w:val="center" w:pos="4536"/>
              </w:tabs>
              <w:jc w:val="center"/>
              <w:rPr>
                <w:rFonts w:ascii="Arial" w:hAnsi="Arial" w:cs="Arial"/>
                <w:bCs/>
                <w:sz w:val="18"/>
                <w:szCs w:val="18"/>
              </w:rPr>
            </w:pPr>
            <w:r w:rsidRPr="000876AA">
              <w:rPr>
                <w:rFonts w:ascii="Arial" w:eastAsia="Calibri" w:hAnsi="Arial" w:cs="Arial"/>
                <w:bCs/>
                <w:sz w:val="16"/>
                <w:szCs w:val="18"/>
              </w:rPr>
              <w:t>Gestión Financiera y Presupuestal</w:t>
            </w:r>
          </w:p>
        </w:tc>
        <w:tc>
          <w:tcPr>
            <w:tcW w:w="623" w:type="pct"/>
            <w:tcBorders>
              <w:top w:val="single" w:sz="4" w:space="0" w:color="auto"/>
              <w:left w:val="single" w:sz="4" w:space="0" w:color="000000"/>
              <w:bottom w:val="single" w:sz="4" w:space="0" w:color="auto"/>
              <w:right w:val="single" w:sz="4" w:space="0" w:color="000000"/>
            </w:tcBorders>
            <w:vAlign w:val="center"/>
          </w:tcPr>
          <w:p w14:paraId="323B41EF" w14:textId="54959E4C" w:rsidR="0079793C" w:rsidRPr="000876AA" w:rsidRDefault="00292C27" w:rsidP="00292C27">
            <w:pPr>
              <w:tabs>
                <w:tab w:val="center" w:pos="4536"/>
              </w:tabs>
              <w:jc w:val="center"/>
              <w:rPr>
                <w:rFonts w:ascii="Arial" w:hAnsi="Arial" w:cs="Arial"/>
                <w:sz w:val="18"/>
                <w:szCs w:val="18"/>
              </w:rPr>
            </w:pPr>
            <w:r w:rsidRPr="000876AA">
              <w:rPr>
                <w:rFonts w:ascii="Arial" w:hAnsi="Arial" w:cs="Arial"/>
                <w:sz w:val="18"/>
                <w:szCs w:val="18"/>
              </w:rPr>
              <w:t>N/A</w:t>
            </w:r>
          </w:p>
        </w:tc>
        <w:tc>
          <w:tcPr>
            <w:tcW w:w="2302" w:type="pct"/>
            <w:tcBorders>
              <w:top w:val="single" w:sz="4" w:space="0" w:color="auto"/>
              <w:left w:val="single" w:sz="4" w:space="0" w:color="000000"/>
              <w:bottom w:val="single" w:sz="4" w:space="0" w:color="auto"/>
              <w:right w:val="single" w:sz="4" w:space="0" w:color="000000"/>
            </w:tcBorders>
            <w:vAlign w:val="center"/>
          </w:tcPr>
          <w:p w14:paraId="265D3BC0" w14:textId="75D94EDC" w:rsidR="0079793C" w:rsidRPr="000876AA" w:rsidRDefault="00292C27" w:rsidP="001D2ECE">
            <w:pPr>
              <w:tabs>
                <w:tab w:val="center" w:pos="4536"/>
              </w:tabs>
              <w:jc w:val="both"/>
              <w:rPr>
                <w:rFonts w:ascii="Arial" w:hAnsi="Arial" w:cs="Arial"/>
                <w:sz w:val="18"/>
                <w:szCs w:val="18"/>
              </w:rPr>
            </w:pPr>
            <w:r w:rsidRPr="000876AA">
              <w:rPr>
                <w:rFonts w:ascii="Arial" w:hAnsi="Arial" w:cs="Arial"/>
                <w:sz w:val="18"/>
                <w:szCs w:val="18"/>
              </w:rPr>
              <w:t xml:space="preserve">No </w:t>
            </w:r>
            <w:r w:rsidR="00CA664D" w:rsidRPr="000876AA">
              <w:rPr>
                <w:rFonts w:ascii="Arial" w:hAnsi="Arial" w:cs="Arial"/>
                <w:sz w:val="18"/>
                <w:szCs w:val="18"/>
              </w:rPr>
              <w:t>aplica para el proceso.</w:t>
            </w:r>
          </w:p>
        </w:tc>
        <w:tc>
          <w:tcPr>
            <w:tcW w:w="623" w:type="pct"/>
            <w:tcBorders>
              <w:top w:val="single" w:sz="4" w:space="0" w:color="auto"/>
              <w:left w:val="single" w:sz="4" w:space="0" w:color="000000"/>
              <w:bottom w:val="single" w:sz="4" w:space="0" w:color="auto"/>
              <w:right w:val="single" w:sz="4" w:space="0" w:color="000000"/>
            </w:tcBorders>
            <w:vAlign w:val="center"/>
          </w:tcPr>
          <w:p w14:paraId="61CA0AFE" w14:textId="1A6A55F7" w:rsidR="00473435" w:rsidRPr="000876AA" w:rsidRDefault="00292C27" w:rsidP="00292C27">
            <w:pPr>
              <w:tabs>
                <w:tab w:val="center" w:pos="4536"/>
              </w:tabs>
              <w:jc w:val="center"/>
              <w:rPr>
                <w:rFonts w:ascii="Arial" w:hAnsi="Arial" w:cs="Arial"/>
                <w:sz w:val="18"/>
                <w:szCs w:val="18"/>
              </w:rPr>
            </w:pPr>
            <w:r w:rsidRPr="000876AA">
              <w:rPr>
                <w:rFonts w:ascii="Arial" w:hAnsi="Arial" w:cs="Arial"/>
                <w:sz w:val="18"/>
                <w:szCs w:val="18"/>
              </w:rPr>
              <w:t>N/A</w:t>
            </w:r>
          </w:p>
        </w:tc>
        <w:tc>
          <w:tcPr>
            <w:tcW w:w="749" w:type="pct"/>
            <w:tcBorders>
              <w:top w:val="single" w:sz="4" w:space="0" w:color="auto"/>
              <w:left w:val="single" w:sz="4" w:space="0" w:color="000000"/>
              <w:bottom w:val="single" w:sz="4" w:space="0" w:color="auto"/>
              <w:right w:val="single" w:sz="4" w:space="0" w:color="000000"/>
            </w:tcBorders>
            <w:vAlign w:val="center"/>
          </w:tcPr>
          <w:p w14:paraId="1F148EBD" w14:textId="3C789A97" w:rsidR="00A957FC" w:rsidRPr="000876AA" w:rsidRDefault="00292C27" w:rsidP="00292C27">
            <w:pPr>
              <w:tabs>
                <w:tab w:val="center" w:pos="4536"/>
              </w:tabs>
              <w:jc w:val="center"/>
              <w:rPr>
                <w:rFonts w:ascii="Arial" w:hAnsi="Arial" w:cs="Arial"/>
                <w:sz w:val="18"/>
                <w:szCs w:val="18"/>
              </w:rPr>
            </w:pPr>
            <w:r w:rsidRPr="000876AA">
              <w:rPr>
                <w:rFonts w:ascii="Arial" w:hAnsi="Arial" w:cs="Arial"/>
                <w:sz w:val="18"/>
                <w:szCs w:val="18"/>
              </w:rPr>
              <w:t>N/A</w:t>
            </w:r>
          </w:p>
        </w:tc>
      </w:tr>
      <w:bookmarkEnd w:id="4"/>
    </w:tbl>
    <w:p w14:paraId="2CE7E3F5" w14:textId="3A8659C4" w:rsidR="00503B28" w:rsidRDefault="00503B28" w:rsidP="009236EA">
      <w:pPr>
        <w:pStyle w:val="Prrafodelista"/>
        <w:tabs>
          <w:tab w:val="center" w:pos="4536"/>
        </w:tabs>
        <w:spacing w:after="0" w:line="240" w:lineRule="auto"/>
        <w:ind w:left="0"/>
        <w:contextualSpacing w:val="0"/>
        <w:jc w:val="both"/>
        <w:rPr>
          <w:rFonts w:ascii="Arial" w:hAnsi="Arial" w:cs="Arial"/>
        </w:rPr>
      </w:pPr>
    </w:p>
    <w:p w14:paraId="4F2E89D8" w14:textId="77777777" w:rsidR="00845C23" w:rsidRPr="000876AA" w:rsidRDefault="00845C23" w:rsidP="009236EA">
      <w:pPr>
        <w:pStyle w:val="Prrafodelista"/>
        <w:tabs>
          <w:tab w:val="center" w:pos="4536"/>
        </w:tabs>
        <w:spacing w:after="0" w:line="240" w:lineRule="auto"/>
        <w:ind w:left="0"/>
        <w:contextualSpacing w:val="0"/>
        <w:jc w:val="both"/>
        <w:rPr>
          <w:rFonts w:ascii="Arial" w:hAnsi="Arial" w:cs="Arial"/>
        </w:rPr>
      </w:pPr>
    </w:p>
    <w:p w14:paraId="4E93D6C3" w14:textId="77777777" w:rsidR="00B923D0" w:rsidRPr="000876AA" w:rsidRDefault="002016AA" w:rsidP="00AD15F9">
      <w:pPr>
        <w:numPr>
          <w:ilvl w:val="0"/>
          <w:numId w:val="31"/>
        </w:numPr>
        <w:jc w:val="both"/>
        <w:rPr>
          <w:rFonts w:ascii="Arial" w:hAnsi="Arial" w:cs="Arial"/>
          <w:b/>
          <w:sz w:val="22"/>
          <w:szCs w:val="22"/>
          <w:lang w:val="es-ES"/>
        </w:rPr>
      </w:pPr>
      <w:bookmarkStart w:id="5" w:name="_Hlk64560920"/>
      <w:r w:rsidRPr="000876AA">
        <w:rPr>
          <w:rFonts w:ascii="Arial" w:hAnsi="Arial" w:cs="Arial"/>
          <w:b/>
          <w:sz w:val="22"/>
          <w:szCs w:val="22"/>
          <w:lang w:val="es-ES"/>
        </w:rPr>
        <w:t>RESULTADO DE SEGUIMIENTO Y MEDICIÓN (</w:t>
      </w:r>
      <w:r w:rsidR="00380F96" w:rsidRPr="000876AA">
        <w:rPr>
          <w:rFonts w:ascii="Arial" w:hAnsi="Arial" w:cs="Arial"/>
          <w:b/>
          <w:sz w:val="22"/>
          <w:szCs w:val="22"/>
          <w:lang w:val="es-ES"/>
        </w:rPr>
        <w:t xml:space="preserve">Especifique los resultados por cada proceso </w:t>
      </w:r>
      <w:r w:rsidRPr="000876AA">
        <w:rPr>
          <w:rFonts w:ascii="Arial" w:hAnsi="Arial" w:cs="Arial"/>
          <w:b/>
          <w:sz w:val="22"/>
          <w:szCs w:val="22"/>
          <w:lang w:val="es-ES"/>
        </w:rPr>
        <w:t>por proces</w:t>
      </w:r>
      <w:r w:rsidR="00380F96" w:rsidRPr="000876AA">
        <w:rPr>
          <w:rFonts w:ascii="Arial" w:hAnsi="Arial" w:cs="Arial"/>
          <w:b/>
          <w:sz w:val="22"/>
          <w:szCs w:val="22"/>
          <w:lang w:val="es-ES"/>
        </w:rPr>
        <w:t>os, con barras, estadísticas, diagramas, gráficos</w:t>
      </w:r>
      <w:r w:rsidRPr="000876AA">
        <w:rPr>
          <w:rFonts w:ascii="Arial" w:hAnsi="Arial" w:cs="Arial"/>
          <w:b/>
          <w:sz w:val="22"/>
          <w:szCs w:val="22"/>
          <w:lang w:val="es-ES"/>
        </w:rPr>
        <w:t>)</w:t>
      </w:r>
    </w:p>
    <w:bookmarkEnd w:id="5"/>
    <w:p w14:paraId="18A2D507" w14:textId="14592A05" w:rsidR="00384660" w:rsidRPr="000876AA" w:rsidRDefault="00384660" w:rsidP="00E70042">
      <w:pPr>
        <w:jc w:val="both"/>
        <w:rPr>
          <w:rFonts w:ascii="Arial" w:eastAsia="Calibri" w:hAnsi="Arial" w:cs="Arial"/>
          <w:sz w:val="22"/>
          <w:szCs w:val="22"/>
        </w:rPr>
      </w:pPr>
    </w:p>
    <w:p w14:paraId="1EEDB2AA" w14:textId="22D1FABB" w:rsidR="00E70042" w:rsidRPr="000876AA" w:rsidRDefault="00E70042" w:rsidP="00505796">
      <w:pPr>
        <w:jc w:val="both"/>
        <w:rPr>
          <w:rFonts w:ascii="Arial" w:hAnsi="Arial" w:cs="Arial"/>
          <w:sz w:val="18"/>
          <w:szCs w:val="18"/>
          <w:lang w:val="es-ES"/>
        </w:rPr>
      </w:pPr>
      <w:r w:rsidRPr="000876AA">
        <w:rPr>
          <w:rFonts w:ascii="Arial" w:hAnsi="Arial" w:cs="Arial"/>
          <w:sz w:val="18"/>
          <w:szCs w:val="18"/>
          <w:lang w:val="es-ES"/>
        </w:rPr>
        <w:t>El presupuesto definitivo de la Rama Judicial para la vigencia 2022 fue de $6.097.935 millones cuya financiación se presenta en la siguiente tabla:</w:t>
      </w:r>
    </w:p>
    <w:p w14:paraId="553F024C" w14:textId="77777777" w:rsidR="00505796" w:rsidRPr="000876AA" w:rsidRDefault="00505796" w:rsidP="00505796">
      <w:pPr>
        <w:jc w:val="both"/>
        <w:rPr>
          <w:rFonts w:ascii="Arial" w:hAnsi="Arial" w:cs="Arial"/>
          <w:sz w:val="18"/>
          <w:szCs w:val="18"/>
          <w:lang w:val="es-ES"/>
        </w:rPr>
      </w:pPr>
    </w:p>
    <w:p w14:paraId="1FEBF67B" w14:textId="6BE788DB" w:rsidR="00E70042" w:rsidRPr="000876AA" w:rsidRDefault="00E70042" w:rsidP="00505796">
      <w:pPr>
        <w:pStyle w:val="Descripcin"/>
        <w:jc w:val="center"/>
        <w:rPr>
          <w:rFonts w:ascii="Arial" w:eastAsia="Arial" w:hAnsi="Arial" w:cs="Arial"/>
          <w:i/>
          <w:iCs/>
          <w:sz w:val="18"/>
          <w:szCs w:val="18"/>
        </w:rPr>
      </w:pPr>
      <w:bookmarkStart w:id="6" w:name="_Toc127962538"/>
      <w:r w:rsidRPr="000876AA">
        <w:rPr>
          <w:rFonts w:ascii="Arial" w:hAnsi="Arial" w:cs="Arial"/>
          <w:sz w:val="18"/>
          <w:szCs w:val="18"/>
        </w:rPr>
        <w:t xml:space="preserve">Tabla </w:t>
      </w:r>
      <w:r w:rsidR="005C7116" w:rsidRPr="000876AA">
        <w:rPr>
          <w:rFonts w:ascii="Arial" w:hAnsi="Arial" w:cs="Arial"/>
          <w:b w:val="0"/>
          <w:bCs w:val="0"/>
          <w:i/>
          <w:iCs/>
          <w:sz w:val="18"/>
          <w:szCs w:val="18"/>
        </w:rPr>
        <w:t>01</w:t>
      </w:r>
      <w:r w:rsidRPr="000876AA">
        <w:rPr>
          <w:rFonts w:ascii="Arial" w:hAnsi="Arial" w:cs="Arial"/>
          <w:sz w:val="18"/>
          <w:szCs w:val="18"/>
        </w:rPr>
        <w:t>. Financiación del presupuesto de la Rama Judicial 2022 (Cifras en millones de pesos)</w:t>
      </w:r>
      <w:bookmarkEnd w:id="6"/>
    </w:p>
    <w:tbl>
      <w:tblPr>
        <w:tblW w:w="0" w:type="auto"/>
        <w:jc w:val="center"/>
        <w:tblCellMar>
          <w:left w:w="70" w:type="dxa"/>
          <w:right w:w="70" w:type="dxa"/>
        </w:tblCellMar>
        <w:tblLook w:val="04A0" w:firstRow="1" w:lastRow="0" w:firstColumn="1" w:lastColumn="0" w:noHBand="0" w:noVBand="1"/>
      </w:tblPr>
      <w:tblGrid>
        <w:gridCol w:w="3235"/>
        <w:gridCol w:w="2141"/>
        <w:gridCol w:w="1447"/>
        <w:gridCol w:w="1598"/>
      </w:tblGrid>
      <w:tr w:rsidR="00E70042" w:rsidRPr="000876AA" w14:paraId="121D438A" w14:textId="77777777" w:rsidTr="00E70042">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8EAADB" w:themeFill="accent1" w:themeFillTint="99"/>
            <w:vAlign w:val="center"/>
            <w:hideMark/>
          </w:tcPr>
          <w:p w14:paraId="3A5B948A" w14:textId="77777777" w:rsidR="00E70042" w:rsidRPr="000876AA" w:rsidRDefault="00E70042" w:rsidP="00E70042">
            <w:pPr>
              <w:jc w:val="center"/>
              <w:rPr>
                <w:rFonts w:ascii="Arial" w:hAnsi="Arial" w:cs="Arial"/>
                <w:b/>
                <w:bCs/>
                <w:sz w:val="16"/>
                <w:szCs w:val="16"/>
                <w:lang w:eastAsia="es-CO"/>
              </w:rPr>
            </w:pPr>
            <w:r w:rsidRPr="000876AA">
              <w:rPr>
                <w:rFonts w:ascii="Arial" w:hAnsi="Arial" w:cs="Arial"/>
                <w:b/>
                <w:bCs/>
                <w:sz w:val="16"/>
                <w:szCs w:val="16"/>
                <w:lang w:eastAsia="es-CO"/>
              </w:rPr>
              <w:t>CONCEPTO</w:t>
            </w:r>
          </w:p>
        </w:tc>
        <w:tc>
          <w:tcPr>
            <w:tcW w:w="0" w:type="auto"/>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665E5363" w14:textId="77777777" w:rsidR="00E70042" w:rsidRPr="000876AA" w:rsidRDefault="00E70042" w:rsidP="00E70042">
            <w:pPr>
              <w:jc w:val="center"/>
              <w:rPr>
                <w:rFonts w:ascii="Arial" w:hAnsi="Arial" w:cs="Arial"/>
                <w:b/>
                <w:bCs/>
                <w:sz w:val="16"/>
                <w:szCs w:val="16"/>
                <w:lang w:eastAsia="es-CO"/>
              </w:rPr>
            </w:pPr>
            <w:r w:rsidRPr="000876AA">
              <w:rPr>
                <w:rFonts w:ascii="Arial" w:hAnsi="Arial" w:cs="Arial"/>
                <w:b/>
                <w:bCs/>
                <w:sz w:val="16"/>
                <w:szCs w:val="16"/>
                <w:lang w:eastAsia="es-CO"/>
              </w:rPr>
              <w:t xml:space="preserve"> APR. VIGENTE </w:t>
            </w:r>
          </w:p>
        </w:tc>
        <w:tc>
          <w:tcPr>
            <w:tcW w:w="0" w:type="auto"/>
            <w:tcBorders>
              <w:top w:val="single" w:sz="4" w:space="0" w:color="auto"/>
              <w:left w:val="nil"/>
              <w:bottom w:val="single" w:sz="4" w:space="0" w:color="auto"/>
              <w:right w:val="single" w:sz="4" w:space="0" w:color="auto"/>
            </w:tcBorders>
            <w:shd w:val="clear" w:color="auto" w:fill="8EAADB" w:themeFill="accent1" w:themeFillTint="99"/>
            <w:vAlign w:val="bottom"/>
            <w:hideMark/>
          </w:tcPr>
          <w:p w14:paraId="4BB1F453" w14:textId="77777777" w:rsidR="00E70042" w:rsidRPr="000876AA" w:rsidRDefault="00E70042" w:rsidP="00E70042">
            <w:pPr>
              <w:jc w:val="center"/>
              <w:rPr>
                <w:rFonts w:ascii="Arial" w:hAnsi="Arial" w:cs="Arial"/>
                <w:b/>
                <w:bCs/>
                <w:sz w:val="16"/>
                <w:szCs w:val="16"/>
                <w:lang w:eastAsia="es-CO"/>
              </w:rPr>
            </w:pPr>
            <w:r w:rsidRPr="000876AA">
              <w:rPr>
                <w:rFonts w:ascii="Arial" w:hAnsi="Arial" w:cs="Arial"/>
                <w:b/>
                <w:bCs/>
                <w:sz w:val="16"/>
                <w:szCs w:val="16"/>
                <w:lang w:eastAsia="es-CO"/>
              </w:rPr>
              <w:t xml:space="preserve"> PARTICIPACION  </w:t>
            </w:r>
          </w:p>
        </w:tc>
        <w:tc>
          <w:tcPr>
            <w:tcW w:w="0" w:type="auto"/>
            <w:tcBorders>
              <w:top w:val="single" w:sz="4" w:space="0" w:color="auto"/>
              <w:left w:val="nil"/>
              <w:bottom w:val="single" w:sz="4" w:space="0" w:color="auto"/>
              <w:right w:val="single" w:sz="4" w:space="0" w:color="auto"/>
            </w:tcBorders>
            <w:shd w:val="clear" w:color="auto" w:fill="8EAADB" w:themeFill="accent1" w:themeFillTint="99"/>
            <w:vAlign w:val="center"/>
            <w:hideMark/>
          </w:tcPr>
          <w:p w14:paraId="04F6FB8F" w14:textId="77777777" w:rsidR="00E70042" w:rsidRPr="000876AA" w:rsidRDefault="00E70042" w:rsidP="00E70042">
            <w:pPr>
              <w:jc w:val="center"/>
              <w:rPr>
                <w:rFonts w:ascii="Arial" w:hAnsi="Arial" w:cs="Arial"/>
                <w:b/>
                <w:bCs/>
                <w:sz w:val="16"/>
                <w:szCs w:val="16"/>
                <w:lang w:eastAsia="es-CO"/>
              </w:rPr>
            </w:pPr>
            <w:r w:rsidRPr="000876AA">
              <w:rPr>
                <w:rFonts w:ascii="Arial" w:hAnsi="Arial" w:cs="Arial"/>
                <w:b/>
                <w:bCs/>
                <w:sz w:val="16"/>
                <w:szCs w:val="16"/>
                <w:lang w:eastAsia="es-CO"/>
              </w:rPr>
              <w:t>TOTAL  2022</w:t>
            </w:r>
          </w:p>
        </w:tc>
      </w:tr>
      <w:tr w:rsidR="00E70042" w:rsidRPr="000876AA" w14:paraId="5BF08201" w14:textId="77777777" w:rsidTr="00E70042">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7B4CD84" w14:textId="77777777" w:rsidR="00E70042" w:rsidRPr="000876AA" w:rsidRDefault="00E70042" w:rsidP="00E70042">
            <w:pPr>
              <w:rPr>
                <w:rFonts w:ascii="Arial" w:hAnsi="Arial" w:cs="Arial"/>
                <w:sz w:val="16"/>
                <w:szCs w:val="16"/>
                <w:lang w:eastAsia="es-CO"/>
              </w:rPr>
            </w:pPr>
            <w:r w:rsidRPr="000876AA">
              <w:rPr>
                <w:rFonts w:ascii="Arial" w:hAnsi="Arial" w:cs="Arial"/>
                <w:sz w:val="16"/>
                <w:szCs w:val="16"/>
                <w:lang w:eastAsia="es-CO"/>
              </w:rPr>
              <w:t xml:space="preserve">Aportes Nación - Recursos Corrientes </w:t>
            </w:r>
          </w:p>
        </w:tc>
        <w:tc>
          <w:tcPr>
            <w:tcW w:w="0" w:type="auto"/>
            <w:tcBorders>
              <w:top w:val="nil"/>
              <w:left w:val="nil"/>
              <w:bottom w:val="single" w:sz="4" w:space="0" w:color="auto"/>
              <w:right w:val="single" w:sz="4" w:space="0" w:color="auto"/>
            </w:tcBorders>
            <w:shd w:val="clear" w:color="auto" w:fill="auto"/>
            <w:noWrap/>
            <w:vAlign w:val="bottom"/>
            <w:hideMark/>
          </w:tcPr>
          <w:p w14:paraId="3E3D0643" w14:textId="77777777" w:rsidR="00E70042" w:rsidRPr="000876AA" w:rsidRDefault="00E70042" w:rsidP="00E70042">
            <w:pPr>
              <w:rPr>
                <w:rFonts w:ascii="Arial" w:hAnsi="Arial" w:cs="Arial"/>
                <w:sz w:val="16"/>
                <w:szCs w:val="16"/>
                <w:lang w:eastAsia="es-CO"/>
              </w:rPr>
            </w:pPr>
            <w:r w:rsidRPr="000876AA">
              <w:rPr>
                <w:rFonts w:ascii="Arial" w:hAnsi="Arial" w:cs="Arial"/>
                <w:sz w:val="16"/>
                <w:szCs w:val="16"/>
                <w:lang w:eastAsia="es-CO"/>
              </w:rPr>
              <w:t xml:space="preserve">                            5.341.669 </w:t>
            </w:r>
          </w:p>
        </w:tc>
        <w:tc>
          <w:tcPr>
            <w:tcW w:w="0" w:type="auto"/>
            <w:tcBorders>
              <w:top w:val="nil"/>
              <w:left w:val="nil"/>
              <w:bottom w:val="single" w:sz="4" w:space="0" w:color="auto"/>
              <w:right w:val="single" w:sz="4" w:space="0" w:color="auto"/>
            </w:tcBorders>
            <w:shd w:val="clear" w:color="auto" w:fill="auto"/>
            <w:noWrap/>
            <w:vAlign w:val="bottom"/>
            <w:hideMark/>
          </w:tcPr>
          <w:p w14:paraId="462612DA" w14:textId="77777777" w:rsidR="00E70042" w:rsidRPr="000876AA" w:rsidRDefault="00E70042" w:rsidP="00E70042">
            <w:pPr>
              <w:jc w:val="right"/>
              <w:rPr>
                <w:rFonts w:ascii="Arial" w:hAnsi="Arial" w:cs="Arial"/>
                <w:sz w:val="16"/>
                <w:szCs w:val="16"/>
                <w:lang w:eastAsia="es-CO"/>
              </w:rPr>
            </w:pPr>
            <w:r w:rsidRPr="000876AA">
              <w:rPr>
                <w:rFonts w:ascii="Arial" w:hAnsi="Arial" w:cs="Arial"/>
                <w:b/>
                <w:bCs/>
                <w:sz w:val="16"/>
                <w:szCs w:val="16"/>
              </w:rPr>
              <w:t>87,6%</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DAE1F38" w14:textId="77777777" w:rsidR="00E70042" w:rsidRPr="000876AA" w:rsidRDefault="00E70042" w:rsidP="00E70042">
            <w:pPr>
              <w:jc w:val="center"/>
              <w:rPr>
                <w:rFonts w:ascii="Arial" w:hAnsi="Arial" w:cs="Arial"/>
                <w:sz w:val="16"/>
                <w:szCs w:val="16"/>
                <w:lang w:eastAsia="es-CO"/>
              </w:rPr>
            </w:pPr>
            <w:r w:rsidRPr="000876AA">
              <w:rPr>
                <w:rFonts w:ascii="Arial" w:hAnsi="Arial" w:cs="Arial"/>
                <w:sz w:val="16"/>
                <w:szCs w:val="16"/>
                <w:lang w:eastAsia="es-CO"/>
              </w:rPr>
              <w:t xml:space="preserve"> 5.455.209</w:t>
            </w:r>
            <w:r w:rsidRPr="000876AA">
              <w:rPr>
                <w:rFonts w:ascii="Arial" w:hAnsi="Arial" w:cs="Arial"/>
                <w:sz w:val="16"/>
                <w:szCs w:val="16"/>
                <w:lang w:eastAsia="es-CO"/>
              </w:rPr>
              <w:br/>
              <w:t xml:space="preserve">FUNCIONAMIENTO </w:t>
            </w:r>
          </w:p>
        </w:tc>
      </w:tr>
      <w:tr w:rsidR="00E70042" w:rsidRPr="000876AA" w14:paraId="7338F17C" w14:textId="77777777" w:rsidTr="00E70042">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B85853" w14:textId="77777777" w:rsidR="00E70042" w:rsidRPr="000876AA" w:rsidRDefault="00E70042" w:rsidP="00E70042">
            <w:pPr>
              <w:rPr>
                <w:rFonts w:ascii="Arial" w:hAnsi="Arial" w:cs="Arial"/>
                <w:sz w:val="16"/>
                <w:szCs w:val="16"/>
                <w:lang w:eastAsia="es-CO"/>
              </w:rPr>
            </w:pPr>
            <w:r w:rsidRPr="000876AA">
              <w:rPr>
                <w:rFonts w:ascii="Arial" w:hAnsi="Arial" w:cs="Arial"/>
                <w:sz w:val="16"/>
                <w:szCs w:val="16"/>
                <w:lang w:eastAsia="es-CO"/>
              </w:rPr>
              <w:t>Aportes Nación - Otros Recursos del tesoro</w:t>
            </w:r>
          </w:p>
        </w:tc>
        <w:tc>
          <w:tcPr>
            <w:tcW w:w="0" w:type="auto"/>
            <w:tcBorders>
              <w:top w:val="nil"/>
              <w:left w:val="nil"/>
              <w:bottom w:val="single" w:sz="4" w:space="0" w:color="auto"/>
              <w:right w:val="single" w:sz="4" w:space="0" w:color="auto"/>
            </w:tcBorders>
            <w:shd w:val="clear" w:color="auto" w:fill="auto"/>
            <w:noWrap/>
            <w:vAlign w:val="bottom"/>
            <w:hideMark/>
          </w:tcPr>
          <w:p w14:paraId="1F213A93" w14:textId="77777777" w:rsidR="00E70042" w:rsidRPr="000876AA" w:rsidRDefault="00E70042" w:rsidP="00E70042">
            <w:pPr>
              <w:rPr>
                <w:rFonts w:ascii="Arial" w:hAnsi="Arial" w:cs="Arial"/>
                <w:sz w:val="16"/>
                <w:szCs w:val="16"/>
                <w:lang w:eastAsia="es-CO"/>
              </w:rPr>
            </w:pPr>
            <w:r w:rsidRPr="000876AA">
              <w:rPr>
                <w:rFonts w:ascii="Arial" w:hAnsi="Arial" w:cs="Arial"/>
                <w:sz w:val="16"/>
                <w:szCs w:val="16"/>
                <w:lang w:eastAsia="es-CO"/>
              </w:rPr>
              <w:t xml:space="preserve">                                  13.815 </w:t>
            </w:r>
          </w:p>
        </w:tc>
        <w:tc>
          <w:tcPr>
            <w:tcW w:w="0" w:type="auto"/>
            <w:tcBorders>
              <w:top w:val="nil"/>
              <w:left w:val="nil"/>
              <w:bottom w:val="single" w:sz="4" w:space="0" w:color="auto"/>
              <w:right w:val="single" w:sz="4" w:space="0" w:color="auto"/>
            </w:tcBorders>
            <w:shd w:val="clear" w:color="auto" w:fill="auto"/>
            <w:noWrap/>
            <w:vAlign w:val="bottom"/>
            <w:hideMark/>
          </w:tcPr>
          <w:p w14:paraId="58D0EBBF" w14:textId="77777777" w:rsidR="00E70042" w:rsidRPr="000876AA" w:rsidRDefault="00E70042" w:rsidP="00E70042">
            <w:pPr>
              <w:jc w:val="right"/>
              <w:rPr>
                <w:rFonts w:ascii="Arial" w:hAnsi="Arial" w:cs="Arial"/>
                <w:sz w:val="16"/>
                <w:szCs w:val="16"/>
                <w:lang w:eastAsia="es-CO"/>
              </w:rPr>
            </w:pPr>
            <w:r w:rsidRPr="000876AA">
              <w:rPr>
                <w:rFonts w:ascii="Arial" w:hAnsi="Arial" w:cs="Arial"/>
                <w:b/>
                <w:bCs/>
                <w:sz w:val="16"/>
                <w:szCs w:val="16"/>
              </w:rPr>
              <w:t>0,2%</w:t>
            </w:r>
          </w:p>
        </w:tc>
        <w:tc>
          <w:tcPr>
            <w:tcW w:w="0" w:type="auto"/>
            <w:vMerge/>
            <w:tcBorders>
              <w:top w:val="nil"/>
              <w:left w:val="single" w:sz="4" w:space="0" w:color="auto"/>
              <w:bottom w:val="single" w:sz="4" w:space="0" w:color="auto"/>
              <w:right w:val="single" w:sz="4" w:space="0" w:color="auto"/>
            </w:tcBorders>
            <w:vAlign w:val="center"/>
            <w:hideMark/>
          </w:tcPr>
          <w:p w14:paraId="61F0F020" w14:textId="77777777" w:rsidR="00E70042" w:rsidRPr="000876AA" w:rsidRDefault="00E70042" w:rsidP="00E70042">
            <w:pPr>
              <w:rPr>
                <w:rFonts w:ascii="Arial" w:hAnsi="Arial" w:cs="Arial"/>
                <w:sz w:val="16"/>
                <w:szCs w:val="16"/>
                <w:lang w:eastAsia="es-CO"/>
              </w:rPr>
            </w:pPr>
          </w:p>
        </w:tc>
      </w:tr>
      <w:tr w:rsidR="00E70042" w:rsidRPr="000876AA" w14:paraId="590A76EC" w14:textId="77777777" w:rsidTr="00E70042">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951788" w14:textId="77777777" w:rsidR="00E70042" w:rsidRPr="000876AA" w:rsidRDefault="00E70042" w:rsidP="00E70042">
            <w:pPr>
              <w:rPr>
                <w:rFonts w:ascii="Arial" w:hAnsi="Arial" w:cs="Arial"/>
                <w:sz w:val="16"/>
                <w:szCs w:val="16"/>
                <w:lang w:eastAsia="es-CO"/>
              </w:rPr>
            </w:pPr>
            <w:r w:rsidRPr="000876AA">
              <w:rPr>
                <w:rFonts w:ascii="Arial" w:hAnsi="Arial" w:cs="Arial"/>
                <w:sz w:val="16"/>
                <w:szCs w:val="16"/>
                <w:lang w:eastAsia="es-CO"/>
              </w:rPr>
              <w:t xml:space="preserve">Fondo para la Modernización </w:t>
            </w:r>
          </w:p>
        </w:tc>
        <w:tc>
          <w:tcPr>
            <w:tcW w:w="0" w:type="auto"/>
            <w:tcBorders>
              <w:top w:val="nil"/>
              <w:left w:val="nil"/>
              <w:bottom w:val="single" w:sz="4" w:space="0" w:color="auto"/>
              <w:right w:val="single" w:sz="4" w:space="0" w:color="auto"/>
            </w:tcBorders>
            <w:shd w:val="clear" w:color="auto" w:fill="auto"/>
            <w:noWrap/>
            <w:vAlign w:val="bottom"/>
            <w:hideMark/>
          </w:tcPr>
          <w:p w14:paraId="74B4B56A" w14:textId="77777777" w:rsidR="00E70042" w:rsidRPr="000876AA" w:rsidRDefault="00E70042" w:rsidP="00E70042">
            <w:pPr>
              <w:rPr>
                <w:rFonts w:ascii="Arial" w:hAnsi="Arial" w:cs="Arial"/>
                <w:sz w:val="16"/>
                <w:szCs w:val="16"/>
                <w:lang w:eastAsia="es-CO"/>
              </w:rPr>
            </w:pPr>
            <w:r w:rsidRPr="000876AA">
              <w:rPr>
                <w:rFonts w:ascii="Arial" w:hAnsi="Arial" w:cs="Arial"/>
                <w:sz w:val="16"/>
                <w:szCs w:val="16"/>
                <w:lang w:eastAsia="es-CO"/>
              </w:rPr>
              <w:t xml:space="preserve">                                  99.725 </w:t>
            </w:r>
          </w:p>
        </w:tc>
        <w:tc>
          <w:tcPr>
            <w:tcW w:w="0" w:type="auto"/>
            <w:tcBorders>
              <w:top w:val="nil"/>
              <w:left w:val="nil"/>
              <w:bottom w:val="single" w:sz="4" w:space="0" w:color="auto"/>
              <w:right w:val="single" w:sz="4" w:space="0" w:color="auto"/>
            </w:tcBorders>
            <w:shd w:val="clear" w:color="auto" w:fill="auto"/>
            <w:noWrap/>
            <w:vAlign w:val="bottom"/>
            <w:hideMark/>
          </w:tcPr>
          <w:p w14:paraId="53A08AC2" w14:textId="77777777" w:rsidR="00E70042" w:rsidRPr="000876AA" w:rsidRDefault="00E70042" w:rsidP="00E70042">
            <w:pPr>
              <w:jc w:val="right"/>
              <w:rPr>
                <w:rFonts w:ascii="Arial" w:hAnsi="Arial" w:cs="Arial"/>
                <w:sz w:val="16"/>
                <w:szCs w:val="16"/>
                <w:lang w:eastAsia="es-CO"/>
              </w:rPr>
            </w:pPr>
            <w:r w:rsidRPr="000876AA">
              <w:rPr>
                <w:rFonts w:ascii="Arial" w:hAnsi="Arial" w:cs="Arial"/>
                <w:b/>
                <w:bCs/>
                <w:sz w:val="16"/>
                <w:szCs w:val="16"/>
              </w:rPr>
              <w:t>1,6%</w:t>
            </w:r>
          </w:p>
        </w:tc>
        <w:tc>
          <w:tcPr>
            <w:tcW w:w="0" w:type="auto"/>
            <w:vMerge/>
            <w:tcBorders>
              <w:top w:val="nil"/>
              <w:left w:val="single" w:sz="4" w:space="0" w:color="auto"/>
              <w:bottom w:val="single" w:sz="4" w:space="0" w:color="auto"/>
              <w:right w:val="single" w:sz="4" w:space="0" w:color="auto"/>
            </w:tcBorders>
            <w:vAlign w:val="center"/>
            <w:hideMark/>
          </w:tcPr>
          <w:p w14:paraId="50F81A01" w14:textId="77777777" w:rsidR="00E70042" w:rsidRPr="000876AA" w:rsidRDefault="00E70042" w:rsidP="00E70042">
            <w:pPr>
              <w:rPr>
                <w:rFonts w:ascii="Arial" w:hAnsi="Arial" w:cs="Arial"/>
                <w:sz w:val="16"/>
                <w:szCs w:val="16"/>
                <w:lang w:eastAsia="es-CO"/>
              </w:rPr>
            </w:pPr>
          </w:p>
        </w:tc>
      </w:tr>
      <w:tr w:rsidR="00E70042" w:rsidRPr="000876AA" w14:paraId="1E202277" w14:textId="77777777" w:rsidTr="00E70042">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811E6B" w14:textId="77777777" w:rsidR="00E70042" w:rsidRPr="000876AA" w:rsidRDefault="00E70042" w:rsidP="00E70042">
            <w:pPr>
              <w:rPr>
                <w:rFonts w:ascii="Arial" w:hAnsi="Arial" w:cs="Arial"/>
                <w:sz w:val="16"/>
                <w:szCs w:val="16"/>
                <w:lang w:eastAsia="es-CO"/>
              </w:rPr>
            </w:pPr>
            <w:r w:rsidRPr="000876AA">
              <w:rPr>
                <w:rFonts w:ascii="Arial" w:hAnsi="Arial" w:cs="Arial"/>
                <w:sz w:val="16"/>
                <w:szCs w:val="16"/>
                <w:lang w:eastAsia="es-CO"/>
              </w:rPr>
              <w:t>Aportes Nación - Otros Recursos del tesoro</w:t>
            </w:r>
          </w:p>
        </w:tc>
        <w:tc>
          <w:tcPr>
            <w:tcW w:w="0" w:type="auto"/>
            <w:tcBorders>
              <w:top w:val="nil"/>
              <w:left w:val="nil"/>
              <w:bottom w:val="single" w:sz="4" w:space="0" w:color="auto"/>
              <w:right w:val="single" w:sz="4" w:space="0" w:color="auto"/>
            </w:tcBorders>
            <w:shd w:val="clear" w:color="auto" w:fill="auto"/>
            <w:noWrap/>
            <w:vAlign w:val="bottom"/>
            <w:hideMark/>
          </w:tcPr>
          <w:p w14:paraId="5178AAD0" w14:textId="77777777" w:rsidR="00E70042" w:rsidRPr="000876AA" w:rsidRDefault="00E70042" w:rsidP="00E70042">
            <w:pPr>
              <w:rPr>
                <w:rFonts w:ascii="Arial" w:hAnsi="Arial" w:cs="Arial"/>
                <w:sz w:val="16"/>
                <w:szCs w:val="16"/>
                <w:lang w:eastAsia="es-CO"/>
              </w:rPr>
            </w:pPr>
            <w:r w:rsidRPr="000876AA">
              <w:rPr>
                <w:rFonts w:ascii="Arial" w:hAnsi="Arial" w:cs="Arial"/>
                <w:sz w:val="16"/>
                <w:szCs w:val="16"/>
                <w:lang w:eastAsia="es-CO"/>
              </w:rPr>
              <w:t xml:space="preserve">                                  61.904 </w:t>
            </w:r>
          </w:p>
        </w:tc>
        <w:tc>
          <w:tcPr>
            <w:tcW w:w="0" w:type="auto"/>
            <w:tcBorders>
              <w:top w:val="nil"/>
              <w:left w:val="nil"/>
              <w:bottom w:val="single" w:sz="4" w:space="0" w:color="auto"/>
              <w:right w:val="single" w:sz="4" w:space="0" w:color="auto"/>
            </w:tcBorders>
            <w:shd w:val="clear" w:color="auto" w:fill="auto"/>
            <w:noWrap/>
            <w:vAlign w:val="bottom"/>
            <w:hideMark/>
          </w:tcPr>
          <w:p w14:paraId="1D3DD365" w14:textId="77777777" w:rsidR="00E70042" w:rsidRPr="000876AA" w:rsidRDefault="00E70042" w:rsidP="00E70042">
            <w:pPr>
              <w:jc w:val="right"/>
              <w:rPr>
                <w:rFonts w:ascii="Arial" w:hAnsi="Arial" w:cs="Arial"/>
                <w:sz w:val="16"/>
                <w:szCs w:val="16"/>
                <w:lang w:eastAsia="es-CO"/>
              </w:rPr>
            </w:pPr>
            <w:r w:rsidRPr="000876AA">
              <w:rPr>
                <w:rFonts w:ascii="Arial" w:hAnsi="Arial" w:cs="Arial"/>
                <w:b/>
                <w:bCs/>
                <w:sz w:val="16"/>
                <w:szCs w:val="16"/>
              </w:rPr>
              <w:t>1,0%</w:t>
            </w:r>
          </w:p>
        </w:tc>
        <w:tc>
          <w:tcPr>
            <w:tcW w:w="0" w:type="auto"/>
            <w:tcBorders>
              <w:top w:val="nil"/>
              <w:left w:val="nil"/>
              <w:bottom w:val="single" w:sz="4" w:space="0" w:color="auto"/>
              <w:right w:val="single" w:sz="4" w:space="0" w:color="auto"/>
            </w:tcBorders>
            <w:shd w:val="clear" w:color="auto" w:fill="auto"/>
            <w:vAlign w:val="center"/>
            <w:hideMark/>
          </w:tcPr>
          <w:p w14:paraId="67E382DC" w14:textId="77777777" w:rsidR="00E70042" w:rsidRPr="000876AA" w:rsidRDefault="00E70042" w:rsidP="00E70042">
            <w:pPr>
              <w:jc w:val="center"/>
              <w:rPr>
                <w:rFonts w:ascii="Arial" w:hAnsi="Arial" w:cs="Arial"/>
                <w:sz w:val="16"/>
                <w:szCs w:val="16"/>
                <w:lang w:eastAsia="es-CO"/>
              </w:rPr>
            </w:pPr>
            <w:r w:rsidRPr="000876AA">
              <w:rPr>
                <w:rFonts w:ascii="Arial" w:hAnsi="Arial" w:cs="Arial"/>
                <w:sz w:val="16"/>
                <w:szCs w:val="16"/>
                <w:lang w:eastAsia="es-CO"/>
              </w:rPr>
              <w:t xml:space="preserve"> 61.904</w:t>
            </w:r>
            <w:r w:rsidRPr="000876AA">
              <w:rPr>
                <w:rFonts w:ascii="Arial" w:hAnsi="Arial" w:cs="Arial"/>
                <w:sz w:val="16"/>
                <w:szCs w:val="16"/>
                <w:lang w:eastAsia="es-CO"/>
              </w:rPr>
              <w:br/>
              <w:t xml:space="preserve">DEUDA PÚBLICA </w:t>
            </w:r>
          </w:p>
        </w:tc>
      </w:tr>
      <w:tr w:rsidR="00E70042" w:rsidRPr="000876AA" w14:paraId="7C3D3D2E" w14:textId="77777777" w:rsidTr="00E70042">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D70253" w14:textId="77777777" w:rsidR="00E70042" w:rsidRPr="000876AA" w:rsidRDefault="00E70042" w:rsidP="00E70042">
            <w:pPr>
              <w:rPr>
                <w:rFonts w:ascii="Arial" w:hAnsi="Arial" w:cs="Arial"/>
                <w:sz w:val="16"/>
                <w:szCs w:val="16"/>
                <w:lang w:eastAsia="es-CO"/>
              </w:rPr>
            </w:pPr>
            <w:r w:rsidRPr="000876AA">
              <w:rPr>
                <w:rFonts w:ascii="Arial" w:hAnsi="Arial" w:cs="Arial"/>
                <w:sz w:val="16"/>
                <w:szCs w:val="16"/>
                <w:lang w:eastAsia="es-CO"/>
              </w:rPr>
              <w:t>Recursos Frisco</w:t>
            </w:r>
          </w:p>
        </w:tc>
        <w:tc>
          <w:tcPr>
            <w:tcW w:w="0" w:type="auto"/>
            <w:tcBorders>
              <w:top w:val="nil"/>
              <w:left w:val="nil"/>
              <w:bottom w:val="single" w:sz="4" w:space="0" w:color="auto"/>
              <w:right w:val="single" w:sz="4" w:space="0" w:color="auto"/>
            </w:tcBorders>
            <w:shd w:val="clear" w:color="auto" w:fill="auto"/>
            <w:noWrap/>
            <w:vAlign w:val="bottom"/>
            <w:hideMark/>
          </w:tcPr>
          <w:p w14:paraId="408114DA" w14:textId="77777777" w:rsidR="00E70042" w:rsidRPr="000876AA" w:rsidRDefault="00E70042" w:rsidP="00E70042">
            <w:pPr>
              <w:rPr>
                <w:rFonts w:ascii="Arial" w:hAnsi="Arial" w:cs="Arial"/>
                <w:sz w:val="16"/>
                <w:szCs w:val="16"/>
                <w:lang w:eastAsia="es-CO"/>
              </w:rPr>
            </w:pPr>
            <w:r w:rsidRPr="000876AA">
              <w:rPr>
                <w:rFonts w:ascii="Arial" w:hAnsi="Arial" w:cs="Arial"/>
                <w:sz w:val="16"/>
                <w:szCs w:val="16"/>
                <w:lang w:eastAsia="es-CO"/>
              </w:rPr>
              <w:t xml:space="preserve">                                  60.815 </w:t>
            </w:r>
          </w:p>
        </w:tc>
        <w:tc>
          <w:tcPr>
            <w:tcW w:w="0" w:type="auto"/>
            <w:tcBorders>
              <w:top w:val="nil"/>
              <w:left w:val="nil"/>
              <w:bottom w:val="single" w:sz="4" w:space="0" w:color="auto"/>
              <w:right w:val="single" w:sz="4" w:space="0" w:color="auto"/>
            </w:tcBorders>
            <w:shd w:val="clear" w:color="auto" w:fill="auto"/>
            <w:noWrap/>
            <w:vAlign w:val="bottom"/>
            <w:hideMark/>
          </w:tcPr>
          <w:p w14:paraId="3309BBD9" w14:textId="77777777" w:rsidR="00E70042" w:rsidRPr="000876AA" w:rsidRDefault="00E70042" w:rsidP="00E70042">
            <w:pPr>
              <w:jc w:val="right"/>
              <w:rPr>
                <w:rFonts w:ascii="Arial" w:hAnsi="Arial" w:cs="Arial"/>
                <w:sz w:val="16"/>
                <w:szCs w:val="16"/>
                <w:lang w:eastAsia="es-CO"/>
              </w:rPr>
            </w:pPr>
            <w:r w:rsidRPr="000876AA">
              <w:rPr>
                <w:rFonts w:ascii="Arial" w:hAnsi="Arial" w:cs="Arial"/>
                <w:b/>
                <w:bCs/>
                <w:sz w:val="16"/>
                <w:szCs w:val="16"/>
              </w:rPr>
              <w:t>1,0%</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77846B5" w14:textId="77777777" w:rsidR="00E70042" w:rsidRPr="000876AA" w:rsidRDefault="00E70042" w:rsidP="00E70042">
            <w:pPr>
              <w:jc w:val="center"/>
              <w:rPr>
                <w:rFonts w:ascii="Arial" w:hAnsi="Arial" w:cs="Arial"/>
                <w:sz w:val="16"/>
                <w:szCs w:val="16"/>
                <w:lang w:eastAsia="es-CO"/>
              </w:rPr>
            </w:pPr>
            <w:r w:rsidRPr="000876AA">
              <w:rPr>
                <w:rFonts w:ascii="Arial" w:hAnsi="Arial" w:cs="Arial"/>
                <w:sz w:val="16"/>
                <w:szCs w:val="16"/>
                <w:lang w:eastAsia="es-CO"/>
              </w:rPr>
              <w:t xml:space="preserve"> 580.822</w:t>
            </w:r>
            <w:r w:rsidRPr="000876AA">
              <w:rPr>
                <w:rFonts w:ascii="Arial" w:hAnsi="Arial" w:cs="Arial"/>
                <w:sz w:val="16"/>
                <w:szCs w:val="16"/>
                <w:lang w:eastAsia="es-CO"/>
              </w:rPr>
              <w:br/>
              <w:t xml:space="preserve">INVERSIÓN </w:t>
            </w:r>
          </w:p>
        </w:tc>
      </w:tr>
      <w:tr w:rsidR="00E70042" w:rsidRPr="000876AA" w14:paraId="69808FC0" w14:textId="77777777" w:rsidTr="00E70042">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610D17" w14:textId="77777777" w:rsidR="00E70042" w:rsidRPr="000876AA" w:rsidRDefault="00E70042" w:rsidP="00E70042">
            <w:pPr>
              <w:rPr>
                <w:rFonts w:ascii="Arial" w:hAnsi="Arial" w:cs="Arial"/>
                <w:sz w:val="16"/>
                <w:szCs w:val="16"/>
                <w:lang w:eastAsia="es-CO"/>
              </w:rPr>
            </w:pPr>
            <w:r w:rsidRPr="000876AA">
              <w:rPr>
                <w:rFonts w:ascii="Arial" w:hAnsi="Arial" w:cs="Arial"/>
                <w:sz w:val="16"/>
                <w:szCs w:val="16"/>
                <w:lang w:eastAsia="es-CO"/>
              </w:rPr>
              <w:t>Crédito Externo</w:t>
            </w:r>
          </w:p>
        </w:tc>
        <w:tc>
          <w:tcPr>
            <w:tcW w:w="0" w:type="auto"/>
            <w:tcBorders>
              <w:top w:val="nil"/>
              <w:left w:val="nil"/>
              <w:bottom w:val="single" w:sz="4" w:space="0" w:color="auto"/>
              <w:right w:val="single" w:sz="4" w:space="0" w:color="auto"/>
            </w:tcBorders>
            <w:shd w:val="clear" w:color="auto" w:fill="auto"/>
            <w:noWrap/>
            <w:vAlign w:val="bottom"/>
            <w:hideMark/>
          </w:tcPr>
          <w:p w14:paraId="2A3FFD1B" w14:textId="77777777" w:rsidR="00E70042" w:rsidRPr="000876AA" w:rsidRDefault="00E70042" w:rsidP="00E70042">
            <w:pPr>
              <w:rPr>
                <w:rFonts w:ascii="Arial" w:hAnsi="Arial" w:cs="Arial"/>
                <w:sz w:val="16"/>
                <w:szCs w:val="16"/>
                <w:lang w:eastAsia="es-CO"/>
              </w:rPr>
            </w:pPr>
            <w:r w:rsidRPr="000876AA">
              <w:rPr>
                <w:rFonts w:ascii="Arial" w:hAnsi="Arial" w:cs="Arial"/>
                <w:sz w:val="16"/>
                <w:szCs w:val="16"/>
                <w:lang w:eastAsia="es-CO"/>
              </w:rPr>
              <w:t xml:space="preserve">                                  96.627 </w:t>
            </w:r>
          </w:p>
        </w:tc>
        <w:tc>
          <w:tcPr>
            <w:tcW w:w="0" w:type="auto"/>
            <w:tcBorders>
              <w:top w:val="nil"/>
              <w:left w:val="nil"/>
              <w:bottom w:val="single" w:sz="4" w:space="0" w:color="auto"/>
              <w:right w:val="single" w:sz="4" w:space="0" w:color="auto"/>
            </w:tcBorders>
            <w:shd w:val="clear" w:color="auto" w:fill="auto"/>
            <w:noWrap/>
            <w:vAlign w:val="bottom"/>
            <w:hideMark/>
          </w:tcPr>
          <w:p w14:paraId="73DDAECD" w14:textId="77777777" w:rsidR="00E70042" w:rsidRPr="000876AA" w:rsidRDefault="00E70042" w:rsidP="00E70042">
            <w:pPr>
              <w:jc w:val="right"/>
              <w:rPr>
                <w:rFonts w:ascii="Arial" w:hAnsi="Arial" w:cs="Arial"/>
                <w:sz w:val="16"/>
                <w:szCs w:val="16"/>
                <w:lang w:eastAsia="es-CO"/>
              </w:rPr>
            </w:pPr>
            <w:r w:rsidRPr="000876AA">
              <w:rPr>
                <w:rFonts w:ascii="Arial" w:hAnsi="Arial" w:cs="Arial"/>
                <w:b/>
                <w:bCs/>
                <w:sz w:val="16"/>
                <w:szCs w:val="16"/>
              </w:rPr>
              <w:t>1,6%</w:t>
            </w:r>
          </w:p>
        </w:tc>
        <w:tc>
          <w:tcPr>
            <w:tcW w:w="0" w:type="auto"/>
            <w:vMerge/>
            <w:tcBorders>
              <w:top w:val="nil"/>
              <w:left w:val="single" w:sz="4" w:space="0" w:color="auto"/>
              <w:bottom w:val="single" w:sz="4" w:space="0" w:color="auto"/>
              <w:right w:val="single" w:sz="4" w:space="0" w:color="auto"/>
            </w:tcBorders>
            <w:vAlign w:val="center"/>
            <w:hideMark/>
          </w:tcPr>
          <w:p w14:paraId="1A87DEF1" w14:textId="77777777" w:rsidR="00E70042" w:rsidRPr="000876AA" w:rsidRDefault="00E70042" w:rsidP="00E70042">
            <w:pPr>
              <w:rPr>
                <w:rFonts w:ascii="Arial" w:hAnsi="Arial" w:cs="Arial"/>
                <w:sz w:val="16"/>
                <w:szCs w:val="16"/>
                <w:lang w:eastAsia="es-CO"/>
              </w:rPr>
            </w:pPr>
          </w:p>
        </w:tc>
      </w:tr>
      <w:tr w:rsidR="00E70042" w:rsidRPr="000876AA" w14:paraId="624789AF" w14:textId="77777777" w:rsidTr="00E70042">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17AE8B" w14:textId="77777777" w:rsidR="00E70042" w:rsidRPr="000876AA" w:rsidRDefault="00E70042" w:rsidP="00E70042">
            <w:pPr>
              <w:rPr>
                <w:rFonts w:ascii="Arial" w:hAnsi="Arial" w:cs="Arial"/>
                <w:sz w:val="16"/>
                <w:szCs w:val="16"/>
                <w:lang w:eastAsia="es-CO"/>
              </w:rPr>
            </w:pPr>
            <w:r w:rsidRPr="000876AA">
              <w:rPr>
                <w:rFonts w:ascii="Arial" w:hAnsi="Arial" w:cs="Arial"/>
                <w:sz w:val="16"/>
                <w:szCs w:val="16"/>
                <w:lang w:eastAsia="es-CO"/>
              </w:rPr>
              <w:t>Financiación Sector Justicia</w:t>
            </w:r>
          </w:p>
        </w:tc>
        <w:tc>
          <w:tcPr>
            <w:tcW w:w="0" w:type="auto"/>
            <w:tcBorders>
              <w:top w:val="nil"/>
              <w:left w:val="nil"/>
              <w:bottom w:val="single" w:sz="4" w:space="0" w:color="auto"/>
              <w:right w:val="single" w:sz="4" w:space="0" w:color="auto"/>
            </w:tcBorders>
            <w:shd w:val="clear" w:color="auto" w:fill="auto"/>
            <w:noWrap/>
            <w:vAlign w:val="bottom"/>
            <w:hideMark/>
          </w:tcPr>
          <w:p w14:paraId="1B8FAC4B" w14:textId="77777777" w:rsidR="00E70042" w:rsidRPr="000876AA" w:rsidRDefault="00E70042" w:rsidP="00E70042">
            <w:pPr>
              <w:rPr>
                <w:rFonts w:ascii="Arial" w:hAnsi="Arial" w:cs="Arial"/>
                <w:sz w:val="16"/>
                <w:szCs w:val="16"/>
                <w:lang w:eastAsia="es-CO"/>
              </w:rPr>
            </w:pPr>
            <w:r w:rsidRPr="000876AA">
              <w:rPr>
                <w:rFonts w:ascii="Arial" w:hAnsi="Arial" w:cs="Arial"/>
                <w:sz w:val="16"/>
                <w:szCs w:val="16"/>
                <w:lang w:eastAsia="es-CO"/>
              </w:rPr>
              <w:t xml:space="preserve">                                315.717 </w:t>
            </w:r>
          </w:p>
        </w:tc>
        <w:tc>
          <w:tcPr>
            <w:tcW w:w="0" w:type="auto"/>
            <w:tcBorders>
              <w:top w:val="nil"/>
              <w:left w:val="nil"/>
              <w:bottom w:val="single" w:sz="4" w:space="0" w:color="auto"/>
              <w:right w:val="single" w:sz="4" w:space="0" w:color="auto"/>
            </w:tcBorders>
            <w:shd w:val="clear" w:color="auto" w:fill="auto"/>
            <w:noWrap/>
            <w:vAlign w:val="bottom"/>
            <w:hideMark/>
          </w:tcPr>
          <w:p w14:paraId="71D169A6" w14:textId="77777777" w:rsidR="00E70042" w:rsidRPr="000876AA" w:rsidRDefault="00E70042" w:rsidP="00E70042">
            <w:pPr>
              <w:jc w:val="right"/>
              <w:rPr>
                <w:rFonts w:ascii="Arial" w:hAnsi="Arial" w:cs="Arial"/>
                <w:sz w:val="16"/>
                <w:szCs w:val="16"/>
                <w:lang w:eastAsia="es-CO"/>
              </w:rPr>
            </w:pPr>
            <w:r w:rsidRPr="000876AA">
              <w:rPr>
                <w:rFonts w:ascii="Arial" w:hAnsi="Arial" w:cs="Arial"/>
                <w:b/>
                <w:bCs/>
                <w:sz w:val="16"/>
                <w:szCs w:val="16"/>
              </w:rPr>
              <w:t>5,2%</w:t>
            </w:r>
          </w:p>
        </w:tc>
        <w:tc>
          <w:tcPr>
            <w:tcW w:w="0" w:type="auto"/>
            <w:vMerge/>
            <w:tcBorders>
              <w:top w:val="nil"/>
              <w:left w:val="single" w:sz="4" w:space="0" w:color="auto"/>
              <w:bottom w:val="single" w:sz="4" w:space="0" w:color="auto"/>
              <w:right w:val="single" w:sz="4" w:space="0" w:color="auto"/>
            </w:tcBorders>
            <w:vAlign w:val="center"/>
            <w:hideMark/>
          </w:tcPr>
          <w:p w14:paraId="09CEEC2F" w14:textId="77777777" w:rsidR="00E70042" w:rsidRPr="000876AA" w:rsidRDefault="00E70042" w:rsidP="00E70042">
            <w:pPr>
              <w:rPr>
                <w:rFonts w:ascii="Arial" w:hAnsi="Arial" w:cs="Arial"/>
                <w:sz w:val="16"/>
                <w:szCs w:val="16"/>
                <w:lang w:eastAsia="es-CO"/>
              </w:rPr>
            </w:pPr>
          </w:p>
        </w:tc>
      </w:tr>
      <w:tr w:rsidR="00E70042" w:rsidRPr="000876AA" w14:paraId="7F580A66" w14:textId="77777777" w:rsidTr="00E70042">
        <w:trPr>
          <w:trHeight w:val="2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79EAC5" w14:textId="77777777" w:rsidR="00E70042" w:rsidRPr="000876AA" w:rsidRDefault="00E70042" w:rsidP="00E70042">
            <w:pPr>
              <w:rPr>
                <w:rFonts w:ascii="Arial" w:hAnsi="Arial" w:cs="Arial"/>
                <w:sz w:val="16"/>
                <w:szCs w:val="16"/>
                <w:lang w:eastAsia="es-CO"/>
              </w:rPr>
            </w:pPr>
            <w:r w:rsidRPr="000876AA">
              <w:rPr>
                <w:rFonts w:ascii="Arial" w:hAnsi="Arial" w:cs="Arial"/>
                <w:sz w:val="16"/>
                <w:szCs w:val="16"/>
                <w:lang w:eastAsia="es-CO"/>
              </w:rPr>
              <w:t xml:space="preserve">Fondo para la Modernización </w:t>
            </w:r>
          </w:p>
        </w:tc>
        <w:tc>
          <w:tcPr>
            <w:tcW w:w="0" w:type="auto"/>
            <w:tcBorders>
              <w:top w:val="nil"/>
              <w:left w:val="nil"/>
              <w:bottom w:val="single" w:sz="4" w:space="0" w:color="auto"/>
              <w:right w:val="single" w:sz="4" w:space="0" w:color="auto"/>
            </w:tcBorders>
            <w:shd w:val="clear" w:color="auto" w:fill="auto"/>
            <w:noWrap/>
            <w:vAlign w:val="bottom"/>
            <w:hideMark/>
          </w:tcPr>
          <w:p w14:paraId="79306C7E" w14:textId="77777777" w:rsidR="00E70042" w:rsidRPr="000876AA" w:rsidRDefault="00E70042" w:rsidP="00E70042">
            <w:pPr>
              <w:rPr>
                <w:rFonts w:ascii="Arial" w:hAnsi="Arial" w:cs="Arial"/>
                <w:sz w:val="16"/>
                <w:szCs w:val="16"/>
                <w:lang w:eastAsia="es-CO"/>
              </w:rPr>
            </w:pPr>
            <w:r w:rsidRPr="000876AA">
              <w:rPr>
                <w:rFonts w:ascii="Arial" w:hAnsi="Arial" w:cs="Arial"/>
                <w:sz w:val="16"/>
                <w:szCs w:val="16"/>
                <w:lang w:eastAsia="es-CO"/>
              </w:rPr>
              <w:t xml:space="preserve">                                107.662 </w:t>
            </w:r>
          </w:p>
        </w:tc>
        <w:tc>
          <w:tcPr>
            <w:tcW w:w="0" w:type="auto"/>
            <w:tcBorders>
              <w:top w:val="nil"/>
              <w:left w:val="nil"/>
              <w:bottom w:val="single" w:sz="4" w:space="0" w:color="auto"/>
              <w:right w:val="single" w:sz="4" w:space="0" w:color="auto"/>
            </w:tcBorders>
            <w:shd w:val="clear" w:color="auto" w:fill="auto"/>
            <w:noWrap/>
            <w:vAlign w:val="bottom"/>
            <w:hideMark/>
          </w:tcPr>
          <w:p w14:paraId="51BF1163" w14:textId="77777777" w:rsidR="00E70042" w:rsidRPr="000876AA" w:rsidRDefault="00E70042" w:rsidP="00E70042">
            <w:pPr>
              <w:jc w:val="right"/>
              <w:rPr>
                <w:rFonts w:ascii="Arial" w:hAnsi="Arial" w:cs="Arial"/>
                <w:sz w:val="16"/>
                <w:szCs w:val="16"/>
                <w:lang w:eastAsia="es-CO"/>
              </w:rPr>
            </w:pPr>
            <w:r w:rsidRPr="000876AA">
              <w:rPr>
                <w:rFonts w:ascii="Arial" w:hAnsi="Arial" w:cs="Arial"/>
                <w:b/>
                <w:bCs/>
                <w:sz w:val="16"/>
                <w:szCs w:val="16"/>
              </w:rPr>
              <w:t>1,8%</w:t>
            </w:r>
          </w:p>
        </w:tc>
        <w:tc>
          <w:tcPr>
            <w:tcW w:w="0" w:type="auto"/>
            <w:vMerge/>
            <w:tcBorders>
              <w:top w:val="nil"/>
              <w:left w:val="single" w:sz="4" w:space="0" w:color="auto"/>
              <w:bottom w:val="single" w:sz="4" w:space="0" w:color="auto"/>
              <w:right w:val="single" w:sz="4" w:space="0" w:color="auto"/>
            </w:tcBorders>
            <w:vAlign w:val="center"/>
            <w:hideMark/>
          </w:tcPr>
          <w:p w14:paraId="2A0AE74C" w14:textId="77777777" w:rsidR="00E70042" w:rsidRPr="000876AA" w:rsidRDefault="00E70042" w:rsidP="00E70042">
            <w:pPr>
              <w:rPr>
                <w:rFonts w:ascii="Arial" w:hAnsi="Arial" w:cs="Arial"/>
                <w:sz w:val="16"/>
                <w:szCs w:val="16"/>
                <w:lang w:eastAsia="es-CO"/>
              </w:rPr>
            </w:pPr>
          </w:p>
        </w:tc>
      </w:tr>
      <w:tr w:rsidR="00E70042" w:rsidRPr="000876AA" w14:paraId="3A3BC815" w14:textId="77777777" w:rsidTr="00E70042">
        <w:trPr>
          <w:trHeight w:val="20"/>
          <w:jc w:val="center"/>
        </w:trPr>
        <w:tc>
          <w:tcPr>
            <w:tcW w:w="0" w:type="auto"/>
            <w:tcBorders>
              <w:top w:val="nil"/>
              <w:left w:val="single" w:sz="4" w:space="0" w:color="auto"/>
              <w:bottom w:val="single" w:sz="4" w:space="0" w:color="auto"/>
              <w:right w:val="single" w:sz="4" w:space="0" w:color="auto"/>
            </w:tcBorders>
            <w:shd w:val="clear" w:color="auto" w:fill="8EAADB" w:themeFill="accent1" w:themeFillTint="99"/>
            <w:noWrap/>
            <w:vAlign w:val="center"/>
            <w:hideMark/>
          </w:tcPr>
          <w:p w14:paraId="6F93E94E" w14:textId="77777777" w:rsidR="00E70042" w:rsidRPr="000876AA" w:rsidRDefault="00E70042" w:rsidP="00E70042">
            <w:pPr>
              <w:rPr>
                <w:rFonts w:ascii="Arial" w:hAnsi="Arial" w:cs="Arial"/>
                <w:b/>
                <w:bCs/>
                <w:sz w:val="16"/>
                <w:szCs w:val="16"/>
                <w:lang w:eastAsia="es-CO"/>
              </w:rPr>
            </w:pPr>
            <w:r w:rsidRPr="000876AA">
              <w:rPr>
                <w:rFonts w:ascii="Arial" w:hAnsi="Arial" w:cs="Arial"/>
                <w:b/>
                <w:bCs/>
                <w:sz w:val="16"/>
                <w:szCs w:val="16"/>
                <w:lang w:eastAsia="es-CO"/>
              </w:rPr>
              <w:t>Total general</w:t>
            </w:r>
          </w:p>
        </w:tc>
        <w:tc>
          <w:tcPr>
            <w:tcW w:w="0" w:type="auto"/>
            <w:tcBorders>
              <w:top w:val="nil"/>
              <w:left w:val="nil"/>
              <w:bottom w:val="single" w:sz="4" w:space="0" w:color="auto"/>
              <w:right w:val="single" w:sz="4" w:space="0" w:color="auto"/>
            </w:tcBorders>
            <w:shd w:val="clear" w:color="auto" w:fill="8EAADB" w:themeFill="accent1" w:themeFillTint="99"/>
            <w:noWrap/>
            <w:vAlign w:val="bottom"/>
            <w:hideMark/>
          </w:tcPr>
          <w:p w14:paraId="186A5817" w14:textId="77777777" w:rsidR="00E70042" w:rsidRPr="000876AA" w:rsidRDefault="00E70042" w:rsidP="00E70042">
            <w:pPr>
              <w:rPr>
                <w:rFonts w:ascii="Arial" w:hAnsi="Arial" w:cs="Arial"/>
                <w:b/>
                <w:sz w:val="16"/>
                <w:szCs w:val="16"/>
                <w:lang w:eastAsia="es-CO"/>
              </w:rPr>
            </w:pPr>
            <w:r w:rsidRPr="000876AA">
              <w:rPr>
                <w:rFonts w:ascii="Arial" w:hAnsi="Arial" w:cs="Arial"/>
                <w:b/>
                <w:sz w:val="16"/>
                <w:szCs w:val="16"/>
                <w:lang w:eastAsia="es-CO"/>
              </w:rPr>
              <w:t xml:space="preserve">                            6.097.935 </w:t>
            </w:r>
          </w:p>
        </w:tc>
        <w:tc>
          <w:tcPr>
            <w:tcW w:w="0" w:type="auto"/>
            <w:tcBorders>
              <w:top w:val="nil"/>
              <w:left w:val="nil"/>
              <w:bottom w:val="single" w:sz="4" w:space="0" w:color="auto"/>
              <w:right w:val="single" w:sz="4" w:space="0" w:color="auto"/>
            </w:tcBorders>
            <w:shd w:val="clear" w:color="auto" w:fill="8EAADB" w:themeFill="accent1" w:themeFillTint="99"/>
            <w:noWrap/>
            <w:vAlign w:val="bottom"/>
            <w:hideMark/>
          </w:tcPr>
          <w:p w14:paraId="42C21C7C" w14:textId="77777777" w:rsidR="00E70042" w:rsidRPr="000876AA" w:rsidRDefault="00E70042" w:rsidP="00E70042">
            <w:pPr>
              <w:jc w:val="right"/>
              <w:rPr>
                <w:rFonts w:ascii="Arial" w:hAnsi="Arial" w:cs="Arial"/>
                <w:b/>
                <w:bCs/>
                <w:sz w:val="16"/>
                <w:szCs w:val="16"/>
                <w:lang w:eastAsia="es-CO"/>
              </w:rPr>
            </w:pPr>
            <w:r w:rsidRPr="000876AA">
              <w:rPr>
                <w:rFonts w:ascii="Arial" w:hAnsi="Arial" w:cs="Arial"/>
                <w:b/>
                <w:bCs/>
                <w:sz w:val="16"/>
                <w:szCs w:val="16"/>
              </w:rPr>
              <w:t>100,0%</w:t>
            </w:r>
          </w:p>
        </w:tc>
        <w:tc>
          <w:tcPr>
            <w:tcW w:w="0" w:type="auto"/>
            <w:tcBorders>
              <w:top w:val="nil"/>
              <w:left w:val="nil"/>
              <w:bottom w:val="single" w:sz="4" w:space="0" w:color="auto"/>
              <w:right w:val="single" w:sz="4" w:space="0" w:color="auto"/>
            </w:tcBorders>
            <w:shd w:val="clear" w:color="auto" w:fill="8EAADB" w:themeFill="accent1" w:themeFillTint="99"/>
            <w:noWrap/>
            <w:vAlign w:val="center"/>
            <w:hideMark/>
          </w:tcPr>
          <w:p w14:paraId="2BCB8861" w14:textId="77777777" w:rsidR="00E70042" w:rsidRPr="000876AA" w:rsidRDefault="00E70042" w:rsidP="00E70042">
            <w:pPr>
              <w:jc w:val="center"/>
              <w:rPr>
                <w:rFonts w:ascii="Arial" w:hAnsi="Arial" w:cs="Arial"/>
                <w:b/>
                <w:bCs/>
                <w:sz w:val="16"/>
                <w:szCs w:val="16"/>
                <w:lang w:eastAsia="es-CO"/>
              </w:rPr>
            </w:pPr>
            <w:r w:rsidRPr="000876AA">
              <w:rPr>
                <w:rFonts w:ascii="Arial" w:hAnsi="Arial" w:cs="Arial"/>
                <w:b/>
                <w:bCs/>
                <w:sz w:val="16"/>
                <w:szCs w:val="16"/>
                <w:lang w:eastAsia="es-CO"/>
              </w:rPr>
              <w:t>6.097.935</w:t>
            </w:r>
          </w:p>
        </w:tc>
      </w:tr>
    </w:tbl>
    <w:p w14:paraId="573E83F5" w14:textId="77777777" w:rsidR="00505796" w:rsidRPr="000876AA" w:rsidRDefault="00505796" w:rsidP="00505796">
      <w:pPr>
        <w:pStyle w:val="Descripcin"/>
        <w:ind w:firstLine="360"/>
        <w:jc w:val="both"/>
        <w:rPr>
          <w:rFonts w:ascii="Arial" w:hAnsi="Arial" w:cs="Arial"/>
          <w:b w:val="0"/>
          <w:i/>
          <w:iCs/>
          <w:sz w:val="16"/>
          <w:szCs w:val="18"/>
        </w:rPr>
      </w:pPr>
      <w:r w:rsidRPr="000876AA">
        <w:rPr>
          <w:rFonts w:ascii="Arial" w:hAnsi="Arial" w:cs="Arial"/>
          <w:sz w:val="18"/>
          <w:szCs w:val="18"/>
        </w:rPr>
        <w:tab/>
      </w:r>
      <w:r w:rsidRPr="000876AA">
        <w:rPr>
          <w:rFonts w:ascii="Arial" w:hAnsi="Arial" w:cs="Arial"/>
          <w:sz w:val="18"/>
          <w:szCs w:val="18"/>
        </w:rPr>
        <w:tab/>
      </w:r>
      <w:r w:rsidRPr="000876AA">
        <w:rPr>
          <w:rFonts w:ascii="Arial" w:hAnsi="Arial" w:cs="Arial"/>
          <w:b w:val="0"/>
          <w:sz w:val="16"/>
          <w:szCs w:val="18"/>
        </w:rPr>
        <w:t>Fuente: Unidad de Planeación</w:t>
      </w:r>
    </w:p>
    <w:p w14:paraId="60A037F3" w14:textId="77777777" w:rsidR="00E70042" w:rsidRPr="000876AA" w:rsidRDefault="00E70042" w:rsidP="00E70042">
      <w:pPr>
        <w:rPr>
          <w:rFonts w:ascii="Arial" w:hAnsi="Arial" w:cs="Arial"/>
          <w:sz w:val="18"/>
          <w:szCs w:val="18"/>
          <w:lang w:val="es-ES"/>
        </w:rPr>
      </w:pPr>
    </w:p>
    <w:p w14:paraId="7D8F4AE0" w14:textId="5A7B0D9A" w:rsidR="00E70042" w:rsidRPr="005819C5" w:rsidRDefault="00E70042" w:rsidP="005819C5">
      <w:pPr>
        <w:pStyle w:val="Prrafodelista"/>
        <w:widowControl w:val="0"/>
        <w:numPr>
          <w:ilvl w:val="1"/>
          <w:numId w:val="32"/>
        </w:numPr>
        <w:jc w:val="both"/>
        <w:rPr>
          <w:rFonts w:ascii="Arial" w:hAnsi="Arial" w:cs="Arial"/>
          <w:sz w:val="18"/>
          <w:szCs w:val="18"/>
        </w:rPr>
      </w:pPr>
      <w:r w:rsidRPr="005819C5">
        <w:rPr>
          <w:rFonts w:ascii="Arial" w:hAnsi="Arial" w:cs="Arial"/>
          <w:sz w:val="18"/>
          <w:szCs w:val="18"/>
        </w:rPr>
        <w:t>INFORME DE EJECUCIÓN PRESUPUESTAL DE GASTOS 2022</w:t>
      </w:r>
    </w:p>
    <w:p w14:paraId="7B773256" w14:textId="77777777" w:rsidR="00E70042" w:rsidRPr="000876AA" w:rsidRDefault="00E70042" w:rsidP="00E70042">
      <w:pPr>
        <w:rPr>
          <w:rFonts w:ascii="Arial" w:hAnsi="Arial" w:cs="Arial"/>
          <w:bCs/>
          <w:sz w:val="18"/>
          <w:szCs w:val="18"/>
        </w:rPr>
      </w:pPr>
      <w:r w:rsidRPr="000876AA">
        <w:rPr>
          <w:rFonts w:ascii="Arial" w:hAnsi="Arial" w:cs="Arial"/>
          <w:sz w:val="18"/>
          <w:szCs w:val="18"/>
        </w:rPr>
        <w:t xml:space="preserve">El presupuesto inicial de la Rama Judicial para la vigencia 2022 fue de $5.6 billones; sin embargo, durante el transcurso del año registró un incremento de $449.737 millones para atender el incremento salarial quedando un presupuesto definitivo de </w:t>
      </w:r>
      <w:r w:rsidRPr="000876AA">
        <w:rPr>
          <w:rFonts w:ascii="Arial" w:hAnsi="Arial" w:cs="Arial"/>
          <w:bCs/>
          <w:sz w:val="18"/>
          <w:szCs w:val="18"/>
        </w:rPr>
        <w:t>$6 billones, de los cuales $5.4 billones, es decir, el 89,5% se asignaron a gastos de funcionamiento, $61.903 (1,0%) millones para deuda pública y $580.822 millones, esto es, el 9,5%, se apropiaron para el presupuesto de inversión.</w:t>
      </w:r>
    </w:p>
    <w:p w14:paraId="5E822F5C" w14:textId="77777777" w:rsidR="00505796" w:rsidRPr="000876AA" w:rsidRDefault="00505796" w:rsidP="00E70042">
      <w:pPr>
        <w:rPr>
          <w:rFonts w:ascii="Arial" w:hAnsi="Arial" w:cs="Arial"/>
          <w:sz w:val="18"/>
          <w:szCs w:val="18"/>
        </w:rPr>
      </w:pPr>
    </w:p>
    <w:p w14:paraId="26D2F6F8" w14:textId="1A558955" w:rsidR="00E70042" w:rsidRPr="000876AA" w:rsidRDefault="00E70042" w:rsidP="00505796">
      <w:pPr>
        <w:jc w:val="both"/>
        <w:rPr>
          <w:rFonts w:ascii="Arial" w:hAnsi="Arial" w:cs="Arial"/>
          <w:sz w:val="18"/>
          <w:szCs w:val="18"/>
        </w:rPr>
      </w:pPr>
      <w:r w:rsidRPr="000876AA">
        <w:rPr>
          <w:rFonts w:ascii="Arial" w:hAnsi="Arial" w:cs="Arial"/>
          <w:sz w:val="18"/>
          <w:szCs w:val="18"/>
        </w:rPr>
        <w:t>Se registraron compromisos por valor de $5.9 billones, equivalente al 97,6% del presupuesto definitivo. Así mismo, se procesaron obligaciones por un monto de $5.4 billones equivalente al 89,3% del presupuesto y se pagó la suma de $5.4 billones equivalente al 88,7% del presupuesto, como se observa en la siguiente tabla:</w:t>
      </w:r>
    </w:p>
    <w:p w14:paraId="4B588912" w14:textId="77777777" w:rsidR="00505796" w:rsidRPr="000876AA" w:rsidRDefault="00505796" w:rsidP="00E70042">
      <w:pPr>
        <w:pStyle w:val="Descripcin"/>
        <w:rPr>
          <w:rFonts w:ascii="Arial" w:hAnsi="Arial" w:cs="Arial"/>
          <w:sz w:val="18"/>
          <w:szCs w:val="18"/>
        </w:rPr>
      </w:pPr>
    </w:p>
    <w:p w14:paraId="065946F6" w14:textId="212F83B1" w:rsidR="00E70042" w:rsidRPr="000876AA" w:rsidRDefault="00E70042" w:rsidP="00505796">
      <w:pPr>
        <w:pStyle w:val="Descripcin"/>
        <w:jc w:val="center"/>
        <w:rPr>
          <w:rFonts w:ascii="Arial" w:eastAsia="Arial" w:hAnsi="Arial" w:cs="Arial"/>
          <w:i/>
          <w:iCs/>
          <w:sz w:val="18"/>
          <w:szCs w:val="18"/>
        </w:rPr>
      </w:pPr>
      <w:bookmarkStart w:id="7" w:name="_Toc127962539"/>
      <w:r w:rsidRPr="000876AA">
        <w:rPr>
          <w:rFonts w:ascii="Arial" w:hAnsi="Arial" w:cs="Arial"/>
          <w:sz w:val="18"/>
          <w:szCs w:val="18"/>
        </w:rPr>
        <w:t xml:space="preserve">Tabla </w:t>
      </w:r>
      <w:r w:rsidR="005C7116" w:rsidRPr="000876AA">
        <w:rPr>
          <w:rFonts w:ascii="Arial" w:hAnsi="Arial" w:cs="Arial"/>
          <w:b w:val="0"/>
          <w:bCs w:val="0"/>
          <w:i/>
          <w:iCs/>
          <w:sz w:val="18"/>
          <w:szCs w:val="18"/>
        </w:rPr>
        <w:t>02</w:t>
      </w:r>
      <w:r w:rsidRPr="000876AA">
        <w:rPr>
          <w:rFonts w:ascii="Arial" w:hAnsi="Arial" w:cs="Arial"/>
          <w:sz w:val="18"/>
          <w:szCs w:val="18"/>
        </w:rPr>
        <w:t>. Ejecución Presupuestal Rama Judicial 2022 (Cifras en millones de pesos)</w:t>
      </w:r>
      <w:bookmarkEnd w:id="7"/>
    </w:p>
    <w:tbl>
      <w:tblPr>
        <w:tblW w:w="10774" w:type="dxa"/>
        <w:jc w:val="center"/>
        <w:tblLayout w:type="fixed"/>
        <w:tblCellMar>
          <w:left w:w="70" w:type="dxa"/>
          <w:right w:w="70" w:type="dxa"/>
        </w:tblCellMar>
        <w:tblLook w:val="04A0" w:firstRow="1" w:lastRow="0" w:firstColumn="1" w:lastColumn="0" w:noHBand="0" w:noVBand="1"/>
      </w:tblPr>
      <w:tblGrid>
        <w:gridCol w:w="1418"/>
        <w:gridCol w:w="1134"/>
        <w:gridCol w:w="1276"/>
        <w:gridCol w:w="1276"/>
        <w:gridCol w:w="992"/>
        <w:gridCol w:w="1108"/>
        <w:gridCol w:w="1160"/>
        <w:gridCol w:w="1134"/>
        <w:gridCol w:w="1276"/>
      </w:tblGrid>
      <w:tr w:rsidR="00E70042" w:rsidRPr="000876AA" w14:paraId="2DF528A8" w14:textId="77777777" w:rsidTr="00E70042">
        <w:trPr>
          <w:trHeight w:val="315"/>
          <w:tblHeader/>
          <w:jc w:val="center"/>
        </w:trPr>
        <w:tc>
          <w:tcPr>
            <w:tcW w:w="1418"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center"/>
            <w:hideMark/>
          </w:tcPr>
          <w:p w14:paraId="2A040E0E"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Concepto</w:t>
            </w:r>
          </w:p>
        </w:tc>
        <w:tc>
          <w:tcPr>
            <w:tcW w:w="1134" w:type="dxa"/>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14:paraId="789BFBE2"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Apropiación Definitiva              (1)</w:t>
            </w:r>
          </w:p>
        </w:tc>
        <w:tc>
          <w:tcPr>
            <w:tcW w:w="1276" w:type="dxa"/>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14:paraId="131B1446"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Compromisos (2)</w:t>
            </w:r>
          </w:p>
        </w:tc>
        <w:tc>
          <w:tcPr>
            <w:tcW w:w="1276" w:type="dxa"/>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14:paraId="10E58EFC"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Obligaciones (3)</w:t>
            </w:r>
          </w:p>
        </w:tc>
        <w:tc>
          <w:tcPr>
            <w:tcW w:w="992" w:type="dxa"/>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14:paraId="51AB0CF2"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Pagos (4)</w:t>
            </w:r>
          </w:p>
        </w:tc>
        <w:tc>
          <w:tcPr>
            <w:tcW w:w="1108" w:type="dxa"/>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14:paraId="2A1C90FC"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Comp./</w:t>
            </w:r>
            <w:proofErr w:type="spellStart"/>
            <w:r w:rsidRPr="000876AA">
              <w:rPr>
                <w:rFonts w:ascii="Arial" w:hAnsi="Arial" w:cs="Arial"/>
                <w:b/>
                <w:color w:val="000000"/>
                <w:sz w:val="16"/>
                <w:szCs w:val="16"/>
                <w:lang w:eastAsia="es-CO"/>
              </w:rPr>
              <w:t>Apro</w:t>
            </w:r>
            <w:proofErr w:type="spellEnd"/>
            <w:r w:rsidRPr="000876AA">
              <w:rPr>
                <w:rFonts w:ascii="Arial" w:hAnsi="Arial" w:cs="Arial"/>
                <w:b/>
                <w:color w:val="000000"/>
                <w:sz w:val="16"/>
                <w:szCs w:val="16"/>
                <w:lang w:eastAsia="es-CO"/>
              </w:rPr>
              <w:t>.  (5) = (2/1)</w:t>
            </w:r>
          </w:p>
        </w:tc>
        <w:tc>
          <w:tcPr>
            <w:tcW w:w="1160" w:type="dxa"/>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14:paraId="24F2CAB2" w14:textId="77777777" w:rsidR="00E70042" w:rsidRPr="000876AA" w:rsidRDefault="00E70042" w:rsidP="00E70042">
            <w:pPr>
              <w:jc w:val="center"/>
              <w:rPr>
                <w:rFonts w:ascii="Arial" w:hAnsi="Arial" w:cs="Arial"/>
                <w:b/>
                <w:color w:val="000000"/>
                <w:sz w:val="16"/>
                <w:szCs w:val="16"/>
                <w:lang w:eastAsia="es-CO"/>
              </w:rPr>
            </w:pPr>
            <w:proofErr w:type="spellStart"/>
            <w:proofErr w:type="gramStart"/>
            <w:r w:rsidRPr="000876AA">
              <w:rPr>
                <w:rFonts w:ascii="Arial" w:hAnsi="Arial" w:cs="Arial"/>
                <w:b/>
                <w:color w:val="000000"/>
                <w:sz w:val="16"/>
                <w:szCs w:val="16"/>
                <w:lang w:eastAsia="es-CO"/>
              </w:rPr>
              <w:t>Oblig</w:t>
            </w:r>
            <w:proofErr w:type="spellEnd"/>
            <w:r w:rsidRPr="000876AA">
              <w:rPr>
                <w:rFonts w:ascii="Arial" w:hAnsi="Arial" w:cs="Arial"/>
                <w:b/>
                <w:color w:val="000000"/>
                <w:sz w:val="16"/>
                <w:szCs w:val="16"/>
                <w:lang w:eastAsia="es-CO"/>
              </w:rPr>
              <w:t>./</w:t>
            </w:r>
            <w:proofErr w:type="spellStart"/>
            <w:proofErr w:type="gramEnd"/>
            <w:r w:rsidRPr="000876AA">
              <w:rPr>
                <w:rFonts w:ascii="Arial" w:hAnsi="Arial" w:cs="Arial"/>
                <w:b/>
                <w:color w:val="000000"/>
                <w:sz w:val="16"/>
                <w:szCs w:val="16"/>
                <w:lang w:eastAsia="es-CO"/>
              </w:rPr>
              <w:t>Apro</w:t>
            </w:r>
            <w:proofErr w:type="spellEnd"/>
            <w:r w:rsidRPr="000876AA">
              <w:rPr>
                <w:rFonts w:ascii="Arial" w:hAnsi="Arial" w:cs="Arial"/>
                <w:b/>
                <w:color w:val="000000"/>
                <w:sz w:val="16"/>
                <w:szCs w:val="16"/>
                <w:lang w:eastAsia="es-CO"/>
              </w:rPr>
              <w:t>.         (6) = (4/1)</w:t>
            </w:r>
          </w:p>
        </w:tc>
        <w:tc>
          <w:tcPr>
            <w:tcW w:w="1134" w:type="dxa"/>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14:paraId="1156DC85"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Pago/</w:t>
            </w:r>
            <w:proofErr w:type="spellStart"/>
            <w:r w:rsidRPr="000876AA">
              <w:rPr>
                <w:rFonts w:ascii="Arial" w:hAnsi="Arial" w:cs="Arial"/>
                <w:b/>
                <w:color w:val="000000"/>
                <w:sz w:val="16"/>
                <w:szCs w:val="16"/>
                <w:lang w:eastAsia="es-CO"/>
              </w:rPr>
              <w:t>Apro</w:t>
            </w:r>
            <w:proofErr w:type="spellEnd"/>
            <w:r w:rsidRPr="000876AA">
              <w:rPr>
                <w:rFonts w:ascii="Arial" w:hAnsi="Arial" w:cs="Arial"/>
                <w:b/>
                <w:color w:val="000000"/>
                <w:sz w:val="16"/>
                <w:szCs w:val="16"/>
                <w:lang w:eastAsia="es-CO"/>
              </w:rPr>
              <w:t>.         (7) = (5/1)</w:t>
            </w:r>
          </w:p>
        </w:tc>
        <w:tc>
          <w:tcPr>
            <w:tcW w:w="1276" w:type="dxa"/>
            <w:tcBorders>
              <w:top w:val="single" w:sz="4" w:space="0" w:color="auto"/>
              <w:left w:val="nil"/>
              <w:bottom w:val="single" w:sz="4" w:space="0" w:color="auto"/>
              <w:right w:val="single" w:sz="4" w:space="0" w:color="auto"/>
            </w:tcBorders>
            <w:shd w:val="clear" w:color="auto" w:fill="8EAADB" w:themeFill="accent1" w:themeFillTint="99"/>
            <w:noWrap/>
            <w:vAlign w:val="center"/>
            <w:hideMark/>
          </w:tcPr>
          <w:p w14:paraId="4C56833A"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Sobrantes de apropiación (8) =(1-2)</w:t>
            </w:r>
          </w:p>
        </w:tc>
      </w:tr>
      <w:tr w:rsidR="00E70042" w:rsidRPr="000876AA" w14:paraId="5EC688D3" w14:textId="77777777" w:rsidTr="00E70042">
        <w:trPr>
          <w:trHeight w:val="315"/>
          <w:jc w:val="center"/>
        </w:trPr>
        <w:tc>
          <w:tcPr>
            <w:tcW w:w="1418" w:type="dxa"/>
            <w:tcBorders>
              <w:top w:val="nil"/>
              <w:left w:val="single" w:sz="4" w:space="0" w:color="auto"/>
              <w:bottom w:val="single" w:sz="4" w:space="0" w:color="auto"/>
              <w:right w:val="single" w:sz="4" w:space="0" w:color="auto"/>
            </w:tcBorders>
            <w:shd w:val="clear" w:color="auto" w:fill="8EAADB" w:themeFill="accent1" w:themeFillTint="99"/>
            <w:noWrap/>
            <w:vAlign w:val="center"/>
            <w:hideMark/>
          </w:tcPr>
          <w:p w14:paraId="31256DAE"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TOTAL RAMA JUDICIAL</w:t>
            </w:r>
          </w:p>
        </w:tc>
        <w:tc>
          <w:tcPr>
            <w:tcW w:w="1134" w:type="dxa"/>
            <w:tcBorders>
              <w:top w:val="nil"/>
              <w:left w:val="nil"/>
              <w:bottom w:val="single" w:sz="4" w:space="0" w:color="auto"/>
              <w:right w:val="single" w:sz="4" w:space="0" w:color="auto"/>
            </w:tcBorders>
            <w:shd w:val="clear" w:color="auto" w:fill="8EAADB" w:themeFill="accent1" w:themeFillTint="99"/>
            <w:noWrap/>
            <w:vAlign w:val="center"/>
            <w:hideMark/>
          </w:tcPr>
          <w:p w14:paraId="03ED6BFB"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6.097.935</w:t>
            </w:r>
          </w:p>
        </w:tc>
        <w:tc>
          <w:tcPr>
            <w:tcW w:w="1276" w:type="dxa"/>
            <w:tcBorders>
              <w:top w:val="nil"/>
              <w:left w:val="nil"/>
              <w:bottom w:val="single" w:sz="4" w:space="0" w:color="auto"/>
              <w:right w:val="single" w:sz="4" w:space="0" w:color="auto"/>
            </w:tcBorders>
            <w:shd w:val="clear" w:color="auto" w:fill="8EAADB" w:themeFill="accent1" w:themeFillTint="99"/>
            <w:noWrap/>
            <w:vAlign w:val="center"/>
            <w:hideMark/>
          </w:tcPr>
          <w:p w14:paraId="46541F66"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5.950.773</w:t>
            </w:r>
          </w:p>
        </w:tc>
        <w:tc>
          <w:tcPr>
            <w:tcW w:w="1276" w:type="dxa"/>
            <w:tcBorders>
              <w:top w:val="nil"/>
              <w:left w:val="nil"/>
              <w:bottom w:val="single" w:sz="4" w:space="0" w:color="auto"/>
              <w:right w:val="single" w:sz="4" w:space="0" w:color="auto"/>
            </w:tcBorders>
            <w:shd w:val="clear" w:color="auto" w:fill="8EAADB" w:themeFill="accent1" w:themeFillTint="99"/>
            <w:noWrap/>
            <w:vAlign w:val="center"/>
            <w:hideMark/>
          </w:tcPr>
          <w:p w14:paraId="24457422"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5.444.703</w:t>
            </w:r>
          </w:p>
        </w:tc>
        <w:tc>
          <w:tcPr>
            <w:tcW w:w="992" w:type="dxa"/>
            <w:tcBorders>
              <w:top w:val="nil"/>
              <w:left w:val="nil"/>
              <w:bottom w:val="single" w:sz="4" w:space="0" w:color="auto"/>
              <w:right w:val="single" w:sz="4" w:space="0" w:color="auto"/>
            </w:tcBorders>
            <w:shd w:val="clear" w:color="auto" w:fill="8EAADB" w:themeFill="accent1" w:themeFillTint="99"/>
            <w:noWrap/>
            <w:vAlign w:val="center"/>
            <w:hideMark/>
          </w:tcPr>
          <w:p w14:paraId="1784FB4B"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5.408.134</w:t>
            </w:r>
          </w:p>
        </w:tc>
        <w:tc>
          <w:tcPr>
            <w:tcW w:w="1108" w:type="dxa"/>
            <w:tcBorders>
              <w:top w:val="nil"/>
              <w:left w:val="nil"/>
              <w:bottom w:val="single" w:sz="4" w:space="0" w:color="auto"/>
              <w:right w:val="single" w:sz="4" w:space="0" w:color="auto"/>
            </w:tcBorders>
            <w:shd w:val="clear" w:color="auto" w:fill="8EAADB" w:themeFill="accent1" w:themeFillTint="99"/>
            <w:noWrap/>
            <w:vAlign w:val="center"/>
            <w:hideMark/>
          </w:tcPr>
          <w:p w14:paraId="63A935E6"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97,6%</w:t>
            </w:r>
          </w:p>
        </w:tc>
        <w:tc>
          <w:tcPr>
            <w:tcW w:w="1160" w:type="dxa"/>
            <w:tcBorders>
              <w:top w:val="nil"/>
              <w:left w:val="nil"/>
              <w:bottom w:val="single" w:sz="4" w:space="0" w:color="auto"/>
              <w:right w:val="single" w:sz="4" w:space="0" w:color="auto"/>
            </w:tcBorders>
            <w:shd w:val="clear" w:color="auto" w:fill="8EAADB" w:themeFill="accent1" w:themeFillTint="99"/>
            <w:noWrap/>
            <w:vAlign w:val="center"/>
            <w:hideMark/>
          </w:tcPr>
          <w:p w14:paraId="6D85A799"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89,3%</w:t>
            </w:r>
          </w:p>
        </w:tc>
        <w:tc>
          <w:tcPr>
            <w:tcW w:w="1134" w:type="dxa"/>
            <w:tcBorders>
              <w:top w:val="nil"/>
              <w:left w:val="nil"/>
              <w:bottom w:val="single" w:sz="4" w:space="0" w:color="auto"/>
              <w:right w:val="single" w:sz="4" w:space="0" w:color="auto"/>
            </w:tcBorders>
            <w:shd w:val="clear" w:color="auto" w:fill="8EAADB" w:themeFill="accent1" w:themeFillTint="99"/>
            <w:noWrap/>
            <w:vAlign w:val="center"/>
            <w:hideMark/>
          </w:tcPr>
          <w:p w14:paraId="3B7B79C4"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88,7%</w:t>
            </w:r>
          </w:p>
        </w:tc>
        <w:tc>
          <w:tcPr>
            <w:tcW w:w="1276" w:type="dxa"/>
            <w:tcBorders>
              <w:top w:val="nil"/>
              <w:left w:val="nil"/>
              <w:bottom w:val="single" w:sz="4" w:space="0" w:color="auto"/>
              <w:right w:val="single" w:sz="4" w:space="0" w:color="auto"/>
            </w:tcBorders>
            <w:shd w:val="clear" w:color="auto" w:fill="8EAADB" w:themeFill="accent1" w:themeFillTint="99"/>
            <w:noWrap/>
            <w:vAlign w:val="center"/>
            <w:hideMark/>
          </w:tcPr>
          <w:p w14:paraId="0AFB1E50"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147.162</w:t>
            </w:r>
          </w:p>
        </w:tc>
      </w:tr>
      <w:tr w:rsidR="00E70042" w:rsidRPr="000876AA" w14:paraId="0C272F17" w14:textId="77777777" w:rsidTr="00E70042">
        <w:trPr>
          <w:trHeight w:val="31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017BF57A"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Gastos de Personal</w:t>
            </w:r>
          </w:p>
        </w:tc>
        <w:tc>
          <w:tcPr>
            <w:tcW w:w="1134" w:type="dxa"/>
            <w:tcBorders>
              <w:top w:val="nil"/>
              <w:left w:val="nil"/>
              <w:bottom w:val="single" w:sz="4" w:space="0" w:color="auto"/>
              <w:right w:val="single" w:sz="4" w:space="0" w:color="auto"/>
            </w:tcBorders>
            <w:shd w:val="clear" w:color="auto" w:fill="auto"/>
            <w:noWrap/>
            <w:vAlign w:val="center"/>
            <w:hideMark/>
          </w:tcPr>
          <w:p w14:paraId="0B84EF3D"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4.969.935</w:t>
            </w:r>
          </w:p>
        </w:tc>
        <w:tc>
          <w:tcPr>
            <w:tcW w:w="1276" w:type="dxa"/>
            <w:tcBorders>
              <w:top w:val="nil"/>
              <w:left w:val="nil"/>
              <w:bottom w:val="single" w:sz="4" w:space="0" w:color="auto"/>
              <w:right w:val="single" w:sz="4" w:space="0" w:color="auto"/>
            </w:tcBorders>
            <w:shd w:val="clear" w:color="auto" w:fill="auto"/>
            <w:noWrap/>
            <w:vAlign w:val="center"/>
            <w:hideMark/>
          </w:tcPr>
          <w:p w14:paraId="05DAA732"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4.929.006</w:t>
            </w:r>
          </w:p>
        </w:tc>
        <w:tc>
          <w:tcPr>
            <w:tcW w:w="1276" w:type="dxa"/>
            <w:tcBorders>
              <w:top w:val="nil"/>
              <w:left w:val="nil"/>
              <w:bottom w:val="single" w:sz="4" w:space="0" w:color="auto"/>
              <w:right w:val="single" w:sz="4" w:space="0" w:color="auto"/>
            </w:tcBorders>
            <w:shd w:val="clear" w:color="auto" w:fill="auto"/>
            <w:noWrap/>
            <w:vAlign w:val="center"/>
            <w:hideMark/>
          </w:tcPr>
          <w:p w14:paraId="304CD257"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4.760.767</w:t>
            </w:r>
          </w:p>
        </w:tc>
        <w:tc>
          <w:tcPr>
            <w:tcW w:w="992" w:type="dxa"/>
            <w:tcBorders>
              <w:top w:val="nil"/>
              <w:left w:val="nil"/>
              <w:bottom w:val="single" w:sz="4" w:space="0" w:color="auto"/>
              <w:right w:val="single" w:sz="4" w:space="0" w:color="auto"/>
            </w:tcBorders>
            <w:shd w:val="clear" w:color="auto" w:fill="auto"/>
            <w:noWrap/>
            <w:vAlign w:val="center"/>
            <w:hideMark/>
          </w:tcPr>
          <w:p w14:paraId="0E2E1309"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4.737.833</w:t>
            </w:r>
          </w:p>
        </w:tc>
        <w:tc>
          <w:tcPr>
            <w:tcW w:w="1108" w:type="dxa"/>
            <w:tcBorders>
              <w:top w:val="nil"/>
              <w:left w:val="nil"/>
              <w:bottom w:val="single" w:sz="4" w:space="0" w:color="auto"/>
              <w:right w:val="single" w:sz="4" w:space="0" w:color="auto"/>
            </w:tcBorders>
            <w:shd w:val="clear" w:color="auto" w:fill="auto"/>
            <w:noWrap/>
            <w:vAlign w:val="center"/>
            <w:hideMark/>
          </w:tcPr>
          <w:p w14:paraId="189CFDAD"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99,2%</w:t>
            </w:r>
          </w:p>
        </w:tc>
        <w:tc>
          <w:tcPr>
            <w:tcW w:w="1160" w:type="dxa"/>
            <w:tcBorders>
              <w:top w:val="nil"/>
              <w:left w:val="nil"/>
              <w:bottom w:val="single" w:sz="4" w:space="0" w:color="auto"/>
              <w:right w:val="single" w:sz="4" w:space="0" w:color="auto"/>
            </w:tcBorders>
            <w:shd w:val="clear" w:color="auto" w:fill="auto"/>
            <w:noWrap/>
            <w:vAlign w:val="center"/>
            <w:hideMark/>
          </w:tcPr>
          <w:p w14:paraId="59BC96EC"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95,8%</w:t>
            </w:r>
          </w:p>
        </w:tc>
        <w:tc>
          <w:tcPr>
            <w:tcW w:w="1134" w:type="dxa"/>
            <w:tcBorders>
              <w:top w:val="nil"/>
              <w:left w:val="nil"/>
              <w:bottom w:val="single" w:sz="4" w:space="0" w:color="auto"/>
              <w:right w:val="single" w:sz="4" w:space="0" w:color="auto"/>
            </w:tcBorders>
            <w:shd w:val="clear" w:color="auto" w:fill="auto"/>
            <w:noWrap/>
            <w:vAlign w:val="center"/>
            <w:hideMark/>
          </w:tcPr>
          <w:p w14:paraId="32F6BF5A"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95,3%</w:t>
            </w:r>
          </w:p>
        </w:tc>
        <w:tc>
          <w:tcPr>
            <w:tcW w:w="1276" w:type="dxa"/>
            <w:tcBorders>
              <w:top w:val="nil"/>
              <w:left w:val="nil"/>
              <w:bottom w:val="single" w:sz="4" w:space="0" w:color="auto"/>
              <w:right w:val="single" w:sz="4" w:space="0" w:color="auto"/>
            </w:tcBorders>
            <w:shd w:val="clear" w:color="auto" w:fill="auto"/>
            <w:noWrap/>
            <w:vAlign w:val="center"/>
            <w:hideMark/>
          </w:tcPr>
          <w:p w14:paraId="3F17B929"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40.929</w:t>
            </w:r>
          </w:p>
        </w:tc>
      </w:tr>
      <w:tr w:rsidR="00E70042" w:rsidRPr="000876AA" w14:paraId="2C036891" w14:textId="77777777" w:rsidTr="00E70042">
        <w:trPr>
          <w:trHeight w:val="31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56464CFC"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Adquisición Bienes y Servicios</w:t>
            </w:r>
          </w:p>
        </w:tc>
        <w:tc>
          <w:tcPr>
            <w:tcW w:w="1134" w:type="dxa"/>
            <w:tcBorders>
              <w:top w:val="nil"/>
              <w:left w:val="nil"/>
              <w:bottom w:val="single" w:sz="4" w:space="0" w:color="auto"/>
              <w:right w:val="single" w:sz="4" w:space="0" w:color="auto"/>
            </w:tcBorders>
            <w:shd w:val="clear" w:color="auto" w:fill="auto"/>
            <w:noWrap/>
            <w:vAlign w:val="center"/>
            <w:hideMark/>
          </w:tcPr>
          <w:p w14:paraId="62045243"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366.920</w:t>
            </w:r>
          </w:p>
        </w:tc>
        <w:tc>
          <w:tcPr>
            <w:tcW w:w="1276" w:type="dxa"/>
            <w:tcBorders>
              <w:top w:val="nil"/>
              <w:left w:val="nil"/>
              <w:bottom w:val="single" w:sz="4" w:space="0" w:color="auto"/>
              <w:right w:val="single" w:sz="4" w:space="0" w:color="auto"/>
            </w:tcBorders>
            <w:shd w:val="clear" w:color="auto" w:fill="auto"/>
            <w:noWrap/>
            <w:vAlign w:val="center"/>
            <w:hideMark/>
          </w:tcPr>
          <w:p w14:paraId="5AD4B1B3"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359.069</w:t>
            </w:r>
          </w:p>
        </w:tc>
        <w:tc>
          <w:tcPr>
            <w:tcW w:w="1276" w:type="dxa"/>
            <w:tcBorders>
              <w:top w:val="nil"/>
              <w:left w:val="nil"/>
              <w:bottom w:val="single" w:sz="4" w:space="0" w:color="auto"/>
              <w:right w:val="single" w:sz="4" w:space="0" w:color="auto"/>
            </w:tcBorders>
            <w:shd w:val="clear" w:color="auto" w:fill="auto"/>
            <w:noWrap/>
            <w:vAlign w:val="center"/>
            <w:hideMark/>
          </w:tcPr>
          <w:p w14:paraId="2CB2064E"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326.459</w:t>
            </w:r>
          </w:p>
        </w:tc>
        <w:tc>
          <w:tcPr>
            <w:tcW w:w="992" w:type="dxa"/>
            <w:tcBorders>
              <w:top w:val="nil"/>
              <w:left w:val="nil"/>
              <w:bottom w:val="single" w:sz="4" w:space="0" w:color="auto"/>
              <w:right w:val="single" w:sz="4" w:space="0" w:color="auto"/>
            </w:tcBorders>
            <w:shd w:val="clear" w:color="auto" w:fill="auto"/>
            <w:noWrap/>
            <w:vAlign w:val="center"/>
            <w:hideMark/>
          </w:tcPr>
          <w:p w14:paraId="44A8B5DA"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322.379</w:t>
            </w:r>
          </w:p>
        </w:tc>
        <w:tc>
          <w:tcPr>
            <w:tcW w:w="1108" w:type="dxa"/>
            <w:tcBorders>
              <w:top w:val="nil"/>
              <w:left w:val="nil"/>
              <w:bottom w:val="single" w:sz="4" w:space="0" w:color="auto"/>
              <w:right w:val="single" w:sz="4" w:space="0" w:color="auto"/>
            </w:tcBorders>
            <w:shd w:val="clear" w:color="auto" w:fill="auto"/>
            <w:noWrap/>
            <w:vAlign w:val="center"/>
            <w:hideMark/>
          </w:tcPr>
          <w:p w14:paraId="17554C08"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97,9%</w:t>
            </w:r>
          </w:p>
        </w:tc>
        <w:tc>
          <w:tcPr>
            <w:tcW w:w="1160" w:type="dxa"/>
            <w:tcBorders>
              <w:top w:val="nil"/>
              <w:left w:val="nil"/>
              <w:bottom w:val="single" w:sz="4" w:space="0" w:color="auto"/>
              <w:right w:val="single" w:sz="4" w:space="0" w:color="auto"/>
            </w:tcBorders>
            <w:shd w:val="clear" w:color="auto" w:fill="auto"/>
            <w:noWrap/>
            <w:vAlign w:val="center"/>
            <w:hideMark/>
          </w:tcPr>
          <w:p w14:paraId="3E528E99"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89,0%</w:t>
            </w:r>
          </w:p>
        </w:tc>
        <w:tc>
          <w:tcPr>
            <w:tcW w:w="1134" w:type="dxa"/>
            <w:tcBorders>
              <w:top w:val="nil"/>
              <w:left w:val="nil"/>
              <w:bottom w:val="single" w:sz="4" w:space="0" w:color="auto"/>
              <w:right w:val="single" w:sz="4" w:space="0" w:color="auto"/>
            </w:tcBorders>
            <w:shd w:val="clear" w:color="auto" w:fill="auto"/>
            <w:noWrap/>
            <w:vAlign w:val="center"/>
            <w:hideMark/>
          </w:tcPr>
          <w:p w14:paraId="00354633"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87,9%</w:t>
            </w:r>
          </w:p>
        </w:tc>
        <w:tc>
          <w:tcPr>
            <w:tcW w:w="1276" w:type="dxa"/>
            <w:tcBorders>
              <w:top w:val="nil"/>
              <w:left w:val="nil"/>
              <w:bottom w:val="single" w:sz="4" w:space="0" w:color="auto"/>
              <w:right w:val="single" w:sz="4" w:space="0" w:color="auto"/>
            </w:tcBorders>
            <w:shd w:val="clear" w:color="auto" w:fill="auto"/>
            <w:noWrap/>
            <w:vAlign w:val="center"/>
            <w:hideMark/>
          </w:tcPr>
          <w:p w14:paraId="16D2B200"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7.852</w:t>
            </w:r>
          </w:p>
        </w:tc>
      </w:tr>
      <w:tr w:rsidR="00E70042" w:rsidRPr="000876AA" w14:paraId="3DD88665" w14:textId="77777777" w:rsidTr="00E70042">
        <w:trPr>
          <w:trHeight w:val="31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19CF5E39"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lastRenderedPageBreak/>
              <w:t>Transferencias corrientes</w:t>
            </w:r>
          </w:p>
        </w:tc>
        <w:tc>
          <w:tcPr>
            <w:tcW w:w="1134" w:type="dxa"/>
            <w:tcBorders>
              <w:top w:val="nil"/>
              <w:left w:val="nil"/>
              <w:bottom w:val="single" w:sz="4" w:space="0" w:color="auto"/>
              <w:right w:val="single" w:sz="4" w:space="0" w:color="auto"/>
            </w:tcBorders>
            <w:shd w:val="clear" w:color="auto" w:fill="auto"/>
            <w:noWrap/>
            <w:vAlign w:val="center"/>
            <w:hideMark/>
          </w:tcPr>
          <w:p w14:paraId="435E6AB4"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88.872</w:t>
            </w:r>
          </w:p>
        </w:tc>
        <w:tc>
          <w:tcPr>
            <w:tcW w:w="1276" w:type="dxa"/>
            <w:tcBorders>
              <w:top w:val="nil"/>
              <w:left w:val="nil"/>
              <w:bottom w:val="single" w:sz="4" w:space="0" w:color="auto"/>
              <w:right w:val="single" w:sz="4" w:space="0" w:color="auto"/>
            </w:tcBorders>
            <w:shd w:val="clear" w:color="auto" w:fill="auto"/>
            <w:noWrap/>
            <w:vAlign w:val="center"/>
            <w:hideMark/>
          </w:tcPr>
          <w:p w14:paraId="1830457F"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83.853</w:t>
            </w:r>
          </w:p>
        </w:tc>
        <w:tc>
          <w:tcPr>
            <w:tcW w:w="1276" w:type="dxa"/>
            <w:tcBorders>
              <w:top w:val="nil"/>
              <w:left w:val="nil"/>
              <w:bottom w:val="single" w:sz="4" w:space="0" w:color="auto"/>
              <w:right w:val="single" w:sz="4" w:space="0" w:color="auto"/>
            </w:tcBorders>
            <w:shd w:val="clear" w:color="auto" w:fill="auto"/>
            <w:noWrap/>
            <w:vAlign w:val="center"/>
            <w:hideMark/>
          </w:tcPr>
          <w:p w14:paraId="0EE6E544"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65.057</w:t>
            </w:r>
          </w:p>
        </w:tc>
        <w:tc>
          <w:tcPr>
            <w:tcW w:w="992" w:type="dxa"/>
            <w:tcBorders>
              <w:top w:val="nil"/>
              <w:left w:val="nil"/>
              <w:bottom w:val="single" w:sz="4" w:space="0" w:color="auto"/>
              <w:right w:val="single" w:sz="4" w:space="0" w:color="auto"/>
            </w:tcBorders>
            <w:shd w:val="clear" w:color="auto" w:fill="auto"/>
            <w:noWrap/>
            <w:vAlign w:val="center"/>
            <w:hideMark/>
          </w:tcPr>
          <w:p w14:paraId="4AF62A29"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61.987</w:t>
            </w:r>
          </w:p>
        </w:tc>
        <w:tc>
          <w:tcPr>
            <w:tcW w:w="1108" w:type="dxa"/>
            <w:tcBorders>
              <w:top w:val="nil"/>
              <w:left w:val="nil"/>
              <w:bottom w:val="single" w:sz="4" w:space="0" w:color="auto"/>
              <w:right w:val="single" w:sz="4" w:space="0" w:color="auto"/>
            </w:tcBorders>
            <w:shd w:val="clear" w:color="auto" w:fill="auto"/>
            <w:noWrap/>
            <w:vAlign w:val="center"/>
            <w:hideMark/>
          </w:tcPr>
          <w:p w14:paraId="60BC332B"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94,4%</w:t>
            </w:r>
          </w:p>
        </w:tc>
        <w:tc>
          <w:tcPr>
            <w:tcW w:w="1160" w:type="dxa"/>
            <w:tcBorders>
              <w:top w:val="nil"/>
              <w:left w:val="nil"/>
              <w:bottom w:val="single" w:sz="4" w:space="0" w:color="auto"/>
              <w:right w:val="single" w:sz="4" w:space="0" w:color="auto"/>
            </w:tcBorders>
            <w:shd w:val="clear" w:color="auto" w:fill="auto"/>
            <w:noWrap/>
            <w:vAlign w:val="center"/>
            <w:hideMark/>
          </w:tcPr>
          <w:p w14:paraId="2F03F561"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73,2%</w:t>
            </w:r>
          </w:p>
        </w:tc>
        <w:tc>
          <w:tcPr>
            <w:tcW w:w="1134" w:type="dxa"/>
            <w:tcBorders>
              <w:top w:val="nil"/>
              <w:left w:val="nil"/>
              <w:bottom w:val="single" w:sz="4" w:space="0" w:color="auto"/>
              <w:right w:val="single" w:sz="4" w:space="0" w:color="auto"/>
            </w:tcBorders>
            <w:shd w:val="clear" w:color="auto" w:fill="auto"/>
            <w:noWrap/>
            <w:vAlign w:val="center"/>
            <w:hideMark/>
          </w:tcPr>
          <w:p w14:paraId="45E94E46"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69,7%</w:t>
            </w:r>
          </w:p>
        </w:tc>
        <w:tc>
          <w:tcPr>
            <w:tcW w:w="1276" w:type="dxa"/>
            <w:tcBorders>
              <w:top w:val="nil"/>
              <w:left w:val="nil"/>
              <w:bottom w:val="single" w:sz="4" w:space="0" w:color="auto"/>
              <w:right w:val="single" w:sz="4" w:space="0" w:color="auto"/>
            </w:tcBorders>
            <w:shd w:val="clear" w:color="auto" w:fill="auto"/>
            <w:noWrap/>
            <w:vAlign w:val="center"/>
            <w:hideMark/>
          </w:tcPr>
          <w:p w14:paraId="226CAA93"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5.019</w:t>
            </w:r>
          </w:p>
        </w:tc>
      </w:tr>
      <w:tr w:rsidR="00E70042" w:rsidRPr="000876AA" w14:paraId="2320DDEE" w14:textId="77777777" w:rsidTr="00E70042">
        <w:trPr>
          <w:trHeight w:val="31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6A8A4FD"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Disminución de pasivos</w:t>
            </w:r>
          </w:p>
        </w:tc>
        <w:tc>
          <w:tcPr>
            <w:tcW w:w="1134" w:type="dxa"/>
            <w:tcBorders>
              <w:top w:val="nil"/>
              <w:left w:val="nil"/>
              <w:bottom w:val="single" w:sz="4" w:space="0" w:color="auto"/>
              <w:right w:val="single" w:sz="4" w:space="0" w:color="auto"/>
            </w:tcBorders>
            <w:shd w:val="clear" w:color="auto" w:fill="auto"/>
            <w:noWrap/>
            <w:vAlign w:val="center"/>
            <w:hideMark/>
          </w:tcPr>
          <w:p w14:paraId="7ECE3EA5"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10.824</w:t>
            </w:r>
          </w:p>
        </w:tc>
        <w:tc>
          <w:tcPr>
            <w:tcW w:w="1276" w:type="dxa"/>
            <w:tcBorders>
              <w:top w:val="nil"/>
              <w:left w:val="nil"/>
              <w:bottom w:val="single" w:sz="4" w:space="0" w:color="auto"/>
              <w:right w:val="single" w:sz="4" w:space="0" w:color="auto"/>
            </w:tcBorders>
            <w:shd w:val="clear" w:color="auto" w:fill="auto"/>
            <w:noWrap/>
            <w:vAlign w:val="center"/>
            <w:hideMark/>
          </w:tcPr>
          <w:p w14:paraId="49463DBF"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10.526</w:t>
            </w:r>
          </w:p>
        </w:tc>
        <w:tc>
          <w:tcPr>
            <w:tcW w:w="1276" w:type="dxa"/>
            <w:tcBorders>
              <w:top w:val="nil"/>
              <w:left w:val="nil"/>
              <w:bottom w:val="single" w:sz="4" w:space="0" w:color="auto"/>
              <w:right w:val="single" w:sz="4" w:space="0" w:color="auto"/>
            </w:tcBorders>
            <w:shd w:val="clear" w:color="auto" w:fill="auto"/>
            <w:noWrap/>
            <w:vAlign w:val="center"/>
            <w:hideMark/>
          </w:tcPr>
          <w:p w14:paraId="26BBA154"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10.034</w:t>
            </w:r>
          </w:p>
        </w:tc>
        <w:tc>
          <w:tcPr>
            <w:tcW w:w="992" w:type="dxa"/>
            <w:tcBorders>
              <w:top w:val="nil"/>
              <w:left w:val="nil"/>
              <w:bottom w:val="single" w:sz="4" w:space="0" w:color="auto"/>
              <w:right w:val="single" w:sz="4" w:space="0" w:color="auto"/>
            </w:tcBorders>
            <w:shd w:val="clear" w:color="auto" w:fill="auto"/>
            <w:noWrap/>
            <w:vAlign w:val="center"/>
            <w:hideMark/>
          </w:tcPr>
          <w:p w14:paraId="0728DE4C"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9.942</w:t>
            </w:r>
          </w:p>
        </w:tc>
        <w:tc>
          <w:tcPr>
            <w:tcW w:w="1108" w:type="dxa"/>
            <w:tcBorders>
              <w:top w:val="nil"/>
              <w:left w:val="nil"/>
              <w:bottom w:val="single" w:sz="4" w:space="0" w:color="auto"/>
              <w:right w:val="single" w:sz="4" w:space="0" w:color="auto"/>
            </w:tcBorders>
            <w:shd w:val="clear" w:color="auto" w:fill="auto"/>
            <w:noWrap/>
            <w:vAlign w:val="center"/>
            <w:hideMark/>
          </w:tcPr>
          <w:p w14:paraId="45E4C7BA"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97,3%</w:t>
            </w:r>
          </w:p>
        </w:tc>
        <w:tc>
          <w:tcPr>
            <w:tcW w:w="1160" w:type="dxa"/>
            <w:tcBorders>
              <w:top w:val="nil"/>
              <w:left w:val="nil"/>
              <w:bottom w:val="single" w:sz="4" w:space="0" w:color="auto"/>
              <w:right w:val="single" w:sz="4" w:space="0" w:color="auto"/>
            </w:tcBorders>
            <w:shd w:val="clear" w:color="auto" w:fill="auto"/>
            <w:noWrap/>
            <w:vAlign w:val="center"/>
            <w:hideMark/>
          </w:tcPr>
          <w:p w14:paraId="74CEF44C"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92,7%</w:t>
            </w:r>
          </w:p>
        </w:tc>
        <w:tc>
          <w:tcPr>
            <w:tcW w:w="1134" w:type="dxa"/>
            <w:tcBorders>
              <w:top w:val="nil"/>
              <w:left w:val="nil"/>
              <w:bottom w:val="single" w:sz="4" w:space="0" w:color="auto"/>
              <w:right w:val="single" w:sz="4" w:space="0" w:color="auto"/>
            </w:tcBorders>
            <w:shd w:val="clear" w:color="auto" w:fill="auto"/>
            <w:noWrap/>
            <w:vAlign w:val="center"/>
            <w:hideMark/>
          </w:tcPr>
          <w:p w14:paraId="427EFD9F"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91,8%</w:t>
            </w:r>
          </w:p>
        </w:tc>
        <w:tc>
          <w:tcPr>
            <w:tcW w:w="1276" w:type="dxa"/>
            <w:tcBorders>
              <w:top w:val="nil"/>
              <w:left w:val="nil"/>
              <w:bottom w:val="single" w:sz="4" w:space="0" w:color="auto"/>
              <w:right w:val="single" w:sz="4" w:space="0" w:color="auto"/>
            </w:tcBorders>
            <w:shd w:val="clear" w:color="auto" w:fill="auto"/>
            <w:noWrap/>
            <w:vAlign w:val="center"/>
            <w:hideMark/>
          </w:tcPr>
          <w:p w14:paraId="1CD499E6"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297</w:t>
            </w:r>
          </w:p>
        </w:tc>
      </w:tr>
      <w:tr w:rsidR="00E70042" w:rsidRPr="000876AA" w14:paraId="31215F92" w14:textId="77777777" w:rsidTr="00E70042">
        <w:trPr>
          <w:trHeight w:val="315"/>
          <w:jc w:val="center"/>
        </w:trPr>
        <w:tc>
          <w:tcPr>
            <w:tcW w:w="1418" w:type="dxa"/>
            <w:tcBorders>
              <w:top w:val="nil"/>
              <w:left w:val="single" w:sz="4" w:space="0" w:color="auto"/>
              <w:bottom w:val="single" w:sz="4" w:space="0" w:color="auto"/>
              <w:right w:val="single" w:sz="4" w:space="0" w:color="auto"/>
            </w:tcBorders>
            <w:shd w:val="clear" w:color="auto" w:fill="auto"/>
            <w:noWrap/>
            <w:vAlign w:val="center"/>
            <w:hideMark/>
          </w:tcPr>
          <w:p w14:paraId="3EEEB0FA"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Tributos</w:t>
            </w:r>
          </w:p>
        </w:tc>
        <w:tc>
          <w:tcPr>
            <w:tcW w:w="1134" w:type="dxa"/>
            <w:tcBorders>
              <w:top w:val="nil"/>
              <w:left w:val="nil"/>
              <w:bottom w:val="single" w:sz="4" w:space="0" w:color="auto"/>
              <w:right w:val="single" w:sz="4" w:space="0" w:color="auto"/>
            </w:tcBorders>
            <w:shd w:val="clear" w:color="auto" w:fill="auto"/>
            <w:noWrap/>
            <w:vAlign w:val="center"/>
            <w:hideMark/>
          </w:tcPr>
          <w:p w14:paraId="66084587"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18.658</w:t>
            </w:r>
          </w:p>
        </w:tc>
        <w:tc>
          <w:tcPr>
            <w:tcW w:w="1276" w:type="dxa"/>
            <w:tcBorders>
              <w:top w:val="nil"/>
              <w:left w:val="nil"/>
              <w:bottom w:val="single" w:sz="4" w:space="0" w:color="auto"/>
              <w:right w:val="single" w:sz="4" w:space="0" w:color="auto"/>
            </w:tcBorders>
            <w:shd w:val="clear" w:color="auto" w:fill="auto"/>
            <w:noWrap/>
            <w:vAlign w:val="center"/>
            <w:hideMark/>
          </w:tcPr>
          <w:p w14:paraId="66603CA8"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16.697</w:t>
            </w:r>
          </w:p>
        </w:tc>
        <w:tc>
          <w:tcPr>
            <w:tcW w:w="1276" w:type="dxa"/>
            <w:tcBorders>
              <w:top w:val="nil"/>
              <w:left w:val="nil"/>
              <w:bottom w:val="single" w:sz="4" w:space="0" w:color="auto"/>
              <w:right w:val="single" w:sz="4" w:space="0" w:color="auto"/>
            </w:tcBorders>
            <w:shd w:val="clear" w:color="auto" w:fill="auto"/>
            <w:noWrap/>
            <w:vAlign w:val="center"/>
            <w:hideMark/>
          </w:tcPr>
          <w:p w14:paraId="1503F976"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16.678</w:t>
            </w:r>
          </w:p>
        </w:tc>
        <w:tc>
          <w:tcPr>
            <w:tcW w:w="992" w:type="dxa"/>
            <w:tcBorders>
              <w:top w:val="nil"/>
              <w:left w:val="nil"/>
              <w:bottom w:val="single" w:sz="4" w:space="0" w:color="auto"/>
              <w:right w:val="single" w:sz="4" w:space="0" w:color="auto"/>
            </w:tcBorders>
            <w:shd w:val="clear" w:color="auto" w:fill="auto"/>
            <w:noWrap/>
            <w:vAlign w:val="center"/>
            <w:hideMark/>
          </w:tcPr>
          <w:p w14:paraId="5485E414"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16.673</w:t>
            </w:r>
          </w:p>
        </w:tc>
        <w:tc>
          <w:tcPr>
            <w:tcW w:w="1108" w:type="dxa"/>
            <w:tcBorders>
              <w:top w:val="nil"/>
              <w:left w:val="nil"/>
              <w:bottom w:val="single" w:sz="4" w:space="0" w:color="auto"/>
              <w:right w:val="single" w:sz="4" w:space="0" w:color="auto"/>
            </w:tcBorders>
            <w:shd w:val="clear" w:color="auto" w:fill="auto"/>
            <w:noWrap/>
            <w:vAlign w:val="center"/>
            <w:hideMark/>
          </w:tcPr>
          <w:p w14:paraId="2F8BC6A8"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89,5%</w:t>
            </w:r>
          </w:p>
        </w:tc>
        <w:tc>
          <w:tcPr>
            <w:tcW w:w="1160" w:type="dxa"/>
            <w:tcBorders>
              <w:top w:val="nil"/>
              <w:left w:val="nil"/>
              <w:bottom w:val="single" w:sz="4" w:space="0" w:color="auto"/>
              <w:right w:val="single" w:sz="4" w:space="0" w:color="auto"/>
            </w:tcBorders>
            <w:shd w:val="clear" w:color="auto" w:fill="auto"/>
            <w:noWrap/>
            <w:vAlign w:val="center"/>
            <w:hideMark/>
          </w:tcPr>
          <w:p w14:paraId="2050EA62"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89,4%</w:t>
            </w:r>
          </w:p>
        </w:tc>
        <w:tc>
          <w:tcPr>
            <w:tcW w:w="1134" w:type="dxa"/>
            <w:tcBorders>
              <w:top w:val="nil"/>
              <w:left w:val="nil"/>
              <w:bottom w:val="single" w:sz="4" w:space="0" w:color="auto"/>
              <w:right w:val="single" w:sz="4" w:space="0" w:color="auto"/>
            </w:tcBorders>
            <w:shd w:val="clear" w:color="auto" w:fill="auto"/>
            <w:noWrap/>
            <w:vAlign w:val="center"/>
            <w:hideMark/>
          </w:tcPr>
          <w:p w14:paraId="5B3C72CA"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89,4%</w:t>
            </w:r>
          </w:p>
        </w:tc>
        <w:tc>
          <w:tcPr>
            <w:tcW w:w="1276" w:type="dxa"/>
            <w:tcBorders>
              <w:top w:val="nil"/>
              <w:left w:val="nil"/>
              <w:bottom w:val="single" w:sz="4" w:space="0" w:color="auto"/>
              <w:right w:val="single" w:sz="4" w:space="0" w:color="auto"/>
            </w:tcBorders>
            <w:shd w:val="clear" w:color="auto" w:fill="auto"/>
            <w:noWrap/>
            <w:vAlign w:val="center"/>
            <w:hideMark/>
          </w:tcPr>
          <w:p w14:paraId="390C8A46" w14:textId="77777777" w:rsidR="00E70042" w:rsidRPr="000876AA" w:rsidRDefault="00E70042" w:rsidP="00E70042">
            <w:pPr>
              <w:jc w:val="center"/>
              <w:rPr>
                <w:rFonts w:ascii="Arial" w:hAnsi="Arial" w:cs="Arial"/>
                <w:color w:val="000000"/>
                <w:sz w:val="16"/>
                <w:szCs w:val="16"/>
                <w:lang w:eastAsia="es-CO"/>
              </w:rPr>
            </w:pPr>
            <w:r w:rsidRPr="000876AA">
              <w:rPr>
                <w:rFonts w:ascii="Arial" w:hAnsi="Arial" w:cs="Arial"/>
                <w:color w:val="000000"/>
                <w:sz w:val="16"/>
                <w:szCs w:val="16"/>
                <w:lang w:eastAsia="es-CO"/>
              </w:rPr>
              <w:t>1.961</w:t>
            </w:r>
          </w:p>
        </w:tc>
      </w:tr>
      <w:tr w:rsidR="00E70042" w:rsidRPr="000876AA" w14:paraId="17A6461C" w14:textId="77777777" w:rsidTr="00E70042">
        <w:trPr>
          <w:trHeight w:val="315"/>
          <w:jc w:val="center"/>
        </w:trPr>
        <w:tc>
          <w:tcPr>
            <w:tcW w:w="1418" w:type="dxa"/>
            <w:tcBorders>
              <w:top w:val="nil"/>
              <w:left w:val="single" w:sz="4" w:space="0" w:color="auto"/>
              <w:bottom w:val="single" w:sz="4" w:space="0" w:color="auto"/>
              <w:right w:val="single" w:sz="4" w:space="0" w:color="auto"/>
            </w:tcBorders>
            <w:shd w:val="clear" w:color="auto" w:fill="8EAADB" w:themeFill="accent1" w:themeFillTint="99"/>
            <w:noWrap/>
            <w:vAlign w:val="center"/>
            <w:hideMark/>
          </w:tcPr>
          <w:p w14:paraId="685C2A18"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Gastos de Funcionamiento</w:t>
            </w:r>
          </w:p>
        </w:tc>
        <w:tc>
          <w:tcPr>
            <w:tcW w:w="1134" w:type="dxa"/>
            <w:tcBorders>
              <w:top w:val="nil"/>
              <w:left w:val="nil"/>
              <w:bottom w:val="single" w:sz="4" w:space="0" w:color="auto"/>
              <w:right w:val="single" w:sz="4" w:space="0" w:color="auto"/>
            </w:tcBorders>
            <w:shd w:val="clear" w:color="auto" w:fill="8EAADB" w:themeFill="accent1" w:themeFillTint="99"/>
            <w:noWrap/>
            <w:vAlign w:val="center"/>
            <w:hideMark/>
          </w:tcPr>
          <w:p w14:paraId="32C7D48E"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5.455.209</w:t>
            </w:r>
          </w:p>
        </w:tc>
        <w:tc>
          <w:tcPr>
            <w:tcW w:w="1276" w:type="dxa"/>
            <w:tcBorders>
              <w:top w:val="nil"/>
              <w:left w:val="nil"/>
              <w:bottom w:val="single" w:sz="4" w:space="0" w:color="auto"/>
              <w:right w:val="single" w:sz="4" w:space="0" w:color="auto"/>
            </w:tcBorders>
            <w:shd w:val="clear" w:color="auto" w:fill="8EAADB" w:themeFill="accent1" w:themeFillTint="99"/>
            <w:noWrap/>
            <w:vAlign w:val="center"/>
            <w:hideMark/>
          </w:tcPr>
          <w:p w14:paraId="37320C66"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5.399.151</w:t>
            </w:r>
          </w:p>
        </w:tc>
        <w:tc>
          <w:tcPr>
            <w:tcW w:w="1276" w:type="dxa"/>
            <w:tcBorders>
              <w:top w:val="nil"/>
              <w:left w:val="nil"/>
              <w:bottom w:val="single" w:sz="4" w:space="0" w:color="auto"/>
              <w:right w:val="single" w:sz="4" w:space="0" w:color="auto"/>
            </w:tcBorders>
            <w:shd w:val="clear" w:color="auto" w:fill="8EAADB" w:themeFill="accent1" w:themeFillTint="99"/>
            <w:noWrap/>
            <w:vAlign w:val="center"/>
            <w:hideMark/>
          </w:tcPr>
          <w:p w14:paraId="16128378"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5.178.995</w:t>
            </w:r>
          </w:p>
        </w:tc>
        <w:tc>
          <w:tcPr>
            <w:tcW w:w="992" w:type="dxa"/>
            <w:tcBorders>
              <w:top w:val="nil"/>
              <w:left w:val="nil"/>
              <w:bottom w:val="single" w:sz="4" w:space="0" w:color="auto"/>
              <w:right w:val="single" w:sz="4" w:space="0" w:color="auto"/>
            </w:tcBorders>
            <w:shd w:val="clear" w:color="auto" w:fill="8EAADB" w:themeFill="accent1" w:themeFillTint="99"/>
            <w:noWrap/>
            <w:vAlign w:val="center"/>
            <w:hideMark/>
          </w:tcPr>
          <w:p w14:paraId="5F4A40F9"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5.148.813</w:t>
            </w:r>
          </w:p>
        </w:tc>
        <w:tc>
          <w:tcPr>
            <w:tcW w:w="1108" w:type="dxa"/>
            <w:tcBorders>
              <w:top w:val="nil"/>
              <w:left w:val="nil"/>
              <w:bottom w:val="single" w:sz="4" w:space="0" w:color="auto"/>
              <w:right w:val="single" w:sz="4" w:space="0" w:color="auto"/>
            </w:tcBorders>
            <w:shd w:val="clear" w:color="auto" w:fill="8EAADB" w:themeFill="accent1" w:themeFillTint="99"/>
            <w:noWrap/>
            <w:vAlign w:val="center"/>
            <w:hideMark/>
          </w:tcPr>
          <w:p w14:paraId="3EAB7B01"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99,0%</w:t>
            </w:r>
          </w:p>
        </w:tc>
        <w:tc>
          <w:tcPr>
            <w:tcW w:w="1160" w:type="dxa"/>
            <w:tcBorders>
              <w:top w:val="nil"/>
              <w:left w:val="nil"/>
              <w:bottom w:val="single" w:sz="4" w:space="0" w:color="auto"/>
              <w:right w:val="single" w:sz="4" w:space="0" w:color="auto"/>
            </w:tcBorders>
            <w:shd w:val="clear" w:color="auto" w:fill="8EAADB" w:themeFill="accent1" w:themeFillTint="99"/>
            <w:noWrap/>
            <w:vAlign w:val="center"/>
            <w:hideMark/>
          </w:tcPr>
          <w:p w14:paraId="539ABA71"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94,9%</w:t>
            </w:r>
          </w:p>
        </w:tc>
        <w:tc>
          <w:tcPr>
            <w:tcW w:w="1134" w:type="dxa"/>
            <w:tcBorders>
              <w:top w:val="nil"/>
              <w:left w:val="nil"/>
              <w:bottom w:val="single" w:sz="4" w:space="0" w:color="auto"/>
              <w:right w:val="single" w:sz="4" w:space="0" w:color="auto"/>
            </w:tcBorders>
            <w:shd w:val="clear" w:color="auto" w:fill="8EAADB" w:themeFill="accent1" w:themeFillTint="99"/>
            <w:noWrap/>
            <w:vAlign w:val="center"/>
            <w:hideMark/>
          </w:tcPr>
          <w:p w14:paraId="71EF5C29"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94,4%</w:t>
            </w:r>
          </w:p>
        </w:tc>
        <w:tc>
          <w:tcPr>
            <w:tcW w:w="1276" w:type="dxa"/>
            <w:tcBorders>
              <w:top w:val="nil"/>
              <w:left w:val="nil"/>
              <w:bottom w:val="single" w:sz="4" w:space="0" w:color="auto"/>
              <w:right w:val="single" w:sz="4" w:space="0" w:color="auto"/>
            </w:tcBorders>
            <w:shd w:val="clear" w:color="auto" w:fill="8EAADB" w:themeFill="accent1" w:themeFillTint="99"/>
            <w:noWrap/>
            <w:vAlign w:val="center"/>
            <w:hideMark/>
          </w:tcPr>
          <w:p w14:paraId="06AF8C4E"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56.058</w:t>
            </w:r>
          </w:p>
        </w:tc>
      </w:tr>
      <w:tr w:rsidR="00E70042" w:rsidRPr="000876AA" w14:paraId="4EC1FB9C" w14:textId="77777777" w:rsidTr="00E70042">
        <w:trPr>
          <w:trHeight w:val="315"/>
          <w:jc w:val="center"/>
        </w:trPr>
        <w:tc>
          <w:tcPr>
            <w:tcW w:w="1418" w:type="dxa"/>
            <w:tcBorders>
              <w:top w:val="nil"/>
              <w:left w:val="single" w:sz="4" w:space="0" w:color="auto"/>
              <w:bottom w:val="single" w:sz="4" w:space="0" w:color="auto"/>
              <w:right w:val="single" w:sz="4" w:space="0" w:color="auto"/>
            </w:tcBorders>
            <w:shd w:val="clear" w:color="auto" w:fill="8EAADB" w:themeFill="accent1" w:themeFillTint="99"/>
            <w:noWrap/>
            <w:vAlign w:val="center"/>
            <w:hideMark/>
          </w:tcPr>
          <w:p w14:paraId="60DC555F"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Fondo de Contingencia</w:t>
            </w:r>
          </w:p>
        </w:tc>
        <w:tc>
          <w:tcPr>
            <w:tcW w:w="1134" w:type="dxa"/>
            <w:tcBorders>
              <w:top w:val="nil"/>
              <w:left w:val="nil"/>
              <w:bottom w:val="single" w:sz="4" w:space="0" w:color="auto"/>
              <w:right w:val="single" w:sz="4" w:space="0" w:color="auto"/>
            </w:tcBorders>
            <w:shd w:val="clear" w:color="auto" w:fill="8EAADB" w:themeFill="accent1" w:themeFillTint="99"/>
            <w:noWrap/>
            <w:vAlign w:val="center"/>
            <w:hideMark/>
          </w:tcPr>
          <w:p w14:paraId="7FC3F600"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61.904</w:t>
            </w:r>
          </w:p>
        </w:tc>
        <w:tc>
          <w:tcPr>
            <w:tcW w:w="1276" w:type="dxa"/>
            <w:tcBorders>
              <w:top w:val="nil"/>
              <w:left w:val="nil"/>
              <w:bottom w:val="single" w:sz="4" w:space="0" w:color="auto"/>
              <w:right w:val="single" w:sz="4" w:space="0" w:color="auto"/>
            </w:tcBorders>
            <w:shd w:val="clear" w:color="auto" w:fill="8EAADB" w:themeFill="accent1" w:themeFillTint="99"/>
            <w:noWrap/>
            <w:vAlign w:val="center"/>
            <w:hideMark/>
          </w:tcPr>
          <w:p w14:paraId="1BC14BB3"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61.904</w:t>
            </w:r>
          </w:p>
        </w:tc>
        <w:tc>
          <w:tcPr>
            <w:tcW w:w="1276" w:type="dxa"/>
            <w:tcBorders>
              <w:top w:val="nil"/>
              <w:left w:val="nil"/>
              <w:bottom w:val="single" w:sz="4" w:space="0" w:color="auto"/>
              <w:right w:val="single" w:sz="4" w:space="0" w:color="auto"/>
            </w:tcBorders>
            <w:shd w:val="clear" w:color="auto" w:fill="8EAADB" w:themeFill="accent1" w:themeFillTint="99"/>
            <w:noWrap/>
            <w:vAlign w:val="center"/>
            <w:hideMark/>
          </w:tcPr>
          <w:p w14:paraId="6181C281"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61.904</w:t>
            </w:r>
          </w:p>
        </w:tc>
        <w:tc>
          <w:tcPr>
            <w:tcW w:w="992" w:type="dxa"/>
            <w:tcBorders>
              <w:top w:val="nil"/>
              <w:left w:val="nil"/>
              <w:bottom w:val="single" w:sz="4" w:space="0" w:color="auto"/>
              <w:right w:val="single" w:sz="4" w:space="0" w:color="auto"/>
            </w:tcBorders>
            <w:shd w:val="clear" w:color="auto" w:fill="8EAADB" w:themeFill="accent1" w:themeFillTint="99"/>
            <w:noWrap/>
            <w:vAlign w:val="center"/>
            <w:hideMark/>
          </w:tcPr>
          <w:p w14:paraId="4A0FBCB5"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61.904</w:t>
            </w:r>
          </w:p>
        </w:tc>
        <w:tc>
          <w:tcPr>
            <w:tcW w:w="1108" w:type="dxa"/>
            <w:tcBorders>
              <w:top w:val="nil"/>
              <w:left w:val="nil"/>
              <w:bottom w:val="single" w:sz="4" w:space="0" w:color="auto"/>
              <w:right w:val="single" w:sz="4" w:space="0" w:color="auto"/>
            </w:tcBorders>
            <w:shd w:val="clear" w:color="auto" w:fill="8EAADB" w:themeFill="accent1" w:themeFillTint="99"/>
            <w:noWrap/>
            <w:vAlign w:val="center"/>
            <w:hideMark/>
          </w:tcPr>
          <w:p w14:paraId="58C75088"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100,0%</w:t>
            </w:r>
          </w:p>
        </w:tc>
        <w:tc>
          <w:tcPr>
            <w:tcW w:w="1160" w:type="dxa"/>
            <w:tcBorders>
              <w:top w:val="nil"/>
              <w:left w:val="nil"/>
              <w:bottom w:val="single" w:sz="4" w:space="0" w:color="auto"/>
              <w:right w:val="single" w:sz="4" w:space="0" w:color="auto"/>
            </w:tcBorders>
            <w:shd w:val="clear" w:color="auto" w:fill="8EAADB" w:themeFill="accent1" w:themeFillTint="99"/>
            <w:noWrap/>
            <w:vAlign w:val="center"/>
            <w:hideMark/>
          </w:tcPr>
          <w:p w14:paraId="71695702"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100,0%</w:t>
            </w:r>
          </w:p>
        </w:tc>
        <w:tc>
          <w:tcPr>
            <w:tcW w:w="1134" w:type="dxa"/>
            <w:tcBorders>
              <w:top w:val="nil"/>
              <w:left w:val="nil"/>
              <w:bottom w:val="single" w:sz="4" w:space="0" w:color="auto"/>
              <w:right w:val="single" w:sz="4" w:space="0" w:color="auto"/>
            </w:tcBorders>
            <w:shd w:val="clear" w:color="auto" w:fill="8EAADB" w:themeFill="accent1" w:themeFillTint="99"/>
            <w:noWrap/>
            <w:vAlign w:val="center"/>
            <w:hideMark/>
          </w:tcPr>
          <w:p w14:paraId="713BCD40"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100,0%</w:t>
            </w:r>
          </w:p>
        </w:tc>
        <w:tc>
          <w:tcPr>
            <w:tcW w:w="1276" w:type="dxa"/>
            <w:tcBorders>
              <w:top w:val="nil"/>
              <w:left w:val="nil"/>
              <w:bottom w:val="single" w:sz="4" w:space="0" w:color="auto"/>
              <w:right w:val="single" w:sz="4" w:space="0" w:color="auto"/>
            </w:tcBorders>
            <w:shd w:val="clear" w:color="auto" w:fill="8EAADB" w:themeFill="accent1" w:themeFillTint="99"/>
            <w:noWrap/>
            <w:vAlign w:val="center"/>
            <w:hideMark/>
          </w:tcPr>
          <w:p w14:paraId="1E3E1540"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w:t>
            </w:r>
          </w:p>
        </w:tc>
      </w:tr>
      <w:tr w:rsidR="00E70042" w:rsidRPr="000876AA" w14:paraId="39CC6C97" w14:textId="77777777" w:rsidTr="00E70042">
        <w:trPr>
          <w:trHeight w:val="315"/>
          <w:jc w:val="center"/>
        </w:trPr>
        <w:tc>
          <w:tcPr>
            <w:tcW w:w="1418" w:type="dxa"/>
            <w:tcBorders>
              <w:top w:val="nil"/>
              <w:left w:val="single" w:sz="4" w:space="0" w:color="auto"/>
              <w:bottom w:val="single" w:sz="4" w:space="0" w:color="auto"/>
              <w:right w:val="single" w:sz="4" w:space="0" w:color="auto"/>
            </w:tcBorders>
            <w:shd w:val="clear" w:color="auto" w:fill="8EAADB" w:themeFill="accent1" w:themeFillTint="99"/>
            <w:noWrap/>
            <w:vAlign w:val="center"/>
            <w:hideMark/>
          </w:tcPr>
          <w:p w14:paraId="02DE74D4"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Gastos de Inversión</w:t>
            </w:r>
          </w:p>
        </w:tc>
        <w:tc>
          <w:tcPr>
            <w:tcW w:w="1134" w:type="dxa"/>
            <w:tcBorders>
              <w:top w:val="nil"/>
              <w:left w:val="nil"/>
              <w:bottom w:val="single" w:sz="4" w:space="0" w:color="auto"/>
              <w:right w:val="single" w:sz="4" w:space="0" w:color="auto"/>
            </w:tcBorders>
            <w:shd w:val="clear" w:color="auto" w:fill="8EAADB" w:themeFill="accent1" w:themeFillTint="99"/>
            <w:noWrap/>
            <w:vAlign w:val="center"/>
            <w:hideMark/>
          </w:tcPr>
          <w:p w14:paraId="2B34A4BC"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580.822</w:t>
            </w:r>
          </w:p>
        </w:tc>
        <w:tc>
          <w:tcPr>
            <w:tcW w:w="1276" w:type="dxa"/>
            <w:tcBorders>
              <w:top w:val="nil"/>
              <w:left w:val="nil"/>
              <w:bottom w:val="single" w:sz="4" w:space="0" w:color="auto"/>
              <w:right w:val="single" w:sz="4" w:space="0" w:color="auto"/>
            </w:tcBorders>
            <w:shd w:val="clear" w:color="auto" w:fill="8EAADB" w:themeFill="accent1" w:themeFillTint="99"/>
            <w:noWrap/>
            <w:vAlign w:val="center"/>
            <w:hideMark/>
          </w:tcPr>
          <w:p w14:paraId="1DA09139"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489.719</w:t>
            </w:r>
          </w:p>
        </w:tc>
        <w:tc>
          <w:tcPr>
            <w:tcW w:w="1276" w:type="dxa"/>
            <w:tcBorders>
              <w:top w:val="nil"/>
              <w:left w:val="nil"/>
              <w:bottom w:val="single" w:sz="4" w:space="0" w:color="auto"/>
              <w:right w:val="single" w:sz="4" w:space="0" w:color="auto"/>
            </w:tcBorders>
            <w:shd w:val="clear" w:color="auto" w:fill="8EAADB" w:themeFill="accent1" w:themeFillTint="99"/>
            <w:noWrap/>
            <w:vAlign w:val="center"/>
            <w:hideMark/>
          </w:tcPr>
          <w:p w14:paraId="33F008C8"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203.804</w:t>
            </w:r>
          </w:p>
        </w:tc>
        <w:tc>
          <w:tcPr>
            <w:tcW w:w="992" w:type="dxa"/>
            <w:tcBorders>
              <w:top w:val="nil"/>
              <w:left w:val="nil"/>
              <w:bottom w:val="single" w:sz="4" w:space="0" w:color="auto"/>
              <w:right w:val="single" w:sz="4" w:space="0" w:color="auto"/>
            </w:tcBorders>
            <w:shd w:val="clear" w:color="auto" w:fill="8EAADB" w:themeFill="accent1" w:themeFillTint="99"/>
            <w:noWrap/>
            <w:vAlign w:val="center"/>
            <w:hideMark/>
          </w:tcPr>
          <w:p w14:paraId="1A8DA8AA"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197.418</w:t>
            </w:r>
          </w:p>
        </w:tc>
        <w:tc>
          <w:tcPr>
            <w:tcW w:w="1108" w:type="dxa"/>
            <w:tcBorders>
              <w:top w:val="nil"/>
              <w:left w:val="nil"/>
              <w:bottom w:val="single" w:sz="4" w:space="0" w:color="auto"/>
              <w:right w:val="single" w:sz="4" w:space="0" w:color="auto"/>
            </w:tcBorders>
            <w:shd w:val="clear" w:color="auto" w:fill="8EAADB" w:themeFill="accent1" w:themeFillTint="99"/>
            <w:noWrap/>
            <w:vAlign w:val="center"/>
            <w:hideMark/>
          </w:tcPr>
          <w:p w14:paraId="478C4A97"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84,3%</w:t>
            </w:r>
          </w:p>
        </w:tc>
        <w:tc>
          <w:tcPr>
            <w:tcW w:w="1160" w:type="dxa"/>
            <w:tcBorders>
              <w:top w:val="nil"/>
              <w:left w:val="nil"/>
              <w:bottom w:val="single" w:sz="4" w:space="0" w:color="auto"/>
              <w:right w:val="single" w:sz="4" w:space="0" w:color="auto"/>
            </w:tcBorders>
            <w:shd w:val="clear" w:color="auto" w:fill="8EAADB" w:themeFill="accent1" w:themeFillTint="99"/>
            <w:noWrap/>
            <w:vAlign w:val="center"/>
            <w:hideMark/>
          </w:tcPr>
          <w:p w14:paraId="6C164B9C"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35,1%</w:t>
            </w:r>
          </w:p>
        </w:tc>
        <w:tc>
          <w:tcPr>
            <w:tcW w:w="1134" w:type="dxa"/>
            <w:tcBorders>
              <w:top w:val="nil"/>
              <w:left w:val="nil"/>
              <w:bottom w:val="single" w:sz="4" w:space="0" w:color="auto"/>
              <w:right w:val="single" w:sz="4" w:space="0" w:color="auto"/>
            </w:tcBorders>
            <w:shd w:val="clear" w:color="auto" w:fill="8EAADB" w:themeFill="accent1" w:themeFillTint="99"/>
            <w:noWrap/>
            <w:vAlign w:val="center"/>
            <w:hideMark/>
          </w:tcPr>
          <w:p w14:paraId="2E5F87D3"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34,0%</w:t>
            </w:r>
          </w:p>
        </w:tc>
        <w:tc>
          <w:tcPr>
            <w:tcW w:w="1276" w:type="dxa"/>
            <w:tcBorders>
              <w:top w:val="nil"/>
              <w:left w:val="nil"/>
              <w:bottom w:val="single" w:sz="4" w:space="0" w:color="auto"/>
              <w:right w:val="single" w:sz="4" w:space="0" w:color="auto"/>
            </w:tcBorders>
            <w:shd w:val="clear" w:color="auto" w:fill="8EAADB" w:themeFill="accent1" w:themeFillTint="99"/>
            <w:noWrap/>
            <w:vAlign w:val="center"/>
            <w:hideMark/>
          </w:tcPr>
          <w:p w14:paraId="21EA6FB6" w14:textId="77777777" w:rsidR="00E70042" w:rsidRPr="000876AA" w:rsidRDefault="00E70042" w:rsidP="00E70042">
            <w:pPr>
              <w:jc w:val="center"/>
              <w:rPr>
                <w:rFonts w:ascii="Arial" w:hAnsi="Arial" w:cs="Arial"/>
                <w:b/>
                <w:color w:val="000000"/>
                <w:sz w:val="16"/>
                <w:szCs w:val="16"/>
                <w:lang w:eastAsia="es-CO"/>
              </w:rPr>
            </w:pPr>
            <w:r w:rsidRPr="000876AA">
              <w:rPr>
                <w:rFonts w:ascii="Arial" w:hAnsi="Arial" w:cs="Arial"/>
                <w:b/>
                <w:color w:val="000000"/>
                <w:sz w:val="16"/>
                <w:szCs w:val="16"/>
                <w:lang w:eastAsia="es-CO"/>
              </w:rPr>
              <w:t>91.103</w:t>
            </w:r>
          </w:p>
        </w:tc>
      </w:tr>
    </w:tbl>
    <w:p w14:paraId="61439CA1" w14:textId="77777777" w:rsidR="00505796" w:rsidRPr="000876AA" w:rsidRDefault="00505796" w:rsidP="00505796">
      <w:pPr>
        <w:pStyle w:val="Descripcin"/>
        <w:ind w:firstLine="360"/>
        <w:jc w:val="both"/>
        <w:rPr>
          <w:rFonts w:ascii="Arial" w:hAnsi="Arial" w:cs="Arial"/>
          <w:b w:val="0"/>
          <w:i/>
          <w:iCs/>
          <w:sz w:val="16"/>
          <w:szCs w:val="18"/>
        </w:rPr>
      </w:pPr>
      <w:r w:rsidRPr="000876AA">
        <w:rPr>
          <w:rFonts w:ascii="Arial" w:hAnsi="Arial" w:cs="Arial"/>
          <w:sz w:val="18"/>
          <w:szCs w:val="18"/>
        </w:rPr>
        <w:tab/>
      </w:r>
      <w:r w:rsidRPr="000876AA">
        <w:rPr>
          <w:rFonts w:ascii="Arial" w:hAnsi="Arial" w:cs="Arial"/>
          <w:sz w:val="18"/>
          <w:szCs w:val="18"/>
        </w:rPr>
        <w:tab/>
      </w:r>
      <w:r w:rsidRPr="000876AA">
        <w:rPr>
          <w:rFonts w:ascii="Arial" w:hAnsi="Arial" w:cs="Arial"/>
          <w:b w:val="0"/>
          <w:sz w:val="16"/>
          <w:szCs w:val="18"/>
        </w:rPr>
        <w:t>Fuente: Unidad de Planeación</w:t>
      </w:r>
    </w:p>
    <w:p w14:paraId="18A38789" w14:textId="77777777" w:rsidR="00E70042" w:rsidRPr="000876AA" w:rsidRDefault="00E70042" w:rsidP="00E70042">
      <w:pPr>
        <w:rPr>
          <w:rFonts w:ascii="Arial" w:hAnsi="Arial" w:cs="Arial"/>
          <w:lang w:val="es-ES"/>
        </w:rPr>
      </w:pPr>
    </w:p>
    <w:p w14:paraId="54934126" w14:textId="40D5E2C7" w:rsidR="00E70042" w:rsidRPr="005819C5" w:rsidRDefault="00E70042" w:rsidP="005819C5">
      <w:pPr>
        <w:pStyle w:val="Prrafodelista"/>
        <w:widowControl w:val="0"/>
        <w:numPr>
          <w:ilvl w:val="1"/>
          <w:numId w:val="32"/>
        </w:numPr>
        <w:jc w:val="both"/>
        <w:rPr>
          <w:rFonts w:ascii="Arial" w:hAnsi="Arial" w:cs="Arial"/>
          <w:sz w:val="18"/>
          <w:szCs w:val="18"/>
        </w:rPr>
      </w:pPr>
      <w:bookmarkStart w:id="8" w:name="_GoBack"/>
      <w:bookmarkEnd w:id="8"/>
      <w:r w:rsidRPr="005819C5">
        <w:rPr>
          <w:rFonts w:ascii="Arial" w:hAnsi="Arial" w:cs="Arial"/>
          <w:sz w:val="18"/>
          <w:szCs w:val="18"/>
        </w:rPr>
        <w:t xml:space="preserve">EJECUCIÓN PRESUPUESTAL DE GASTOS DE FUNCIONAMIENTO </w:t>
      </w:r>
    </w:p>
    <w:p w14:paraId="51A016C6" w14:textId="78863099" w:rsidR="00E70042" w:rsidRPr="000876AA" w:rsidRDefault="00E70042" w:rsidP="00CB6D58">
      <w:pPr>
        <w:jc w:val="both"/>
        <w:rPr>
          <w:rFonts w:ascii="Arial" w:hAnsi="Arial" w:cs="Arial"/>
          <w:sz w:val="18"/>
          <w:szCs w:val="18"/>
        </w:rPr>
      </w:pPr>
      <w:r w:rsidRPr="000876AA">
        <w:rPr>
          <w:rFonts w:ascii="Arial" w:hAnsi="Arial" w:cs="Arial"/>
          <w:sz w:val="18"/>
          <w:szCs w:val="18"/>
        </w:rPr>
        <w:t>La ejecución presupuestal por cada una de las cuentas presupuestales y en relación con las etapas de la cadena presupuestal registró el siguiente comportamiento:</w:t>
      </w:r>
    </w:p>
    <w:p w14:paraId="4F03450F" w14:textId="77777777" w:rsidR="00505796" w:rsidRPr="000876AA" w:rsidRDefault="00505796" w:rsidP="00CB6D58">
      <w:pPr>
        <w:jc w:val="both"/>
        <w:rPr>
          <w:rFonts w:ascii="Arial" w:hAnsi="Arial" w:cs="Arial"/>
          <w:sz w:val="18"/>
          <w:szCs w:val="18"/>
        </w:rPr>
      </w:pPr>
    </w:p>
    <w:p w14:paraId="0596850C" w14:textId="77777777" w:rsidR="00E70042" w:rsidRPr="000876AA" w:rsidRDefault="00E70042" w:rsidP="00CB6D58">
      <w:pPr>
        <w:pStyle w:val="Prrafodelista"/>
        <w:numPr>
          <w:ilvl w:val="0"/>
          <w:numId w:val="23"/>
        </w:numPr>
        <w:spacing w:after="0" w:line="240" w:lineRule="auto"/>
        <w:jc w:val="both"/>
        <w:rPr>
          <w:rFonts w:ascii="Arial" w:hAnsi="Arial" w:cs="Arial"/>
          <w:b/>
          <w:sz w:val="18"/>
          <w:szCs w:val="18"/>
        </w:rPr>
      </w:pPr>
      <w:r w:rsidRPr="000876AA">
        <w:rPr>
          <w:rFonts w:ascii="Arial" w:hAnsi="Arial" w:cs="Arial"/>
          <w:sz w:val="18"/>
          <w:szCs w:val="18"/>
        </w:rPr>
        <w:t xml:space="preserve">Gastos de personal: el presupuesto comprometido fue de $4.9 billones, equivalente al 99,2%, lo que implica un sobrante de apropiación de $40.929 millones debido principalmente a que el gobierno nacional decretó el incremento salarial de los congresistas en el mes de diciembre, el cual sirve de base para calcular la prima especial de los magistrados de altas cortes y la incidencia en la bonificación por compensación, lo que generó limitaciones administrativas y operativas quedando pendiente la liquidación de algunas cesantías anualizadas y prestaciones sociales definitivas. </w:t>
      </w:r>
    </w:p>
    <w:p w14:paraId="7A7ACC09" w14:textId="77777777" w:rsidR="00E70042" w:rsidRPr="000876AA" w:rsidRDefault="00E70042" w:rsidP="00CB6D58">
      <w:pPr>
        <w:pStyle w:val="Prrafodelista"/>
        <w:spacing w:after="0" w:line="240" w:lineRule="auto"/>
        <w:ind w:left="360"/>
        <w:jc w:val="both"/>
        <w:rPr>
          <w:rFonts w:ascii="Arial" w:hAnsi="Arial" w:cs="Arial"/>
          <w:sz w:val="18"/>
          <w:szCs w:val="18"/>
        </w:rPr>
      </w:pPr>
    </w:p>
    <w:p w14:paraId="53F27BB1" w14:textId="77777777" w:rsidR="00E70042" w:rsidRPr="000876AA" w:rsidRDefault="00E70042" w:rsidP="00CB6D58">
      <w:pPr>
        <w:pStyle w:val="Prrafodelista"/>
        <w:spacing w:after="0" w:line="240" w:lineRule="auto"/>
        <w:ind w:left="360"/>
        <w:jc w:val="both"/>
        <w:rPr>
          <w:rFonts w:ascii="Arial" w:hAnsi="Arial" w:cs="Arial"/>
          <w:b/>
          <w:sz w:val="18"/>
          <w:szCs w:val="18"/>
        </w:rPr>
      </w:pPr>
      <w:r w:rsidRPr="000876AA">
        <w:rPr>
          <w:rFonts w:ascii="Arial" w:hAnsi="Arial" w:cs="Arial"/>
          <w:sz w:val="18"/>
          <w:szCs w:val="18"/>
        </w:rPr>
        <w:t xml:space="preserve">El monto obligado fue de $4.7 billones equivalente al 95,8%, lo que implicó una reserva presupuestal de $168.239 millones debido a pagos de contribuciones de nómina que se encontraban en trámite al cierre de la vigencia fiscal. </w:t>
      </w:r>
    </w:p>
    <w:p w14:paraId="18800A0C" w14:textId="77777777" w:rsidR="00E70042" w:rsidRPr="000876AA" w:rsidRDefault="00E70042" w:rsidP="00CB6D58">
      <w:pPr>
        <w:pStyle w:val="Prrafodelista"/>
        <w:spacing w:after="0" w:line="240" w:lineRule="auto"/>
        <w:ind w:left="360"/>
        <w:jc w:val="both"/>
        <w:rPr>
          <w:rFonts w:ascii="Arial" w:hAnsi="Arial" w:cs="Arial"/>
          <w:b/>
          <w:sz w:val="18"/>
          <w:szCs w:val="18"/>
        </w:rPr>
      </w:pPr>
    </w:p>
    <w:p w14:paraId="030E328C" w14:textId="77777777" w:rsidR="00E70042" w:rsidRPr="000876AA" w:rsidRDefault="00E70042" w:rsidP="00CB6D58">
      <w:pPr>
        <w:pStyle w:val="Prrafodelista"/>
        <w:spacing w:after="0" w:line="240" w:lineRule="auto"/>
        <w:ind w:left="360"/>
        <w:jc w:val="both"/>
        <w:rPr>
          <w:rFonts w:ascii="Arial" w:hAnsi="Arial" w:cs="Arial"/>
          <w:b/>
          <w:sz w:val="18"/>
          <w:szCs w:val="18"/>
        </w:rPr>
      </w:pPr>
      <w:r w:rsidRPr="000876AA">
        <w:rPr>
          <w:rFonts w:ascii="Arial" w:hAnsi="Arial" w:cs="Arial"/>
          <w:sz w:val="18"/>
          <w:szCs w:val="18"/>
        </w:rPr>
        <w:t xml:space="preserve">El monto pagado fue de $4.7 billones equivalente al 95,3%, lo que implicó la constitución de cuentas por pagar por valor de $22.932 millones debido a que hubo obligaciones registradas en los últimos días de diciembre pendiente de pago teniendo en cuenta el cierre bancario y de tesorería fijado por el Ministerio de Hacienda y Crédito Público y las entidades financieras.  </w:t>
      </w:r>
    </w:p>
    <w:p w14:paraId="52B5E393" w14:textId="77777777" w:rsidR="00E70042" w:rsidRPr="000876AA" w:rsidRDefault="00E70042" w:rsidP="00CB6D58">
      <w:pPr>
        <w:pStyle w:val="Prrafodelista"/>
        <w:spacing w:after="0" w:line="240" w:lineRule="auto"/>
        <w:ind w:left="360"/>
        <w:jc w:val="both"/>
        <w:rPr>
          <w:rFonts w:ascii="Arial" w:hAnsi="Arial" w:cs="Arial"/>
          <w:sz w:val="18"/>
          <w:szCs w:val="18"/>
        </w:rPr>
      </w:pPr>
      <w:r w:rsidRPr="000876AA">
        <w:rPr>
          <w:rFonts w:ascii="Arial" w:hAnsi="Arial" w:cs="Arial"/>
          <w:sz w:val="18"/>
          <w:szCs w:val="18"/>
        </w:rPr>
        <w:t xml:space="preserve"> </w:t>
      </w:r>
    </w:p>
    <w:p w14:paraId="26E85985" w14:textId="77777777" w:rsidR="00E70042" w:rsidRPr="000876AA" w:rsidRDefault="00E70042" w:rsidP="00CB6D58">
      <w:pPr>
        <w:pStyle w:val="Prrafodelista"/>
        <w:numPr>
          <w:ilvl w:val="0"/>
          <w:numId w:val="23"/>
        </w:numPr>
        <w:spacing w:after="0" w:line="240" w:lineRule="auto"/>
        <w:jc w:val="both"/>
        <w:rPr>
          <w:rFonts w:ascii="Arial" w:hAnsi="Arial" w:cs="Arial"/>
          <w:b/>
          <w:sz w:val="18"/>
          <w:szCs w:val="18"/>
        </w:rPr>
      </w:pPr>
      <w:r w:rsidRPr="000876AA">
        <w:rPr>
          <w:rFonts w:ascii="Arial" w:hAnsi="Arial" w:cs="Arial"/>
          <w:sz w:val="18"/>
          <w:szCs w:val="18"/>
        </w:rPr>
        <w:t>Adquisición de bienes y servicios: el presupuesto comprometido fue de $359.069 millones, equivalente al 97,9%, lo que implica un sobrante de apropiación de $7.852 millones debido principalmente a ahorros obtenidos en la adjudicación de procesos de contratación y facturación de servicios públicos que no se recibieron antes del cierre de la vigencia fiscal.</w:t>
      </w:r>
    </w:p>
    <w:p w14:paraId="3ABF0900" w14:textId="77777777" w:rsidR="00E70042" w:rsidRPr="000876AA" w:rsidRDefault="00E70042" w:rsidP="00CB6D58">
      <w:pPr>
        <w:pStyle w:val="Prrafodelista"/>
        <w:spacing w:after="0" w:line="240" w:lineRule="auto"/>
        <w:ind w:left="360"/>
        <w:jc w:val="both"/>
        <w:rPr>
          <w:rFonts w:ascii="Arial" w:hAnsi="Arial" w:cs="Arial"/>
          <w:b/>
          <w:sz w:val="18"/>
          <w:szCs w:val="18"/>
        </w:rPr>
      </w:pPr>
    </w:p>
    <w:p w14:paraId="4DC91BFE" w14:textId="77777777" w:rsidR="00E70042" w:rsidRPr="000876AA" w:rsidRDefault="00E70042" w:rsidP="00CB6D58">
      <w:pPr>
        <w:pStyle w:val="Prrafodelista"/>
        <w:spacing w:after="0" w:line="240" w:lineRule="auto"/>
        <w:ind w:left="360"/>
        <w:jc w:val="both"/>
        <w:rPr>
          <w:rFonts w:ascii="Arial" w:hAnsi="Arial" w:cs="Arial"/>
          <w:b/>
          <w:sz w:val="18"/>
          <w:szCs w:val="18"/>
        </w:rPr>
      </w:pPr>
      <w:r w:rsidRPr="000876AA">
        <w:rPr>
          <w:rFonts w:ascii="Arial" w:hAnsi="Arial" w:cs="Arial"/>
          <w:sz w:val="18"/>
          <w:szCs w:val="18"/>
        </w:rPr>
        <w:t xml:space="preserve">El monto obligado fue de $326.459 millones equivalente al 89,0%, lo que implicó una reserva presupuestal de $32.637 millones debido a que no se recibieron en su totalidad los bienes y servicios dentro de la vigencia fiscal, contratos cuya fecha de finalización era el 31 de diciembre lo que impidió la configuración de los requisitos para la facturación por parte del contratista y la expedición de cumplidos de los supervisores e interventores y saldos pendientes de liquidación de contratos finalizados en el mes de diciembre. </w:t>
      </w:r>
    </w:p>
    <w:p w14:paraId="3743B4B1" w14:textId="77777777" w:rsidR="00E70042" w:rsidRPr="000876AA" w:rsidRDefault="00E70042" w:rsidP="00CB6D58">
      <w:pPr>
        <w:pStyle w:val="Prrafodelista"/>
        <w:spacing w:after="0" w:line="240" w:lineRule="auto"/>
        <w:ind w:left="360"/>
        <w:jc w:val="both"/>
        <w:rPr>
          <w:rFonts w:ascii="Arial" w:hAnsi="Arial" w:cs="Arial"/>
          <w:b/>
          <w:sz w:val="18"/>
          <w:szCs w:val="18"/>
        </w:rPr>
      </w:pPr>
    </w:p>
    <w:p w14:paraId="3B77C6D6" w14:textId="77777777" w:rsidR="00E70042" w:rsidRPr="000876AA" w:rsidRDefault="00E70042" w:rsidP="00CB6D58">
      <w:pPr>
        <w:pStyle w:val="Prrafodelista"/>
        <w:spacing w:after="0" w:line="240" w:lineRule="auto"/>
        <w:ind w:left="360"/>
        <w:jc w:val="both"/>
        <w:rPr>
          <w:rFonts w:ascii="Arial" w:hAnsi="Arial" w:cs="Arial"/>
          <w:b/>
          <w:sz w:val="18"/>
          <w:szCs w:val="18"/>
        </w:rPr>
      </w:pPr>
      <w:r w:rsidRPr="000876AA">
        <w:rPr>
          <w:rFonts w:ascii="Arial" w:hAnsi="Arial" w:cs="Arial"/>
          <w:sz w:val="18"/>
          <w:szCs w:val="18"/>
        </w:rPr>
        <w:t xml:space="preserve">El monto pagado fue de $322.379 millones equivalente al 87,9%, lo que implicó la constitución de cuentas por pagar por valor de $4.080 millones debido a que hubo obligaciones registradas en los últimos días de diciembre pendientes de pago teniendo en cuenta el cierre bancario y de tesorería fijado por el Ministerio de Hacienda y Crédito Público y las entidades financieras.  </w:t>
      </w:r>
    </w:p>
    <w:p w14:paraId="7D13E617" w14:textId="77777777" w:rsidR="00E70042" w:rsidRPr="000876AA" w:rsidRDefault="00E70042" w:rsidP="00CB6D58">
      <w:pPr>
        <w:pStyle w:val="Prrafodelista"/>
        <w:spacing w:after="0" w:line="240" w:lineRule="auto"/>
        <w:ind w:left="360"/>
        <w:jc w:val="both"/>
        <w:rPr>
          <w:rFonts w:ascii="Arial" w:hAnsi="Arial" w:cs="Arial"/>
          <w:sz w:val="18"/>
          <w:szCs w:val="18"/>
        </w:rPr>
      </w:pPr>
    </w:p>
    <w:p w14:paraId="7F6F0533" w14:textId="77777777" w:rsidR="00E70042" w:rsidRPr="000876AA" w:rsidRDefault="00E70042" w:rsidP="00CB6D58">
      <w:pPr>
        <w:pStyle w:val="Prrafodelista"/>
        <w:numPr>
          <w:ilvl w:val="0"/>
          <w:numId w:val="23"/>
        </w:numPr>
        <w:spacing w:after="0" w:line="240" w:lineRule="auto"/>
        <w:jc w:val="both"/>
        <w:rPr>
          <w:rFonts w:ascii="Arial" w:hAnsi="Arial" w:cs="Arial"/>
          <w:b/>
          <w:sz w:val="18"/>
          <w:szCs w:val="18"/>
        </w:rPr>
      </w:pPr>
      <w:r w:rsidRPr="000876AA">
        <w:rPr>
          <w:rFonts w:ascii="Arial" w:hAnsi="Arial" w:cs="Arial"/>
          <w:sz w:val="18"/>
          <w:szCs w:val="18"/>
        </w:rPr>
        <w:t xml:space="preserve">Transferencias corrientes: el presupuesto comprometido fue de $88.872 millones, equivalente al 94,4%, lo que implica un sobrante de apropiación de $5.019 millones debido principalmente al registro de reintegros por concepto de recobros a las Entidades Promotoras de Salud (EPS) y la Administradora de Riesgos Laborales en los últimos días de diciembre y durante los primeros 20 días de enero, es decir, en el periodo de transición.  </w:t>
      </w:r>
    </w:p>
    <w:p w14:paraId="612777AD" w14:textId="77777777" w:rsidR="00E70042" w:rsidRPr="000876AA" w:rsidRDefault="00E70042" w:rsidP="00CB6D58">
      <w:pPr>
        <w:pStyle w:val="Prrafodelista"/>
        <w:spacing w:after="0" w:line="240" w:lineRule="auto"/>
        <w:ind w:left="360"/>
        <w:jc w:val="both"/>
        <w:rPr>
          <w:rFonts w:ascii="Arial" w:hAnsi="Arial" w:cs="Arial"/>
          <w:b/>
          <w:sz w:val="18"/>
          <w:szCs w:val="18"/>
        </w:rPr>
      </w:pPr>
    </w:p>
    <w:p w14:paraId="42271551" w14:textId="77777777" w:rsidR="00E70042" w:rsidRPr="000876AA" w:rsidRDefault="00E70042" w:rsidP="00CB6D58">
      <w:pPr>
        <w:pStyle w:val="Prrafodelista"/>
        <w:spacing w:after="0" w:line="240" w:lineRule="auto"/>
        <w:ind w:left="360"/>
        <w:jc w:val="both"/>
        <w:rPr>
          <w:rFonts w:ascii="Arial" w:hAnsi="Arial" w:cs="Arial"/>
          <w:b/>
          <w:sz w:val="18"/>
          <w:szCs w:val="18"/>
        </w:rPr>
      </w:pPr>
      <w:r w:rsidRPr="000876AA">
        <w:rPr>
          <w:rFonts w:ascii="Arial" w:hAnsi="Arial" w:cs="Arial"/>
          <w:sz w:val="18"/>
          <w:szCs w:val="18"/>
        </w:rPr>
        <w:t>El monto obligado fue de $65.057 millones equivalente al 73,2%, lo que implicó una reserva presupuestal de $18.796 millones debido especialmente a trámite de sentencias y conciliaciones, que se liquidaron en los últimos días de diciembre con base en un traslado presupuestal aprobado en diciembre.</w:t>
      </w:r>
    </w:p>
    <w:p w14:paraId="7069ACB9" w14:textId="77777777" w:rsidR="00E70042" w:rsidRPr="000876AA" w:rsidRDefault="00E70042" w:rsidP="00CB6D58">
      <w:pPr>
        <w:pStyle w:val="Prrafodelista"/>
        <w:spacing w:after="0" w:line="240" w:lineRule="auto"/>
        <w:ind w:left="360"/>
        <w:jc w:val="both"/>
        <w:rPr>
          <w:rFonts w:ascii="Arial" w:hAnsi="Arial" w:cs="Arial"/>
          <w:b/>
          <w:sz w:val="18"/>
          <w:szCs w:val="18"/>
        </w:rPr>
      </w:pPr>
    </w:p>
    <w:p w14:paraId="21142F6B" w14:textId="77777777" w:rsidR="00E70042" w:rsidRPr="000876AA" w:rsidRDefault="00E70042" w:rsidP="00CB6D58">
      <w:pPr>
        <w:pStyle w:val="Prrafodelista"/>
        <w:spacing w:after="0" w:line="240" w:lineRule="auto"/>
        <w:ind w:left="360"/>
        <w:jc w:val="both"/>
        <w:rPr>
          <w:rFonts w:ascii="Arial" w:hAnsi="Arial" w:cs="Arial"/>
          <w:b/>
          <w:sz w:val="18"/>
          <w:szCs w:val="18"/>
        </w:rPr>
      </w:pPr>
      <w:r w:rsidRPr="000876AA">
        <w:rPr>
          <w:rFonts w:ascii="Arial" w:hAnsi="Arial" w:cs="Arial"/>
          <w:sz w:val="18"/>
          <w:szCs w:val="18"/>
        </w:rPr>
        <w:t xml:space="preserve">El monto pagado fue de $61.987 millones equivalente al 69,7%, lo que implicó la constitución de cuentas por pagar por valor de $3.070 millones debido a que hubo obligaciones registradas en los últimos días de diciembre pendiente de pago </w:t>
      </w:r>
      <w:r w:rsidRPr="000876AA">
        <w:rPr>
          <w:rFonts w:ascii="Arial" w:hAnsi="Arial" w:cs="Arial"/>
          <w:sz w:val="18"/>
          <w:szCs w:val="18"/>
        </w:rPr>
        <w:lastRenderedPageBreak/>
        <w:t xml:space="preserve">teniendo en cuenta el cierre bancario y de tesorería fijado por el Ministerio de Hacienda y Crédito Público y las entidades financieras.  </w:t>
      </w:r>
    </w:p>
    <w:p w14:paraId="1E6BD93D" w14:textId="77777777" w:rsidR="00E70042" w:rsidRPr="000876AA" w:rsidRDefault="00E70042" w:rsidP="00CB6D58">
      <w:pPr>
        <w:pStyle w:val="Prrafodelista"/>
        <w:spacing w:after="0" w:line="240" w:lineRule="auto"/>
        <w:ind w:left="360"/>
        <w:jc w:val="both"/>
        <w:rPr>
          <w:rFonts w:ascii="Arial" w:hAnsi="Arial" w:cs="Arial"/>
          <w:sz w:val="18"/>
          <w:szCs w:val="18"/>
        </w:rPr>
      </w:pPr>
    </w:p>
    <w:p w14:paraId="2A79C9EF" w14:textId="77777777" w:rsidR="00E70042" w:rsidRPr="000876AA" w:rsidRDefault="00E70042" w:rsidP="00CB6D58">
      <w:pPr>
        <w:pStyle w:val="Prrafodelista"/>
        <w:numPr>
          <w:ilvl w:val="0"/>
          <w:numId w:val="23"/>
        </w:numPr>
        <w:spacing w:after="0" w:line="240" w:lineRule="auto"/>
        <w:jc w:val="both"/>
        <w:rPr>
          <w:rFonts w:ascii="Arial" w:hAnsi="Arial" w:cs="Arial"/>
          <w:sz w:val="18"/>
          <w:szCs w:val="18"/>
        </w:rPr>
      </w:pPr>
      <w:r w:rsidRPr="000876AA">
        <w:rPr>
          <w:rFonts w:ascii="Arial" w:hAnsi="Arial" w:cs="Arial"/>
          <w:sz w:val="18"/>
          <w:szCs w:val="18"/>
        </w:rPr>
        <w:t xml:space="preserve">Disminución de pasivos: el presupuesto comprometido fue de $10.526 millones, equivalente al 97,3%, lo que implica un sobrante de apropiación de $297 millones debido principalmente a que no se tramitaron solicitudes de cesantías retroactivas. </w:t>
      </w:r>
    </w:p>
    <w:p w14:paraId="1D44A853" w14:textId="77777777" w:rsidR="00E70042" w:rsidRPr="000876AA" w:rsidRDefault="00E70042" w:rsidP="00CB6D58">
      <w:pPr>
        <w:pStyle w:val="Prrafodelista"/>
        <w:spacing w:after="0" w:line="240" w:lineRule="auto"/>
        <w:ind w:left="360"/>
        <w:jc w:val="both"/>
        <w:rPr>
          <w:rFonts w:ascii="Arial" w:hAnsi="Arial" w:cs="Arial"/>
          <w:sz w:val="18"/>
          <w:szCs w:val="18"/>
        </w:rPr>
      </w:pPr>
    </w:p>
    <w:p w14:paraId="6DFA2B1A" w14:textId="3F34D582" w:rsidR="00E70042" w:rsidRPr="000876AA" w:rsidRDefault="00E70042" w:rsidP="00CB6D58">
      <w:pPr>
        <w:ind w:left="360"/>
        <w:jc w:val="both"/>
        <w:rPr>
          <w:rFonts w:ascii="Arial" w:hAnsi="Arial" w:cs="Arial"/>
          <w:sz w:val="18"/>
          <w:szCs w:val="18"/>
        </w:rPr>
      </w:pPr>
      <w:r w:rsidRPr="000876AA">
        <w:rPr>
          <w:rFonts w:ascii="Arial" w:hAnsi="Arial" w:cs="Arial"/>
          <w:sz w:val="18"/>
          <w:szCs w:val="18"/>
        </w:rPr>
        <w:t xml:space="preserve">El monto obligado fue de $10.034 millones equivalente al 92,7%, lo que implicó una reserva presupuestal de $492 millones debido a que se tramitó la liquidación de cesantías retroactivas el 31 de diciembre, quedando pendiente la constitución de la obligación por el cierre de la vigencia fiscal y en otro caso porque no ha sido posible notificar al beneficiario del auxilio de las cesantías.  </w:t>
      </w:r>
    </w:p>
    <w:p w14:paraId="68EFBB29" w14:textId="77777777" w:rsidR="00CB6D58" w:rsidRPr="000876AA" w:rsidRDefault="00CB6D58" w:rsidP="00CB6D58">
      <w:pPr>
        <w:ind w:left="360"/>
        <w:jc w:val="both"/>
        <w:rPr>
          <w:rFonts w:ascii="Arial" w:hAnsi="Arial" w:cs="Arial"/>
          <w:sz w:val="18"/>
          <w:szCs w:val="18"/>
        </w:rPr>
      </w:pPr>
    </w:p>
    <w:p w14:paraId="31547211" w14:textId="77777777" w:rsidR="00E70042" w:rsidRPr="000876AA" w:rsidRDefault="00E70042" w:rsidP="00CB6D58">
      <w:pPr>
        <w:ind w:left="360"/>
        <w:jc w:val="both"/>
        <w:rPr>
          <w:rFonts w:ascii="Arial" w:hAnsi="Arial" w:cs="Arial"/>
          <w:sz w:val="18"/>
          <w:szCs w:val="18"/>
        </w:rPr>
      </w:pPr>
      <w:r w:rsidRPr="000876AA">
        <w:rPr>
          <w:rFonts w:ascii="Arial" w:hAnsi="Arial" w:cs="Arial"/>
          <w:sz w:val="18"/>
          <w:szCs w:val="18"/>
        </w:rPr>
        <w:t xml:space="preserve">El monto pagado fue de $9.942 millones equivalente al 91,8%, lo que implicó la constitución de cuentas por pagar por valor de $92 millones debido a que hubo obligaciones registradas en los últimos días de diciembre pendiente de pago teniendo en cuenta el cierre bancario y de tesorería fijado por el Ministerio de Hacienda y Crédito Público y las entidades financieras.  </w:t>
      </w:r>
    </w:p>
    <w:p w14:paraId="0FA8C621" w14:textId="77777777" w:rsidR="00E70042" w:rsidRPr="000876AA" w:rsidRDefault="00E70042" w:rsidP="00CB6D58">
      <w:pPr>
        <w:pStyle w:val="Prrafodelista"/>
        <w:spacing w:after="0" w:line="240" w:lineRule="auto"/>
        <w:ind w:left="360"/>
        <w:jc w:val="both"/>
        <w:rPr>
          <w:rFonts w:ascii="Arial" w:hAnsi="Arial" w:cs="Arial"/>
          <w:sz w:val="18"/>
          <w:szCs w:val="18"/>
        </w:rPr>
      </w:pPr>
    </w:p>
    <w:p w14:paraId="58C58C32" w14:textId="77777777" w:rsidR="00E70042" w:rsidRPr="000876AA" w:rsidRDefault="00E70042" w:rsidP="00CB6D58">
      <w:pPr>
        <w:pStyle w:val="Prrafodelista"/>
        <w:numPr>
          <w:ilvl w:val="0"/>
          <w:numId w:val="23"/>
        </w:numPr>
        <w:spacing w:after="0" w:line="240" w:lineRule="auto"/>
        <w:jc w:val="both"/>
        <w:rPr>
          <w:rFonts w:ascii="Arial" w:hAnsi="Arial" w:cs="Arial"/>
          <w:b/>
          <w:sz w:val="18"/>
          <w:szCs w:val="18"/>
        </w:rPr>
      </w:pPr>
      <w:r w:rsidRPr="000876AA">
        <w:rPr>
          <w:rFonts w:ascii="Arial" w:hAnsi="Arial" w:cs="Arial"/>
          <w:sz w:val="18"/>
          <w:szCs w:val="18"/>
        </w:rPr>
        <w:t xml:space="preserve">Tributos, multas, sanciones e intereses de mora: el presupuesto comprometido fue de $16.697 millones, equivalente al 89,5%, lo que implica un sobrante de apropiación de $1.961 millones debido principalmente a que mediante Resolución 0016 del 7 de octubre de 2022 , el Ministerio de Hacienda y Crédito Público informó el valor liquidado de la cuota de fiscalización y </w:t>
      </w:r>
      <w:proofErr w:type="spellStart"/>
      <w:r w:rsidRPr="000876AA">
        <w:rPr>
          <w:rFonts w:ascii="Arial" w:hAnsi="Arial" w:cs="Arial"/>
          <w:sz w:val="18"/>
          <w:szCs w:val="18"/>
        </w:rPr>
        <w:t>auditaje</w:t>
      </w:r>
      <w:proofErr w:type="spellEnd"/>
      <w:r w:rsidRPr="000876AA">
        <w:rPr>
          <w:rFonts w:ascii="Arial" w:hAnsi="Arial" w:cs="Arial"/>
          <w:sz w:val="18"/>
          <w:szCs w:val="18"/>
        </w:rPr>
        <w:t xml:space="preserve"> para la vigencia fiscal 2022, siendo este valor inferior al asignado a la entidad en el decreto de liquidación del presupuesto, además de ser recursos 11 SSF que son de destinación específica.  </w:t>
      </w:r>
    </w:p>
    <w:p w14:paraId="2DA03A73" w14:textId="77777777" w:rsidR="00E70042" w:rsidRPr="000876AA" w:rsidRDefault="00E70042" w:rsidP="00CB6D58">
      <w:pPr>
        <w:pStyle w:val="Prrafodelista"/>
        <w:spacing w:after="0" w:line="240" w:lineRule="auto"/>
        <w:ind w:left="360"/>
        <w:jc w:val="both"/>
        <w:rPr>
          <w:rFonts w:ascii="Arial" w:hAnsi="Arial" w:cs="Arial"/>
          <w:b/>
          <w:sz w:val="18"/>
          <w:szCs w:val="18"/>
        </w:rPr>
      </w:pPr>
    </w:p>
    <w:p w14:paraId="76EF10E9" w14:textId="77777777" w:rsidR="00E70042" w:rsidRPr="000876AA" w:rsidRDefault="00E70042" w:rsidP="00CB6D58">
      <w:pPr>
        <w:pStyle w:val="Prrafodelista"/>
        <w:spacing w:after="0" w:line="240" w:lineRule="auto"/>
        <w:ind w:left="360"/>
        <w:jc w:val="both"/>
        <w:rPr>
          <w:rFonts w:ascii="Arial" w:hAnsi="Arial" w:cs="Arial"/>
          <w:b/>
          <w:sz w:val="18"/>
          <w:szCs w:val="18"/>
        </w:rPr>
      </w:pPr>
      <w:r w:rsidRPr="000876AA">
        <w:rPr>
          <w:rFonts w:ascii="Arial" w:hAnsi="Arial" w:cs="Arial"/>
          <w:sz w:val="18"/>
          <w:szCs w:val="18"/>
        </w:rPr>
        <w:t xml:space="preserve">El monto obligado fue de $16.678 millones equivalente al 89,4%, lo que implicó una reserva presupuestal de $19 millones debido en un caso a que el pago por PSE no se logró realizar a 31 de diciembre de 2021 y en consecuencia quedó como reserva presupuestal y en otro evento se generó el saldo en SIIF y por tanto se encuentra pendiente de aclaración.  </w:t>
      </w:r>
    </w:p>
    <w:p w14:paraId="4C68B141" w14:textId="77777777" w:rsidR="00E70042" w:rsidRPr="000876AA" w:rsidRDefault="00E70042" w:rsidP="00CB6D58">
      <w:pPr>
        <w:pStyle w:val="Prrafodelista"/>
        <w:spacing w:after="0" w:line="240" w:lineRule="auto"/>
        <w:ind w:left="360"/>
        <w:jc w:val="both"/>
        <w:rPr>
          <w:rFonts w:ascii="Arial" w:hAnsi="Arial" w:cs="Arial"/>
          <w:b/>
          <w:sz w:val="18"/>
          <w:szCs w:val="18"/>
        </w:rPr>
      </w:pPr>
    </w:p>
    <w:p w14:paraId="6764F921" w14:textId="77777777" w:rsidR="00E70042" w:rsidRPr="000876AA" w:rsidRDefault="00E70042" w:rsidP="00CB6D58">
      <w:pPr>
        <w:pStyle w:val="Prrafodelista"/>
        <w:spacing w:after="0" w:line="240" w:lineRule="auto"/>
        <w:ind w:left="360"/>
        <w:jc w:val="both"/>
        <w:rPr>
          <w:rFonts w:ascii="Arial" w:hAnsi="Arial" w:cs="Arial"/>
          <w:b/>
          <w:sz w:val="18"/>
          <w:szCs w:val="18"/>
        </w:rPr>
      </w:pPr>
      <w:r w:rsidRPr="000876AA">
        <w:rPr>
          <w:rFonts w:ascii="Arial" w:hAnsi="Arial" w:cs="Arial"/>
          <w:sz w:val="18"/>
          <w:szCs w:val="18"/>
        </w:rPr>
        <w:t xml:space="preserve">El monto pagado fue de $16.673 millones equivalente al 89,4%, lo que implicó la constitución de cuentas por pagar por valor de $5 millones. </w:t>
      </w:r>
    </w:p>
    <w:p w14:paraId="27B6641F" w14:textId="77777777" w:rsidR="00E70042" w:rsidRPr="000876AA" w:rsidRDefault="00E70042" w:rsidP="00E70042">
      <w:pPr>
        <w:pStyle w:val="Prrafodelista"/>
        <w:spacing w:after="0" w:line="240" w:lineRule="auto"/>
        <w:ind w:left="360"/>
        <w:rPr>
          <w:rFonts w:ascii="Arial" w:hAnsi="Arial" w:cs="Arial"/>
          <w:b/>
          <w:sz w:val="18"/>
          <w:szCs w:val="18"/>
        </w:rPr>
      </w:pPr>
    </w:p>
    <w:p w14:paraId="1B2BB9C7" w14:textId="77777777" w:rsidR="00E70042" w:rsidRPr="000876AA" w:rsidRDefault="00E70042" w:rsidP="005819C5">
      <w:pPr>
        <w:pStyle w:val="Prrafodelista"/>
        <w:widowControl w:val="0"/>
        <w:numPr>
          <w:ilvl w:val="1"/>
          <w:numId w:val="32"/>
        </w:numPr>
        <w:jc w:val="both"/>
        <w:rPr>
          <w:rFonts w:ascii="Arial" w:hAnsi="Arial" w:cs="Arial"/>
          <w:sz w:val="18"/>
          <w:szCs w:val="18"/>
        </w:rPr>
      </w:pPr>
      <w:r w:rsidRPr="000876AA">
        <w:rPr>
          <w:rFonts w:ascii="Arial" w:hAnsi="Arial" w:cs="Arial"/>
          <w:sz w:val="18"/>
          <w:szCs w:val="18"/>
        </w:rPr>
        <w:t>EJECUCIÓN PRESUPUESTAL DE GASTOS DE INVERSIÓN</w:t>
      </w:r>
    </w:p>
    <w:p w14:paraId="6F85AF3E" w14:textId="77777777" w:rsidR="00E70042" w:rsidRPr="000876AA" w:rsidRDefault="00E70042" w:rsidP="00E70042">
      <w:pPr>
        <w:rPr>
          <w:rFonts w:ascii="Arial" w:hAnsi="Arial" w:cs="Arial"/>
          <w:iCs/>
          <w:sz w:val="18"/>
          <w:szCs w:val="18"/>
        </w:rPr>
      </w:pPr>
      <w:r w:rsidRPr="000876AA">
        <w:rPr>
          <w:rFonts w:ascii="Arial" w:hAnsi="Arial" w:cs="Arial"/>
          <w:iCs/>
          <w:sz w:val="18"/>
          <w:szCs w:val="18"/>
        </w:rPr>
        <w:t xml:space="preserve">El presupuesto de inversión se ejecutó a nivel de la cadena presupuestal como se observa en la siguiente tabla:  </w:t>
      </w:r>
    </w:p>
    <w:p w14:paraId="1AEBF4A5" w14:textId="77777777" w:rsidR="00505796" w:rsidRPr="000876AA" w:rsidRDefault="00505796" w:rsidP="00E70042">
      <w:pPr>
        <w:pStyle w:val="Descripcin"/>
        <w:rPr>
          <w:rFonts w:ascii="Arial" w:hAnsi="Arial" w:cs="Arial"/>
          <w:sz w:val="18"/>
          <w:szCs w:val="18"/>
        </w:rPr>
      </w:pPr>
      <w:bookmarkStart w:id="9" w:name="_Toc127962540"/>
    </w:p>
    <w:p w14:paraId="76A0C6A5" w14:textId="2525F453" w:rsidR="00E70042" w:rsidRPr="000876AA" w:rsidRDefault="00E70042" w:rsidP="00505796">
      <w:pPr>
        <w:pStyle w:val="Descripcin"/>
        <w:jc w:val="center"/>
        <w:rPr>
          <w:rFonts w:ascii="Arial" w:eastAsia="Arial" w:hAnsi="Arial" w:cs="Arial"/>
          <w:i/>
          <w:iCs/>
          <w:sz w:val="18"/>
          <w:szCs w:val="18"/>
        </w:rPr>
      </w:pPr>
      <w:r w:rsidRPr="000876AA">
        <w:rPr>
          <w:rFonts w:ascii="Arial" w:hAnsi="Arial" w:cs="Arial"/>
          <w:sz w:val="18"/>
          <w:szCs w:val="18"/>
        </w:rPr>
        <w:t xml:space="preserve">Tabla </w:t>
      </w:r>
      <w:r w:rsidR="005C7116" w:rsidRPr="000876AA">
        <w:rPr>
          <w:rFonts w:ascii="Arial" w:hAnsi="Arial" w:cs="Arial"/>
          <w:sz w:val="18"/>
          <w:szCs w:val="18"/>
        </w:rPr>
        <w:t>03</w:t>
      </w:r>
      <w:r w:rsidRPr="000876AA">
        <w:rPr>
          <w:rFonts w:ascii="Arial" w:hAnsi="Arial" w:cs="Arial"/>
          <w:sz w:val="18"/>
          <w:szCs w:val="18"/>
        </w:rPr>
        <w:t>. Ejecución Presupuestal de Inversión Rama Judicial 2022 (Cifras en millones de pesos)</w:t>
      </w:r>
      <w:bookmarkEnd w:id="9"/>
    </w:p>
    <w:tbl>
      <w:tblPr>
        <w:tblW w:w="0" w:type="auto"/>
        <w:tblCellMar>
          <w:left w:w="0" w:type="dxa"/>
          <w:right w:w="0" w:type="dxa"/>
        </w:tblCellMar>
        <w:tblLook w:val="04A0" w:firstRow="1" w:lastRow="0" w:firstColumn="1" w:lastColumn="0" w:noHBand="0" w:noVBand="1"/>
      </w:tblPr>
      <w:tblGrid>
        <w:gridCol w:w="2444"/>
        <w:gridCol w:w="2067"/>
        <w:gridCol w:w="668"/>
        <w:gridCol w:w="698"/>
        <w:gridCol w:w="673"/>
        <w:gridCol w:w="673"/>
        <w:gridCol w:w="602"/>
        <w:gridCol w:w="514"/>
        <w:gridCol w:w="514"/>
        <w:gridCol w:w="1101"/>
      </w:tblGrid>
      <w:tr w:rsidR="00E70042" w:rsidRPr="000876AA" w14:paraId="07261283" w14:textId="77777777" w:rsidTr="00E70042">
        <w:trPr>
          <w:trHeight w:val="57"/>
          <w:tblHeader/>
        </w:trPr>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21" w:type="dxa"/>
              <w:bottom w:w="0" w:type="dxa"/>
              <w:right w:w="21" w:type="dxa"/>
            </w:tcMar>
            <w:vAlign w:val="center"/>
            <w:hideMark/>
          </w:tcPr>
          <w:p w14:paraId="10F1A227" w14:textId="77777777" w:rsidR="00E70042" w:rsidRPr="000876AA" w:rsidRDefault="00E70042" w:rsidP="00E70042">
            <w:pPr>
              <w:jc w:val="center"/>
              <w:rPr>
                <w:rFonts w:ascii="Arial" w:hAnsi="Arial" w:cs="Arial"/>
                <w:b/>
                <w:sz w:val="16"/>
                <w:szCs w:val="16"/>
                <w:lang w:eastAsia="ar-SA"/>
              </w:rPr>
            </w:pPr>
            <w:r w:rsidRPr="000876AA">
              <w:rPr>
                <w:rFonts w:ascii="Arial" w:hAnsi="Arial" w:cs="Arial"/>
                <w:b/>
                <w:sz w:val="16"/>
                <w:szCs w:val="16"/>
                <w:lang w:eastAsia="ar-SA"/>
              </w:rPr>
              <w:t>PROYECTO</w:t>
            </w:r>
          </w:p>
        </w:tc>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21" w:type="dxa"/>
              <w:bottom w:w="0" w:type="dxa"/>
              <w:right w:w="21" w:type="dxa"/>
            </w:tcMar>
            <w:vAlign w:val="center"/>
            <w:hideMark/>
          </w:tcPr>
          <w:p w14:paraId="20E66F89" w14:textId="77777777" w:rsidR="00E70042" w:rsidRPr="000876AA" w:rsidRDefault="00E70042" w:rsidP="00E70042">
            <w:pPr>
              <w:jc w:val="center"/>
              <w:rPr>
                <w:rFonts w:ascii="Arial" w:hAnsi="Arial" w:cs="Arial"/>
                <w:b/>
                <w:sz w:val="16"/>
                <w:szCs w:val="16"/>
                <w:lang w:eastAsia="ar-SA"/>
              </w:rPr>
            </w:pPr>
            <w:r w:rsidRPr="000876AA">
              <w:rPr>
                <w:rFonts w:ascii="Arial" w:hAnsi="Arial" w:cs="Arial"/>
                <w:b/>
                <w:sz w:val="16"/>
                <w:szCs w:val="16"/>
                <w:lang w:eastAsia="ar-SA"/>
              </w:rPr>
              <w:t>UNIDAD</w:t>
            </w:r>
          </w:p>
        </w:tc>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21" w:type="dxa"/>
              <w:bottom w:w="0" w:type="dxa"/>
              <w:right w:w="21" w:type="dxa"/>
            </w:tcMar>
            <w:vAlign w:val="center"/>
            <w:hideMark/>
          </w:tcPr>
          <w:p w14:paraId="4351AB8B" w14:textId="77777777" w:rsidR="00E70042" w:rsidRPr="000876AA" w:rsidRDefault="00E70042" w:rsidP="00E70042">
            <w:pPr>
              <w:jc w:val="center"/>
              <w:rPr>
                <w:rFonts w:ascii="Arial" w:hAnsi="Arial" w:cs="Arial"/>
                <w:b/>
                <w:sz w:val="16"/>
                <w:szCs w:val="16"/>
                <w:lang w:eastAsia="ar-SA"/>
              </w:rPr>
            </w:pPr>
            <w:r w:rsidRPr="000876AA">
              <w:rPr>
                <w:rFonts w:ascii="Arial" w:hAnsi="Arial" w:cs="Arial"/>
                <w:b/>
                <w:sz w:val="16"/>
                <w:szCs w:val="16"/>
                <w:lang w:eastAsia="ar-SA"/>
              </w:rPr>
              <w:t>APROP</w:t>
            </w:r>
          </w:p>
        </w:tc>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21" w:type="dxa"/>
              <w:bottom w:w="0" w:type="dxa"/>
              <w:right w:w="21" w:type="dxa"/>
            </w:tcMar>
            <w:vAlign w:val="center"/>
            <w:hideMark/>
          </w:tcPr>
          <w:p w14:paraId="2F2EC5FE" w14:textId="77777777" w:rsidR="00E70042" w:rsidRPr="000876AA" w:rsidRDefault="00E70042" w:rsidP="00E70042">
            <w:pPr>
              <w:jc w:val="center"/>
              <w:rPr>
                <w:rFonts w:ascii="Arial" w:hAnsi="Arial" w:cs="Arial"/>
                <w:b/>
                <w:sz w:val="16"/>
                <w:szCs w:val="16"/>
                <w:lang w:eastAsia="ar-SA"/>
              </w:rPr>
            </w:pPr>
            <w:r w:rsidRPr="000876AA">
              <w:rPr>
                <w:rFonts w:ascii="Arial" w:hAnsi="Arial" w:cs="Arial"/>
                <w:b/>
                <w:sz w:val="16"/>
                <w:szCs w:val="16"/>
                <w:lang w:eastAsia="ar-SA"/>
              </w:rPr>
              <w:t>COMPR</w:t>
            </w:r>
          </w:p>
        </w:tc>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21" w:type="dxa"/>
              <w:bottom w:w="0" w:type="dxa"/>
              <w:right w:w="21" w:type="dxa"/>
            </w:tcMar>
            <w:vAlign w:val="center"/>
            <w:hideMark/>
          </w:tcPr>
          <w:p w14:paraId="306E7A97" w14:textId="77777777" w:rsidR="00E70042" w:rsidRPr="000876AA" w:rsidRDefault="00E70042" w:rsidP="00E70042">
            <w:pPr>
              <w:jc w:val="center"/>
              <w:rPr>
                <w:rFonts w:ascii="Arial" w:hAnsi="Arial" w:cs="Arial"/>
                <w:b/>
                <w:sz w:val="16"/>
                <w:szCs w:val="16"/>
                <w:lang w:eastAsia="ar-SA"/>
              </w:rPr>
            </w:pPr>
            <w:r w:rsidRPr="000876AA">
              <w:rPr>
                <w:rFonts w:ascii="Arial" w:hAnsi="Arial" w:cs="Arial"/>
                <w:b/>
                <w:sz w:val="16"/>
                <w:szCs w:val="16"/>
                <w:lang w:eastAsia="ar-SA"/>
              </w:rPr>
              <w:t>OBLIG</w:t>
            </w:r>
          </w:p>
        </w:tc>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21" w:type="dxa"/>
              <w:bottom w:w="0" w:type="dxa"/>
              <w:right w:w="21" w:type="dxa"/>
            </w:tcMar>
            <w:vAlign w:val="center"/>
            <w:hideMark/>
          </w:tcPr>
          <w:p w14:paraId="1961BA1D" w14:textId="77777777" w:rsidR="00E70042" w:rsidRPr="000876AA" w:rsidRDefault="00E70042" w:rsidP="00E70042">
            <w:pPr>
              <w:jc w:val="center"/>
              <w:rPr>
                <w:rFonts w:ascii="Arial" w:hAnsi="Arial" w:cs="Arial"/>
                <w:b/>
                <w:sz w:val="16"/>
                <w:szCs w:val="16"/>
                <w:lang w:eastAsia="ar-SA"/>
              </w:rPr>
            </w:pPr>
            <w:r w:rsidRPr="000876AA">
              <w:rPr>
                <w:rFonts w:ascii="Arial" w:hAnsi="Arial" w:cs="Arial"/>
                <w:b/>
                <w:sz w:val="16"/>
                <w:szCs w:val="16"/>
                <w:lang w:eastAsia="ar-SA"/>
              </w:rPr>
              <w:t>PAGO</w:t>
            </w:r>
          </w:p>
        </w:tc>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21" w:type="dxa"/>
              <w:bottom w:w="0" w:type="dxa"/>
              <w:right w:w="21" w:type="dxa"/>
            </w:tcMar>
            <w:vAlign w:val="center"/>
            <w:hideMark/>
          </w:tcPr>
          <w:p w14:paraId="552DBA68" w14:textId="77777777" w:rsidR="00E70042" w:rsidRPr="000876AA" w:rsidRDefault="00E70042" w:rsidP="00E70042">
            <w:pPr>
              <w:jc w:val="center"/>
              <w:rPr>
                <w:rFonts w:ascii="Arial" w:hAnsi="Arial" w:cs="Arial"/>
                <w:b/>
                <w:sz w:val="16"/>
                <w:szCs w:val="16"/>
                <w:lang w:eastAsia="ar-SA"/>
              </w:rPr>
            </w:pPr>
            <w:proofErr w:type="spellStart"/>
            <w:r w:rsidRPr="000876AA">
              <w:rPr>
                <w:rFonts w:ascii="Arial" w:hAnsi="Arial" w:cs="Arial"/>
                <w:b/>
                <w:sz w:val="16"/>
                <w:szCs w:val="16"/>
                <w:lang w:eastAsia="ar-SA"/>
              </w:rPr>
              <w:t>Compr</w:t>
            </w:r>
            <w:proofErr w:type="spellEnd"/>
            <w:r w:rsidRPr="000876AA">
              <w:rPr>
                <w:rFonts w:ascii="Arial" w:hAnsi="Arial" w:cs="Arial"/>
                <w:b/>
                <w:sz w:val="16"/>
                <w:szCs w:val="16"/>
                <w:lang w:eastAsia="ar-SA"/>
              </w:rPr>
              <w:t>/</w:t>
            </w:r>
          </w:p>
          <w:p w14:paraId="565519BF" w14:textId="77777777" w:rsidR="00E70042" w:rsidRPr="000876AA" w:rsidRDefault="00E70042" w:rsidP="00E70042">
            <w:pPr>
              <w:jc w:val="center"/>
              <w:rPr>
                <w:rFonts w:ascii="Arial" w:hAnsi="Arial" w:cs="Arial"/>
                <w:b/>
                <w:sz w:val="16"/>
                <w:szCs w:val="16"/>
                <w:lang w:eastAsia="ar-SA"/>
              </w:rPr>
            </w:pPr>
            <w:proofErr w:type="spellStart"/>
            <w:r w:rsidRPr="000876AA">
              <w:rPr>
                <w:rFonts w:ascii="Arial" w:hAnsi="Arial" w:cs="Arial"/>
                <w:b/>
                <w:sz w:val="16"/>
                <w:szCs w:val="16"/>
                <w:lang w:eastAsia="ar-SA"/>
              </w:rPr>
              <w:t>Aprop</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21" w:type="dxa"/>
              <w:bottom w:w="0" w:type="dxa"/>
              <w:right w:w="21" w:type="dxa"/>
            </w:tcMar>
            <w:vAlign w:val="center"/>
            <w:hideMark/>
          </w:tcPr>
          <w:p w14:paraId="19C998CB" w14:textId="77777777" w:rsidR="00E70042" w:rsidRPr="000876AA" w:rsidRDefault="00E70042" w:rsidP="00E70042">
            <w:pPr>
              <w:jc w:val="center"/>
              <w:rPr>
                <w:rFonts w:ascii="Arial" w:hAnsi="Arial" w:cs="Arial"/>
                <w:b/>
                <w:sz w:val="16"/>
                <w:szCs w:val="16"/>
                <w:lang w:eastAsia="ar-SA"/>
              </w:rPr>
            </w:pPr>
            <w:proofErr w:type="spellStart"/>
            <w:r w:rsidRPr="000876AA">
              <w:rPr>
                <w:rFonts w:ascii="Arial" w:hAnsi="Arial" w:cs="Arial"/>
                <w:b/>
                <w:sz w:val="16"/>
                <w:szCs w:val="16"/>
                <w:lang w:eastAsia="ar-SA"/>
              </w:rPr>
              <w:t>Oblig</w:t>
            </w:r>
            <w:proofErr w:type="spellEnd"/>
            <w:r w:rsidRPr="000876AA">
              <w:rPr>
                <w:rFonts w:ascii="Arial" w:hAnsi="Arial" w:cs="Arial"/>
                <w:b/>
                <w:sz w:val="16"/>
                <w:szCs w:val="16"/>
                <w:lang w:eastAsia="ar-SA"/>
              </w:rPr>
              <w:t>/</w:t>
            </w:r>
          </w:p>
          <w:p w14:paraId="65F76681" w14:textId="77777777" w:rsidR="00E70042" w:rsidRPr="000876AA" w:rsidRDefault="00E70042" w:rsidP="00E70042">
            <w:pPr>
              <w:jc w:val="center"/>
              <w:rPr>
                <w:rFonts w:ascii="Arial" w:hAnsi="Arial" w:cs="Arial"/>
                <w:b/>
                <w:sz w:val="16"/>
                <w:szCs w:val="16"/>
                <w:lang w:eastAsia="ar-SA"/>
              </w:rPr>
            </w:pPr>
            <w:proofErr w:type="spellStart"/>
            <w:r w:rsidRPr="000876AA">
              <w:rPr>
                <w:rFonts w:ascii="Arial" w:hAnsi="Arial" w:cs="Arial"/>
                <w:b/>
                <w:sz w:val="16"/>
                <w:szCs w:val="16"/>
                <w:lang w:eastAsia="ar-SA"/>
              </w:rPr>
              <w:t>Aprop</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21" w:type="dxa"/>
              <w:bottom w:w="0" w:type="dxa"/>
              <w:right w:w="21" w:type="dxa"/>
            </w:tcMar>
            <w:vAlign w:val="center"/>
            <w:hideMark/>
          </w:tcPr>
          <w:p w14:paraId="5F245CFF" w14:textId="77777777" w:rsidR="00E70042" w:rsidRPr="000876AA" w:rsidRDefault="00E70042" w:rsidP="00E70042">
            <w:pPr>
              <w:jc w:val="center"/>
              <w:rPr>
                <w:rFonts w:ascii="Arial" w:hAnsi="Arial" w:cs="Arial"/>
                <w:b/>
                <w:sz w:val="16"/>
                <w:szCs w:val="16"/>
                <w:lang w:eastAsia="ar-SA"/>
              </w:rPr>
            </w:pPr>
            <w:r w:rsidRPr="000876AA">
              <w:rPr>
                <w:rFonts w:ascii="Arial" w:hAnsi="Arial" w:cs="Arial"/>
                <w:b/>
                <w:sz w:val="16"/>
                <w:szCs w:val="16"/>
                <w:lang w:eastAsia="ar-SA"/>
              </w:rPr>
              <w:t>Pago/</w:t>
            </w:r>
          </w:p>
          <w:p w14:paraId="11107F54" w14:textId="77777777" w:rsidR="00E70042" w:rsidRPr="000876AA" w:rsidRDefault="00E70042" w:rsidP="00E70042">
            <w:pPr>
              <w:jc w:val="center"/>
              <w:rPr>
                <w:rFonts w:ascii="Arial" w:hAnsi="Arial" w:cs="Arial"/>
                <w:b/>
                <w:sz w:val="16"/>
                <w:szCs w:val="16"/>
                <w:lang w:eastAsia="ar-SA"/>
              </w:rPr>
            </w:pPr>
            <w:proofErr w:type="spellStart"/>
            <w:r w:rsidRPr="000876AA">
              <w:rPr>
                <w:rFonts w:ascii="Arial" w:hAnsi="Arial" w:cs="Arial"/>
                <w:b/>
                <w:sz w:val="16"/>
                <w:szCs w:val="16"/>
                <w:lang w:eastAsia="ar-SA"/>
              </w:rPr>
              <w:t>Aprop</w:t>
            </w:r>
            <w:proofErr w:type="spellEnd"/>
          </w:p>
        </w:tc>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21" w:type="dxa"/>
              <w:bottom w:w="0" w:type="dxa"/>
              <w:right w:w="21" w:type="dxa"/>
            </w:tcMar>
            <w:vAlign w:val="center"/>
            <w:hideMark/>
          </w:tcPr>
          <w:p w14:paraId="40F16114" w14:textId="77777777" w:rsidR="00E70042" w:rsidRPr="000876AA" w:rsidRDefault="00E70042" w:rsidP="00E70042">
            <w:pPr>
              <w:jc w:val="center"/>
              <w:rPr>
                <w:rFonts w:ascii="Arial" w:hAnsi="Arial" w:cs="Arial"/>
                <w:b/>
                <w:sz w:val="16"/>
                <w:szCs w:val="16"/>
                <w:lang w:eastAsia="ar-SA"/>
              </w:rPr>
            </w:pPr>
            <w:r w:rsidRPr="000876AA">
              <w:rPr>
                <w:rFonts w:ascii="Arial" w:hAnsi="Arial" w:cs="Arial"/>
                <w:b/>
                <w:sz w:val="16"/>
                <w:szCs w:val="16"/>
                <w:lang w:val="es-MX" w:eastAsia="ar-SA"/>
              </w:rPr>
              <w:t>S</w:t>
            </w:r>
            <w:r w:rsidRPr="000876AA">
              <w:rPr>
                <w:rFonts w:ascii="Arial" w:hAnsi="Arial" w:cs="Arial"/>
                <w:b/>
                <w:sz w:val="16"/>
                <w:szCs w:val="16"/>
                <w:lang w:eastAsia="ar-SA"/>
              </w:rPr>
              <w:t>obrantes de apropiación</w:t>
            </w:r>
          </w:p>
        </w:tc>
      </w:tr>
      <w:tr w:rsidR="00E70042" w:rsidRPr="000876AA" w14:paraId="05A82C91" w14:textId="77777777" w:rsidTr="00E70042">
        <w:trPr>
          <w:trHeight w:val="57"/>
        </w:trPr>
        <w:tc>
          <w:tcPr>
            <w:tcW w:w="0" w:type="auto"/>
            <w:gridSpan w:val="2"/>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21" w:type="dxa"/>
              <w:bottom w:w="0" w:type="dxa"/>
              <w:right w:w="21" w:type="dxa"/>
            </w:tcMar>
            <w:vAlign w:val="center"/>
            <w:hideMark/>
          </w:tcPr>
          <w:p w14:paraId="5AA0E1B0" w14:textId="77777777" w:rsidR="00E70042" w:rsidRPr="000876AA" w:rsidRDefault="00E70042" w:rsidP="00E70042">
            <w:pPr>
              <w:jc w:val="center"/>
              <w:rPr>
                <w:rFonts w:ascii="Arial" w:hAnsi="Arial" w:cs="Arial"/>
                <w:b/>
                <w:sz w:val="16"/>
                <w:szCs w:val="16"/>
                <w:lang w:eastAsia="ar-SA"/>
              </w:rPr>
            </w:pPr>
            <w:r w:rsidRPr="000876AA">
              <w:rPr>
                <w:rFonts w:ascii="Arial" w:hAnsi="Arial" w:cs="Arial"/>
                <w:b/>
                <w:sz w:val="16"/>
                <w:szCs w:val="16"/>
                <w:lang w:eastAsia="ar-SA"/>
              </w:rPr>
              <w:t>TOTAL</w:t>
            </w:r>
          </w:p>
        </w:tc>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5" w:type="dxa"/>
              <w:bottom w:w="0" w:type="dxa"/>
              <w:right w:w="15" w:type="dxa"/>
            </w:tcMar>
            <w:vAlign w:val="center"/>
            <w:hideMark/>
          </w:tcPr>
          <w:p w14:paraId="68FEFC52" w14:textId="77777777" w:rsidR="00E70042" w:rsidRPr="000876AA" w:rsidRDefault="00E70042" w:rsidP="00E70042">
            <w:pPr>
              <w:jc w:val="center"/>
              <w:rPr>
                <w:rFonts w:ascii="Arial" w:hAnsi="Arial" w:cs="Arial"/>
                <w:b/>
                <w:sz w:val="16"/>
                <w:szCs w:val="16"/>
                <w:lang w:eastAsia="ar-SA"/>
              </w:rPr>
            </w:pPr>
            <w:r w:rsidRPr="000876AA">
              <w:rPr>
                <w:rFonts w:ascii="Arial" w:hAnsi="Arial" w:cs="Arial"/>
                <w:b/>
                <w:bCs/>
                <w:sz w:val="16"/>
                <w:szCs w:val="16"/>
                <w:lang w:eastAsia="ar-SA"/>
              </w:rPr>
              <w:t>580.822</w:t>
            </w:r>
          </w:p>
        </w:tc>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5" w:type="dxa"/>
              <w:bottom w:w="0" w:type="dxa"/>
              <w:right w:w="15" w:type="dxa"/>
            </w:tcMar>
            <w:vAlign w:val="center"/>
            <w:hideMark/>
          </w:tcPr>
          <w:p w14:paraId="1922B866" w14:textId="77777777" w:rsidR="00E70042" w:rsidRPr="000876AA" w:rsidRDefault="00E70042" w:rsidP="00E70042">
            <w:pPr>
              <w:jc w:val="center"/>
              <w:rPr>
                <w:rFonts w:ascii="Arial" w:hAnsi="Arial" w:cs="Arial"/>
                <w:b/>
                <w:sz w:val="16"/>
                <w:szCs w:val="16"/>
                <w:lang w:eastAsia="ar-SA"/>
              </w:rPr>
            </w:pPr>
            <w:r w:rsidRPr="000876AA">
              <w:rPr>
                <w:rFonts w:ascii="Arial" w:hAnsi="Arial" w:cs="Arial"/>
                <w:b/>
                <w:bCs/>
                <w:sz w:val="16"/>
                <w:szCs w:val="16"/>
                <w:lang w:eastAsia="ar-SA"/>
              </w:rPr>
              <w:t>489.719</w:t>
            </w:r>
          </w:p>
        </w:tc>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5" w:type="dxa"/>
              <w:bottom w:w="0" w:type="dxa"/>
              <w:right w:w="15" w:type="dxa"/>
            </w:tcMar>
            <w:vAlign w:val="center"/>
            <w:hideMark/>
          </w:tcPr>
          <w:p w14:paraId="6408D607" w14:textId="77777777" w:rsidR="00E70042" w:rsidRPr="000876AA" w:rsidRDefault="00E70042" w:rsidP="00E70042">
            <w:pPr>
              <w:jc w:val="center"/>
              <w:rPr>
                <w:rFonts w:ascii="Arial" w:hAnsi="Arial" w:cs="Arial"/>
                <w:b/>
                <w:sz w:val="16"/>
                <w:szCs w:val="16"/>
                <w:lang w:eastAsia="ar-SA"/>
              </w:rPr>
            </w:pPr>
            <w:r w:rsidRPr="000876AA">
              <w:rPr>
                <w:rFonts w:ascii="Arial" w:hAnsi="Arial" w:cs="Arial"/>
                <w:b/>
                <w:bCs/>
                <w:sz w:val="16"/>
                <w:szCs w:val="16"/>
                <w:lang w:eastAsia="ar-SA"/>
              </w:rPr>
              <w:t>203.804</w:t>
            </w:r>
          </w:p>
        </w:tc>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5" w:type="dxa"/>
              <w:bottom w:w="0" w:type="dxa"/>
              <w:right w:w="15" w:type="dxa"/>
            </w:tcMar>
            <w:vAlign w:val="center"/>
            <w:hideMark/>
          </w:tcPr>
          <w:p w14:paraId="4207B47E" w14:textId="77777777" w:rsidR="00E70042" w:rsidRPr="000876AA" w:rsidRDefault="00E70042" w:rsidP="00E70042">
            <w:pPr>
              <w:jc w:val="center"/>
              <w:rPr>
                <w:rFonts w:ascii="Arial" w:hAnsi="Arial" w:cs="Arial"/>
                <w:b/>
                <w:sz w:val="16"/>
                <w:szCs w:val="16"/>
                <w:lang w:eastAsia="ar-SA"/>
              </w:rPr>
            </w:pPr>
            <w:r w:rsidRPr="000876AA">
              <w:rPr>
                <w:rFonts w:ascii="Arial" w:hAnsi="Arial" w:cs="Arial"/>
                <w:b/>
                <w:bCs/>
                <w:sz w:val="16"/>
                <w:szCs w:val="16"/>
                <w:lang w:eastAsia="ar-SA"/>
              </w:rPr>
              <w:t>197.418</w:t>
            </w:r>
          </w:p>
        </w:tc>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5" w:type="dxa"/>
              <w:bottom w:w="0" w:type="dxa"/>
              <w:right w:w="15" w:type="dxa"/>
            </w:tcMar>
            <w:vAlign w:val="bottom"/>
            <w:hideMark/>
          </w:tcPr>
          <w:p w14:paraId="3CA41978" w14:textId="77777777" w:rsidR="00E70042" w:rsidRPr="000876AA" w:rsidRDefault="00E70042" w:rsidP="00E70042">
            <w:pPr>
              <w:jc w:val="center"/>
              <w:rPr>
                <w:rFonts w:ascii="Arial" w:hAnsi="Arial" w:cs="Arial"/>
                <w:b/>
                <w:sz w:val="16"/>
                <w:szCs w:val="16"/>
                <w:lang w:eastAsia="ar-SA"/>
              </w:rPr>
            </w:pPr>
            <w:r w:rsidRPr="000876AA">
              <w:rPr>
                <w:rFonts w:ascii="Arial" w:hAnsi="Arial" w:cs="Arial"/>
                <w:b/>
                <w:sz w:val="16"/>
                <w:szCs w:val="16"/>
                <w:lang w:eastAsia="ar-SA"/>
              </w:rPr>
              <w:t>84,3%</w:t>
            </w:r>
          </w:p>
        </w:tc>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5" w:type="dxa"/>
              <w:bottom w:w="0" w:type="dxa"/>
              <w:right w:w="15" w:type="dxa"/>
            </w:tcMar>
            <w:vAlign w:val="bottom"/>
            <w:hideMark/>
          </w:tcPr>
          <w:p w14:paraId="7E71E64F" w14:textId="77777777" w:rsidR="00E70042" w:rsidRPr="000876AA" w:rsidRDefault="00E70042" w:rsidP="00E70042">
            <w:pPr>
              <w:jc w:val="center"/>
              <w:rPr>
                <w:rFonts w:ascii="Arial" w:hAnsi="Arial" w:cs="Arial"/>
                <w:b/>
                <w:sz w:val="16"/>
                <w:szCs w:val="16"/>
                <w:lang w:eastAsia="ar-SA"/>
              </w:rPr>
            </w:pPr>
            <w:r w:rsidRPr="000876AA">
              <w:rPr>
                <w:rFonts w:ascii="Arial" w:hAnsi="Arial" w:cs="Arial"/>
                <w:b/>
                <w:sz w:val="16"/>
                <w:szCs w:val="16"/>
                <w:lang w:eastAsia="ar-SA"/>
              </w:rPr>
              <w:t>35,1%</w:t>
            </w:r>
          </w:p>
        </w:tc>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5" w:type="dxa"/>
              <w:bottom w:w="0" w:type="dxa"/>
              <w:right w:w="15" w:type="dxa"/>
            </w:tcMar>
            <w:vAlign w:val="bottom"/>
            <w:hideMark/>
          </w:tcPr>
          <w:p w14:paraId="729D5D1B" w14:textId="77777777" w:rsidR="00E70042" w:rsidRPr="000876AA" w:rsidRDefault="00E70042" w:rsidP="00E70042">
            <w:pPr>
              <w:jc w:val="center"/>
              <w:rPr>
                <w:rFonts w:ascii="Arial" w:hAnsi="Arial" w:cs="Arial"/>
                <w:b/>
                <w:sz w:val="16"/>
                <w:szCs w:val="16"/>
                <w:lang w:eastAsia="ar-SA"/>
              </w:rPr>
            </w:pPr>
            <w:r w:rsidRPr="000876AA">
              <w:rPr>
                <w:rFonts w:ascii="Arial" w:hAnsi="Arial" w:cs="Arial"/>
                <w:b/>
                <w:sz w:val="16"/>
                <w:szCs w:val="16"/>
                <w:lang w:eastAsia="ar-SA"/>
              </w:rPr>
              <w:t>34,0%</w:t>
            </w:r>
          </w:p>
        </w:tc>
        <w:tc>
          <w:tcPr>
            <w:tcW w:w="0" w:type="auto"/>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15" w:type="dxa"/>
              <w:left w:w="15" w:type="dxa"/>
              <w:bottom w:w="0" w:type="dxa"/>
              <w:right w:w="15" w:type="dxa"/>
            </w:tcMar>
            <w:vAlign w:val="center"/>
            <w:hideMark/>
          </w:tcPr>
          <w:p w14:paraId="1A09D11E" w14:textId="77777777" w:rsidR="00E70042" w:rsidRPr="000876AA" w:rsidRDefault="00E70042" w:rsidP="00E70042">
            <w:pPr>
              <w:jc w:val="center"/>
              <w:rPr>
                <w:rFonts w:ascii="Arial" w:hAnsi="Arial" w:cs="Arial"/>
                <w:b/>
                <w:sz w:val="16"/>
                <w:szCs w:val="16"/>
                <w:lang w:eastAsia="ar-SA"/>
              </w:rPr>
            </w:pPr>
            <w:r w:rsidRPr="000876AA">
              <w:rPr>
                <w:rFonts w:ascii="Arial" w:hAnsi="Arial" w:cs="Arial"/>
                <w:b/>
                <w:bCs/>
                <w:sz w:val="16"/>
                <w:szCs w:val="16"/>
                <w:lang w:eastAsia="ar-SA"/>
              </w:rPr>
              <w:t>91.103</w:t>
            </w:r>
          </w:p>
        </w:tc>
      </w:tr>
      <w:tr w:rsidR="00E70042" w:rsidRPr="000876AA" w14:paraId="2D4E2439" w14:textId="77777777" w:rsidTr="00E70042">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vAlign w:val="center"/>
            <w:hideMark/>
          </w:tcPr>
          <w:p w14:paraId="1FC260CA"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eastAsia="ar-SA"/>
              </w:rPr>
              <w:t>Fortalecimiento de la plataforma para la gestión tecnológica nacional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7F07DC01"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eastAsia="ar-SA"/>
              </w:rPr>
              <w:t>INFORMÁTICA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B8FFC29"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161.795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DC99D05"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134.784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A99807E"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61.149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DE313AD"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56.090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B76ACA3"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83,3%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2C9CC6C"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37,8%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2B41198"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34,7%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113BD33"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27.011 </w:t>
            </w:r>
          </w:p>
        </w:tc>
      </w:tr>
      <w:tr w:rsidR="00E70042" w:rsidRPr="000876AA" w14:paraId="13E27DDB" w14:textId="77777777" w:rsidTr="00E70042">
        <w:trPr>
          <w:trHeight w:val="57"/>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vAlign w:val="center"/>
            <w:hideMark/>
          </w:tcPr>
          <w:p w14:paraId="29D05841"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eastAsia="ar-SA"/>
              </w:rPr>
              <w:t>Implementación digital y litigio en línea</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2" w:type="dxa"/>
              <w:left w:w="12" w:type="dxa"/>
              <w:bottom w:w="0" w:type="dxa"/>
              <w:right w:w="12" w:type="dxa"/>
            </w:tcMar>
            <w:vAlign w:val="center"/>
            <w:hideMark/>
          </w:tcPr>
          <w:p w14:paraId="38D67C45" w14:textId="77777777" w:rsidR="00E70042" w:rsidRPr="000876AA" w:rsidRDefault="00E70042" w:rsidP="00E70042">
            <w:pPr>
              <w:rPr>
                <w:rFonts w:ascii="Arial" w:hAnsi="Arial" w:cs="Arial"/>
                <w:sz w:val="16"/>
                <w:szCs w:val="16"/>
                <w:lang w:eastAsia="ar-SA"/>
              </w:rPr>
            </w:pPr>
            <w:r w:rsidRPr="000876AA">
              <w:rPr>
                <w:rFonts w:ascii="Arial" w:hAnsi="Arial" w:cs="Arial"/>
                <w:b/>
                <w:bCs/>
                <w:sz w:val="16"/>
                <w:szCs w:val="16"/>
                <w:lang w:eastAsia="ar-SA"/>
              </w:rPr>
              <w:t>SUBTOTAL IMPLEMENTACION DIGITAL</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bottom"/>
            <w:hideMark/>
          </w:tcPr>
          <w:p w14:paraId="176A47EC" w14:textId="77777777" w:rsidR="00E70042" w:rsidRPr="000876AA" w:rsidRDefault="00E70042" w:rsidP="00E70042">
            <w:pPr>
              <w:jc w:val="right"/>
              <w:rPr>
                <w:rFonts w:ascii="Arial" w:hAnsi="Arial" w:cs="Arial"/>
                <w:sz w:val="16"/>
                <w:szCs w:val="16"/>
                <w:lang w:eastAsia="ar-SA"/>
              </w:rPr>
            </w:pPr>
            <w:r w:rsidRPr="000876AA">
              <w:rPr>
                <w:rFonts w:ascii="Arial" w:hAnsi="Arial" w:cs="Arial"/>
                <w:b/>
                <w:bCs/>
                <w:sz w:val="16"/>
                <w:szCs w:val="16"/>
                <w:lang w:eastAsia="ar-SA"/>
              </w:rPr>
              <w:t xml:space="preserve">     47.104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bottom"/>
            <w:hideMark/>
          </w:tcPr>
          <w:p w14:paraId="6355EEF1" w14:textId="77777777" w:rsidR="00E70042" w:rsidRPr="000876AA" w:rsidRDefault="00E70042" w:rsidP="00E70042">
            <w:pPr>
              <w:jc w:val="right"/>
              <w:rPr>
                <w:rFonts w:ascii="Arial" w:hAnsi="Arial" w:cs="Arial"/>
                <w:sz w:val="16"/>
                <w:szCs w:val="16"/>
                <w:lang w:eastAsia="ar-SA"/>
              </w:rPr>
            </w:pPr>
            <w:r w:rsidRPr="000876AA">
              <w:rPr>
                <w:rFonts w:ascii="Arial" w:hAnsi="Arial" w:cs="Arial"/>
                <w:b/>
                <w:bCs/>
                <w:sz w:val="16"/>
                <w:szCs w:val="16"/>
                <w:lang w:eastAsia="ar-SA"/>
              </w:rPr>
              <w:t xml:space="preserve">     47.018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bottom"/>
            <w:hideMark/>
          </w:tcPr>
          <w:p w14:paraId="72BC74F4" w14:textId="77777777" w:rsidR="00E70042" w:rsidRPr="000876AA" w:rsidRDefault="00E70042" w:rsidP="00E70042">
            <w:pPr>
              <w:jc w:val="right"/>
              <w:rPr>
                <w:rFonts w:ascii="Arial" w:hAnsi="Arial" w:cs="Arial"/>
                <w:sz w:val="16"/>
                <w:szCs w:val="16"/>
                <w:lang w:eastAsia="ar-SA"/>
              </w:rPr>
            </w:pPr>
            <w:r w:rsidRPr="000876AA">
              <w:rPr>
                <w:rFonts w:ascii="Arial" w:hAnsi="Arial" w:cs="Arial"/>
                <w:b/>
                <w:bCs/>
                <w:sz w:val="16"/>
                <w:szCs w:val="16"/>
                <w:lang w:eastAsia="ar-SA"/>
              </w:rPr>
              <w:t xml:space="preserve">  33.330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bottom"/>
            <w:hideMark/>
          </w:tcPr>
          <w:p w14:paraId="42DFB9F0" w14:textId="77777777" w:rsidR="00E70042" w:rsidRPr="000876AA" w:rsidRDefault="00E70042" w:rsidP="00E70042">
            <w:pPr>
              <w:jc w:val="right"/>
              <w:rPr>
                <w:rFonts w:ascii="Arial" w:hAnsi="Arial" w:cs="Arial"/>
                <w:sz w:val="16"/>
                <w:szCs w:val="16"/>
                <w:lang w:eastAsia="ar-SA"/>
              </w:rPr>
            </w:pPr>
            <w:r w:rsidRPr="000876AA">
              <w:rPr>
                <w:rFonts w:ascii="Arial" w:hAnsi="Arial" w:cs="Arial"/>
                <w:b/>
                <w:bCs/>
                <w:sz w:val="16"/>
                <w:szCs w:val="16"/>
                <w:lang w:eastAsia="ar-SA"/>
              </w:rPr>
              <w:t xml:space="preserve">    33.330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bottom"/>
            <w:hideMark/>
          </w:tcPr>
          <w:p w14:paraId="1BED0B6D" w14:textId="77777777" w:rsidR="00E70042" w:rsidRPr="000876AA" w:rsidRDefault="00E70042" w:rsidP="00E70042">
            <w:pPr>
              <w:jc w:val="right"/>
              <w:rPr>
                <w:rFonts w:ascii="Arial" w:hAnsi="Arial" w:cs="Arial"/>
                <w:sz w:val="16"/>
                <w:szCs w:val="16"/>
                <w:lang w:eastAsia="ar-SA"/>
              </w:rPr>
            </w:pPr>
            <w:r w:rsidRPr="000876AA">
              <w:rPr>
                <w:rFonts w:ascii="Arial" w:hAnsi="Arial" w:cs="Arial"/>
                <w:b/>
                <w:bCs/>
                <w:sz w:val="16"/>
                <w:szCs w:val="16"/>
                <w:lang w:eastAsia="ar-SA"/>
              </w:rPr>
              <w:t>99,8%</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bottom"/>
            <w:hideMark/>
          </w:tcPr>
          <w:p w14:paraId="6FDC02E7" w14:textId="77777777" w:rsidR="00E70042" w:rsidRPr="000876AA" w:rsidRDefault="00E70042" w:rsidP="00E70042">
            <w:pPr>
              <w:jc w:val="right"/>
              <w:rPr>
                <w:rFonts w:ascii="Arial" w:hAnsi="Arial" w:cs="Arial"/>
                <w:sz w:val="16"/>
                <w:szCs w:val="16"/>
                <w:lang w:eastAsia="ar-SA"/>
              </w:rPr>
            </w:pPr>
            <w:r w:rsidRPr="000876AA">
              <w:rPr>
                <w:rFonts w:ascii="Arial" w:hAnsi="Arial" w:cs="Arial"/>
                <w:b/>
                <w:bCs/>
                <w:sz w:val="16"/>
                <w:szCs w:val="16"/>
                <w:lang w:eastAsia="ar-SA"/>
              </w:rPr>
              <w:t>70,8%</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bottom"/>
            <w:hideMark/>
          </w:tcPr>
          <w:p w14:paraId="66683B7F" w14:textId="77777777" w:rsidR="00E70042" w:rsidRPr="000876AA" w:rsidRDefault="00E70042" w:rsidP="00E70042">
            <w:pPr>
              <w:jc w:val="right"/>
              <w:rPr>
                <w:rFonts w:ascii="Arial" w:hAnsi="Arial" w:cs="Arial"/>
                <w:sz w:val="16"/>
                <w:szCs w:val="16"/>
                <w:lang w:eastAsia="ar-SA"/>
              </w:rPr>
            </w:pPr>
            <w:r w:rsidRPr="000876AA">
              <w:rPr>
                <w:rFonts w:ascii="Arial" w:hAnsi="Arial" w:cs="Arial"/>
                <w:b/>
                <w:bCs/>
                <w:sz w:val="16"/>
                <w:szCs w:val="16"/>
                <w:lang w:eastAsia="ar-SA"/>
              </w:rPr>
              <w:t>70,8%</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bottom"/>
            <w:hideMark/>
          </w:tcPr>
          <w:p w14:paraId="47BF6069" w14:textId="77777777" w:rsidR="00E70042" w:rsidRPr="000876AA" w:rsidRDefault="00E70042" w:rsidP="00E70042">
            <w:pPr>
              <w:jc w:val="right"/>
              <w:rPr>
                <w:rFonts w:ascii="Arial" w:hAnsi="Arial" w:cs="Arial"/>
                <w:sz w:val="16"/>
                <w:szCs w:val="16"/>
                <w:lang w:eastAsia="ar-SA"/>
              </w:rPr>
            </w:pPr>
            <w:r w:rsidRPr="000876AA">
              <w:rPr>
                <w:rFonts w:ascii="Arial" w:hAnsi="Arial" w:cs="Arial"/>
                <w:b/>
                <w:bCs/>
                <w:sz w:val="16"/>
                <w:szCs w:val="16"/>
                <w:lang w:eastAsia="ar-SA"/>
              </w:rPr>
              <w:t xml:space="preserve">                   86 </w:t>
            </w:r>
          </w:p>
        </w:tc>
      </w:tr>
      <w:tr w:rsidR="00E70042" w:rsidRPr="000876AA" w14:paraId="3F6A3AAF" w14:textId="77777777" w:rsidTr="00E70042">
        <w:trPr>
          <w:trHeight w:val="5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02E8A3" w14:textId="77777777" w:rsidR="00E70042" w:rsidRPr="000876AA" w:rsidRDefault="00E70042" w:rsidP="00E70042">
            <w:pPr>
              <w:rPr>
                <w:rFonts w:ascii="Arial" w:hAnsi="Arial" w:cs="Arial"/>
                <w:sz w:val="16"/>
                <w:szCs w:val="16"/>
                <w:lang w:eastAsia="ar-SA"/>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1A3AA41"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eastAsia="ar-SA"/>
              </w:rPr>
              <w:t>INFORMÁTICA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EC74EF7"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26.712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F2D1AEC"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26.712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06E8442" w14:textId="77777777" w:rsidR="00E70042" w:rsidRPr="000876AA" w:rsidRDefault="00E70042" w:rsidP="00E70042">
            <w:pPr>
              <w:jc w:val="right"/>
              <w:rPr>
                <w:rFonts w:ascii="Arial" w:hAnsi="Arial" w:cs="Arial"/>
                <w:sz w:val="16"/>
                <w:szCs w:val="16"/>
                <w:lang w:eastAsia="ar-SA"/>
              </w:rPr>
            </w:pPr>
            <w:r w:rsidRPr="000876AA">
              <w:rPr>
                <w:rFonts w:ascii="Arial" w:hAnsi="Arial" w:cs="Arial"/>
                <w:color w:val="000000"/>
                <w:sz w:val="16"/>
                <w:szCs w:val="16"/>
              </w:rPr>
              <w:t xml:space="preserve">          19.111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AD4BE7B"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rPr>
              <w:t xml:space="preserve">          19.111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E9C3ABF" w14:textId="77777777" w:rsidR="00E70042" w:rsidRPr="000876AA" w:rsidRDefault="00E70042" w:rsidP="00E70042">
            <w:pPr>
              <w:jc w:val="right"/>
              <w:rPr>
                <w:rFonts w:ascii="Arial" w:hAnsi="Arial" w:cs="Arial"/>
                <w:sz w:val="16"/>
                <w:szCs w:val="16"/>
                <w:lang w:eastAsia="ar-SA"/>
              </w:rPr>
            </w:pPr>
            <w:r w:rsidRPr="000876AA">
              <w:rPr>
                <w:rFonts w:ascii="Arial" w:hAnsi="Arial" w:cs="Arial"/>
                <w:color w:val="000000"/>
                <w:sz w:val="16"/>
                <w:szCs w:val="16"/>
              </w:rPr>
              <w:t>100,0%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A865E7F" w14:textId="77777777" w:rsidR="00E70042" w:rsidRPr="000876AA" w:rsidRDefault="00E70042" w:rsidP="00E70042">
            <w:pPr>
              <w:jc w:val="right"/>
              <w:rPr>
                <w:rFonts w:ascii="Arial" w:hAnsi="Arial" w:cs="Arial"/>
                <w:sz w:val="16"/>
                <w:szCs w:val="16"/>
                <w:lang w:eastAsia="ar-SA"/>
              </w:rPr>
            </w:pPr>
            <w:r w:rsidRPr="000876AA">
              <w:rPr>
                <w:rFonts w:ascii="Arial" w:hAnsi="Arial" w:cs="Arial"/>
                <w:color w:val="000000"/>
                <w:sz w:val="16"/>
                <w:szCs w:val="16"/>
              </w:rPr>
              <w:t>71,5%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FE3EEF3" w14:textId="77777777" w:rsidR="00E70042" w:rsidRPr="000876AA" w:rsidRDefault="00E70042" w:rsidP="00E70042">
            <w:pPr>
              <w:jc w:val="right"/>
              <w:rPr>
                <w:rFonts w:ascii="Arial" w:hAnsi="Arial" w:cs="Arial"/>
                <w:sz w:val="16"/>
                <w:szCs w:val="16"/>
                <w:lang w:eastAsia="ar-SA"/>
              </w:rPr>
            </w:pPr>
            <w:r w:rsidRPr="000876AA">
              <w:rPr>
                <w:rFonts w:ascii="Arial" w:hAnsi="Arial" w:cs="Arial"/>
                <w:color w:val="000000"/>
                <w:sz w:val="16"/>
                <w:szCs w:val="16"/>
              </w:rPr>
              <w:t>71,5%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652BEB0"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0 </w:t>
            </w:r>
          </w:p>
        </w:tc>
      </w:tr>
      <w:tr w:rsidR="00E70042" w:rsidRPr="000876AA" w14:paraId="6018C689" w14:textId="77777777" w:rsidTr="00E70042">
        <w:trPr>
          <w:trHeight w:val="5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5A0FC2" w14:textId="77777777" w:rsidR="00E70042" w:rsidRPr="000876AA" w:rsidRDefault="00E70042" w:rsidP="00E70042">
            <w:pPr>
              <w:rPr>
                <w:rFonts w:ascii="Arial" w:hAnsi="Arial" w:cs="Arial"/>
                <w:sz w:val="16"/>
                <w:szCs w:val="16"/>
                <w:lang w:eastAsia="ar-SA"/>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F1B6A8E"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val="es-MX" w:eastAsia="ar-SA"/>
              </w:rPr>
              <w:t>GRUPO DE PROYECTOS ESPECIALES DE TECNOLOGÍA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9D3A4B4"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20.392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7623C12"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20.306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EA75E99" w14:textId="77777777" w:rsidR="00E70042" w:rsidRPr="000876AA" w:rsidRDefault="00E70042" w:rsidP="00E70042">
            <w:pPr>
              <w:jc w:val="right"/>
              <w:rPr>
                <w:rFonts w:ascii="Arial" w:hAnsi="Arial" w:cs="Arial"/>
                <w:sz w:val="16"/>
                <w:szCs w:val="16"/>
                <w:lang w:eastAsia="ar-SA"/>
              </w:rPr>
            </w:pPr>
            <w:r w:rsidRPr="000876AA">
              <w:rPr>
                <w:rFonts w:ascii="Arial" w:hAnsi="Arial" w:cs="Arial"/>
                <w:color w:val="000000"/>
                <w:sz w:val="16"/>
                <w:szCs w:val="16"/>
              </w:rPr>
              <w:t xml:space="preserve">          14.219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5E4E82D"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rPr>
              <w:t xml:space="preserve">          14.219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9ABE2F6" w14:textId="77777777" w:rsidR="00E70042" w:rsidRPr="000876AA" w:rsidRDefault="00E70042" w:rsidP="00E70042">
            <w:pPr>
              <w:jc w:val="right"/>
              <w:rPr>
                <w:rFonts w:ascii="Arial" w:hAnsi="Arial" w:cs="Arial"/>
                <w:sz w:val="16"/>
                <w:szCs w:val="16"/>
                <w:lang w:eastAsia="ar-SA"/>
              </w:rPr>
            </w:pPr>
            <w:r w:rsidRPr="000876AA">
              <w:rPr>
                <w:rFonts w:ascii="Arial" w:hAnsi="Arial" w:cs="Arial"/>
                <w:color w:val="000000"/>
                <w:sz w:val="16"/>
                <w:szCs w:val="16"/>
              </w:rPr>
              <w:t>99,6%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22EBE53" w14:textId="77777777" w:rsidR="00E70042" w:rsidRPr="000876AA" w:rsidRDefault="00E70042" w:rsidP="00E70042">
            <w:pPr>
              <w:jc w:val="right"/>
              <w:rPr>
                <w:rFonts w:ascii="Arial" w:hAnsi="Arial" w:cs="Arial"/>
                <w:sz w:val="16"/>
                <w:szCs w:val="16"/>
                <w:lang w:eastAsia="ar-SA"/>
              </w:rPr>
            </w:pPr>
            <w:r w:rsidRPr="000876AA">
              <w:rPr>
                <w:rFonts w:ascii="Arial" w:hAnsi="Arial" w:cs="Arial"/>
                <w:color w:val="000000"/>
                <w:sz w:val="16"/>
                <w:szCs w:val="16"/>
              </w:rPr>
              <w:t>69,7%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6485085" w14:textId="77777777" w:rsidR="00E70042" w:rsidRPr="000876AA" w:rsidRDefault="00E70042" w:rsidP="00E70042">
            <w:pPr>
              <w:jc w:val="right"/>
              <w:rPr>
                <w:rFonts w:ascii="Arial" w:hAnsi="Arial" w:cs="Arial"/>
                <w:sz w:val="16"/>
                <w:szCs w:val="16"/>
                <w:lang w:eastAsia="ar-SA"/>
              </w:rPr>
            </w:pPr>
            <w:r w:rsidRPr="000876AA">
              <w:rPr>
                <w:rFonts w:ascii="Arial" w:hAnsi="Arial" w:cs="Arial"/>
                <w:color w:val="000000"/>
                <w:sz w:val="16"/>
                <w:szCs w:val="16"/>
              </w:rPr>
              <w:t>69,7%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F45B40A"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85 </w:t>
            </w:r>
          </w:p>
        </w:tc>
      </w:tr>
      <w:tr w:rsidR="00E70042" w:rsidRPr="000876AA" w14:paraId="3CCEFD07" w14:textId="77777777" w:rsidTr="00E70042">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vAlign w:val="center"/>
            <w:hideMark/>
          </w:tcPr>
          <w:p w14:paraId="31856CFB"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eastAsia="ar-SA"/>
              </w:rPr>
              <w:t>Transformación digital de la Rama Judicial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6B2B2A5"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val="es-MX" w:eastAsia="ar-SA"/>
              </w:rPr>
              <w:t>GRUPO DE PROYECTOS ESPECIALES DE TECNOLOGÍA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07C5F7F" w14:textId="77777777" w:rsidR="00E70042" w:rsidRPr="000876AA" w:rsidRDefault="00E70042" w:rsidP="00E70042">
            <w:pPr>
              <w:jc w:val="right"/>
              <w:rPr>
                <w:rFonts w:ascii="Arial" w:hAnsi="Arial" w:cs="Arial"/>
                <w:sz w:val="16"/>
                <w:szCs w:val="16"/>
                <w:lang w:eastAsia="ar-SA"/>
              </w:rPr>
            </w:pPr>
            <w:r w:rsidRPr="000876AA">
              <w:rPr>
                <w:rFonts w:ascii="Arial" w:hAnsi="Arial" w:cs="Arial"/>
                <w:b/>
                <w:bCs/>
                <w:sz w:val="16"/>
                <w:szCs w:val="16"/>
                <w:lang w:eastAsia="ar-SA"/>
              </w:rPr>
              <w:t xml:space="preserve">   86.643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E687921" w14:textId="77777777" w:rsidR="00E70042" w:rsidRPr="000876AA" w:rsidRDefault="00E70042" w:rsidP="00E70042">
            <w:pPr>
              <w:jc w:val="right"/>
              <w:rPr>
                <w:rFonts w:ascii="Arial" w:hAnsi="Arial" w:cs="Arial"/>
                <w:sz w:val="16"/>
                <w:szCs w:val="16"/>
                <w:lang w:eastAsia="ar-SA"/>
              </w:rPr>
            </w:pPr>
            <w:r w:rsidRPr="000876AA">
              <w:rPr>
                <w:rFonts w:ascii="Arial" w:hAnsi="Arial" w:cs="Arial"/>
                <w:b/>
                <w:bCs/>
                <w:sz w:val="16"/>
                <w:szCs w:val="16"/>
                <w:lang w:eastAsia="ar-SA"/>
              </w:rPr>
              <w:t xml:space="preserve">    51.360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8FBD9B4" w14:textId="77777777" w:rsidR="00E70042" w:rsidRPr="000876AA" w:rsidRDefault="00E70042" w:rsidP="00E70042">
            <w:pPr>
              <w:jc w:val="right"/>
              <w:rPr>
                <w:rFonts w:ascii="Arial" w:hAnsi="Arial" w:cs="Arial"/>
                <w:sz w:val="16"/>
                <w:szCs w:val="16"/>
                <w:lang w:eastAsia="ar-SA"/>
              </w:rPr>
            </w:pPr>
            <w:r w:rsidRPr="000876AA">
              <w:rPr>
                <w:rFonts w:ascii="Arial" w:hAnsi="Arial" w:cs="Arial"/>
                <w:b/>
                <w:bCs/>
                <w:sz w:val="16"/>
                <w:szCs w:val="16"/>
                <w:lang w:eastAsia="ar-SA"/>
              </w:rPr>
              <w:t xml:space="preserve">   26.326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0DBABD4" w14:textId="77777777" w:rsidR="00E70042" w:rsidRPr="000876AA" w:rsidRDefault="00E70042" w:rsidP="00E70042">
            <w:pPr>
              <w:jc w:val="right"/>
              <w:rPr>
                <w:rFonts w:ascii="Arial" w:hAnsi="Arial" w:cs="Arial"/>
                <w:sz w:val="16"/>
                <w:szCs w:val="16"/>
                <w:lang w:eastAsia="ar-SA"/>
              </w:rPr>
            </w:pPr>
            <w:r w:rsidRPr="000876AA">
              <w:rPr>
                <w:rFonts w:ascii="Arial" w:hAnsi="Arial" w:cs="Arial"/>
                <w:b/>
                <w:bCs/>
                <w:sz w:val="16"/>
                <w:szCs w:val="16"/>
                <w:lang w:eastAsia="ar-SA"/>
              </w:rPr>
              <w:t xml:space="preserve">  26.290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65BAAE5" w14:textId="77777777" w:rsidR="00E70042" w:rsidRPr="000876AA" w:rsidRDefault="00E70042" w:rsidP="00E70042">
            <w:pPr>
              <w:jc w:val="right"/>
              <w:rPr>
                <w:rFonts w:ascii="Arial" w:hAnsi="Arial" w:cs="Arial"/>
                <w:sz w:val="16"/>
                <w:szCs w:val="16"/>
                <w:lang w:eastAsia="ar-SA"/>
              </w:rPr>
            </w:pPr>
            <w:r w:rsidRPr="000876AA">
              <w:rPr>
                <w:rFonts w:ascii="Arial" w:hAnsi="Arial" w:cs="Arial"/>
                <w:b/>
                <w:bCs/>
                <w:sz w:val="16"/>
                <w:szCs w:val="16"/>
                <w:lang w:eastAsia="ar-SA"/>
              </w:rPr>
              <w:t>59,3%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5B80CF3" w14:textId="77777777" w:rsidR="00E70042" w:rsidRPr="000876AA" w:rsidRDefault="00E70042" w:rsidP="00E70042">
            <w:pPr>
              <w:jc w:val="right"/>
              <w:rPr>
                <w:rFonts w:ascii="Arial" w:hAnsi="Arial" w:cs="Arial"/>
                <w:sz w:val="16"/>
                <w:szCs w:val="16"/>
                <w:lang w:eastAsia="ar-SA"/>
              </w:rPr>
            </w:pPr>
            <w:r w:rsidRPr="000876AA">
              <w:rPr>
                <w:rFonts w:ascii="Arial" w:hAnsi="Arial" w:cs="Arial"/>
                <w:b/>
                <w:bCs/>
                <w:sz w:val="16"/>
                <w:szCs w:val="16"/>
                <w:lang w:eastAsia="ar-SA"/>
              </w:rPr>
              <w:t>30,4%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0D5A68F" w14:textId="77777777" w:rsidR="00E70042" w:rsidRPr="000876AA" w:rsidRDefault="00E70042" w:rsidP="00E70042">
            <w:pPr>
              <w:jc w:val="right"/>
              <w:rPr>
                <w:rFonts w:ascii="Arial" w:hAnsi="Arial" w:cs="Arial"/>
                <w:sz w:val="16"/>
                <w:szCs w:val="16"/>
                <w:lang w:eastAsia="ar-SA"/>
              </w:rPr>
            </w:pPr>
            <w:r w:rsidRPr="000876AA">
              <w:rPr>
                <w:rFonts w:ascii="Arial" w:hAnsi="Arial" w:cs="Arial"/>
                <w:b/>
                <w:bCs/>
                <w:sz w:val="16"/>
                <w:szCs w:val="16"/>
                <w:lang w:eastAsia="ar-SA"/>
              </w:rPr>
              <w:t>30,3%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F63A573" w14:textId="77777777" w:rsidR="00E70042" w:rsidRPr="000876AA" w:rsidRDefault="00E70042" w:rsidP="00E70042">
            <w:pPr>
              <w:jc w:val="right"/>
              <w:rPr>
                <w:rFonts w:ascii="Arial" w:hAnsi="Arial" w:cs="Arial"/>
                <w:sz w:val="16"/>
                <w:szCs w:val="16"/>
                <w:lang w:eastAsia="ar-SA"/>
              </w:rPr>
            </w:pPr>
            <w:r w:rsidRPr="000876AA">
              <w:rPr>
                <w:rFonts w:ascii="Arial" w:hAnsi="Arial" w:cs="Arial"/>
                <w:b/>
                <w:bCs/>
                <w:sz w:val="16"/>
                <w:szCs w:val="16"/>
                <w:lang w:eastAsia="ar-SA"/>
              </w:rPr>
              <w:t xml:space="preserve">           35.283 </w:t>
            </w:r>
          </w:p>
        </w:tc>
      </w:tr>
      <w:tr w:rsidR="00E70042" w:rsidRPr="000876AA" w14:paraId="6DEADF5F" w14:textId="77777777" w:rsidTr="00E70042">
        <w:trPr>
          <w:trHeight w:val="57"/>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vAlign w:val="center"/>
            <w:hideMark/>
          </w:tcPr>
          <w:p w14:paraId="6BCDBD9F"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eastAsia="ar-SA"/>
              </w:rPr>
              <w:t>Construcción y dotación de infraestructura física asociada a la prestación del servicio de justicia a nivel nacional</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2" w:type="dxa"/>
              <w:left w:w="12" w:type="dxa"/>
              <w:bottom w:w="0" w:type="dxa"/>
              <w:right w:w="12" w:type="dxa"/>
            </w:tcMar>
            <w:vAlign w:val="center"/>
            <w:hideMark/>
          </w:tcPr>
          <w:p w14:paraId="4EF072EC" w14:textId="77777777" w:rsidR="00E70042" w:rsidRPr="000876AA" w:rsidRDefault="00E70042" w:rsidP="00E70042">
            <w:pPr>
              <w:rPr>
                <w:rFonts w:ascii="Arial" w:hAnsi="Arial" w:cs="Arial"/>
                <w:sz w:val="16"/>
                <w:szCs w:val="16"/>
                <w:lang w:eastAsia="ar-SA"/>
              </w:rPr>
            </w:pPr>
            <w:r w:rsidRPr="000876AA">
              <w:rPr>
                <w:rFonts w:ascii="Arial" w:hAnsi="Arial" w:cs="Arial"/>
                <w:b/>
                <w:bCs/>
                <w:sz w:val="16"/>
                <w:szCs w:val="16"/>
                <w:lang w:eastAsia="ar-SA"/>
              </w:rPr>
              <w:t>SUBTOTAL CONSTRUCCION Y DOTACION</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bottom"/>
            <w:hideMark/>
          </w:tcPr>
          <w:p w14:paraId="7975B2CE" w14:textId="77777777" w:rsidR="00E70042" w:rsidRPr="000876AA" w:rsidRDefault="00E70042" w:rsidP="00E70042">
            <w:pPr>
              <w:jc w:val="right"/>
              <w:rPr>
                <w:rFonts w:ascii="Arial" w:hAnsi="Arial" w:cs="Arial"/>
                <w:sz w:val="16"/>
                <w:szCs w:val="16"/>
                <w:lang w:eastAsia="ar-SA"/>
              </w:rPr>
            </w:pPr>
            <w:r w:rsidRPr="000876AA">
              <w:rPr>
                <w:rFonts w:ascii="Arial" w:hAnsi="Arial" w:cs="Arial"/>
                <w:b/>
                <w:bCs/>
                <w:sz w:val="16"/>
                <w:szCs w:val="16"/>
                <w:lang w:eastAsia="ar-SA"/>
              </w:rPr>
              <w:t xml:space="preserve">    62.394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bottom"/>
            <w:hideMark/>
          </w:tcPr>
          <w:p w14:paraId="33597855" w14:textId="77777777" w:rsidR="00E70042" w:rsidRPr="000876AA" w:rsidRDefault="00E70042" w:rsidP="00E70042">
            <w:pPr>
              <w:jc w:val="right"/>
              <w:rPr>
                <w:rFonts w:ascii="Arial" w:hAnsi="Arial" w:cs="Arial"/>
                <w:sz w:val="16"/>
                <w:szCs w:val="16"/>
                <w:lang w:eastAsia="ar-SA"/>
              </w:rPr>
            </w:pPr>
            <w:r w:rsidRPr="000876AA">
              <w:rPr>
                <w:rFonts w:ascii="Arial" w:hAnsi="Arial" w:cs="Arial"/>
                <w:b/>
                <w:bCs/>
                <w:sz w:val="16"/>
                <w:szCs w:val="16"/>
                <w:lang w:eastAsia="ar-SA"/>
              </w:rPr>
              <w:t xml:space="preserve">    59.923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bottom"/>
            <w:hideMark/>
          </w:tcPr>
          <w:p w14:paraId="0A6A1326" w14:textId="77777777" w:rsidR="00E70042" w:rsidRPr="000876AA" w:rsidRDefault="00E70042" w:rsidP="00E70042">
            <w:pPr>
              <w:jc w:val="right"/>
              <w:rPr>
                <w:rFonts w:ascii="Arial" w:hAnsi="Arial" w:cs="Arial"/>
                <w:sz w:val="16"/>
                <w:szCs w:val="16"/>
                <w:lang w:eastAsia="ar-SA"/>
              </w:rPr>
            </w:pPr>
            <w:r w:rsidRPr="000876AA">
              <w:rPr>
                <w:rFonts w:ascii="Arial" w:hAnsi="Arial" w:cs="Arial"/>
                <w:b/>
                <w:bCs/>
                <w:sz w:val="16"/>
                <w:szCs w:val="16"/>
                <w:lang w:eastAsia="ar-SA"/>
              </w:rPr>
              <w:t xml:space="preserve">  10.682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bottom"/>
            <w:hideMark/>
          </w:tcPr>
          <w:p w14:paraId="226D4A1C" w14:textId="77777777" w:rsidR="00E70042" w:rsidRPr="000876AA" w:rsidRDefault="00E70042" w:rsidP="00E70042">
            <w:pPr>
              <w:jc w:val="right"/>
              <w:rPr>
                <w:rFonts w:ascii="Arial" w:hAnsi="Arial" w:cs="Arial"/>
                <w:sz w:val="16"/>
                <w:szCs w:val="16"/>
                <w:lang w:eastAsia="ar-SA"/>
              </w:rPr>
            </w:pPr>
            <w:r w:rsidRPr="000876AA">
              <w:rPr>
                <w:rFonts w:ascii="Arial" w:hAnsi="Arial" w:cs="Arial"/>
                <w:b/>
                <w:bCs/>
                <w:sz w:val="16"/>
                <w:szCs w:val="16"/>
                <w:lang w:eastAsia="ar-SA"/>
              </w:rPr>
              <w:t xml:space="preserve">    10.543 </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bottom"/>
            <w:hideMark/>
          </w:tcPr>
          <w:p w14:paraId="55C0DB94" w14:textId="77777777" w:rsidR="00E70042" w:rsidRPr="000876AA" w:rsidRDefault="00E70042" w:rsidP="00E70042">
            <w:pPr>
              <w:jc w:val="right"/>
              <w:rPr>
                <w:rFonts w:ascii="Arial" w:hAnsi="Arial" w:cs="Arial"/>
                <w:sz w:val="16"/>
                <w:szCs w:val="16"/>
                <w:lang w:eastAsia="ar-SA"/>
              </w:rPr>
            </w:pPr>
            <w:r w:rsidRPr="000876AA">
              <w:rPr>
                <w:rFonts w:ascii="Arial" w:hAnsi="Arial" w:cs="Arial"/>
                <w:b/>
                <w:bCs/>
                <w:sz w:val="16"/>
                <w:szCs w:val="16"/>
                <w:lang w:eastAsia="ar-SA"/>
              </w:rPr>
              <w:t>96,0%</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bottom"/>
            <w:hideMark/>
          </w:tcPr>
          <w:p w14:paraId="62B49A93" w14:textId="77777777" w:rsidR="00E70042" w:rsidRPr="000876AA" w:rsidRDefault="00E70042" w:rsidP="00E70042">
            <w:pPr>
              <w:jc w:val="right"/>
              <w:rPr>
                <w:rFonts w:ascii="Arial" w:hAnsi="Arial" w:cs="Arial"/>
                <w:sz w:val="16"/>
                <w:szCs w:val="16"/>
                <w:lang w:eastAsia="ar-SA"/>
              </w:rPr>
            </w:pPr>
            <w:r w:rsidRPr="000876AA">
              <w:rPr>
                <w:rFonts w:ascii="Arial" w:hAnsi="Arial" w:cs="Arial"/>
                <w:b/>
                <w:bCs/>
                <w:sz w:val="16"/>
                <w:szCs w:val="16"/>
                <w:lang w:eastAsia="ar-SA"/>
              </w:rPr>
              <w:t>17,1%</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bottom"/>
            <w:hideMark/>
          </w:tcPr>
          <w:p w14:paraId="459AE320" w14:textId="77777777" w:rsidR="00E70042" w:rsidRPr="000876AA" w:rsidRDefault="00E70042" w:rsidP="00E70042">
            <w:pPr>
              <w:jc w:val="right"/>
              <w:rPr>
                <w:rFonts w:ascii="Arial" w:hAnsi="Arial" w:cs="Arial"/>
                <w:sz w:val="16"/>
                <w:szCs w:val="16"/>
                <w:lang w:eastAsia="ar-SA"/>
              </w:rPr>
            </w:pPr>
            <w:r w:rsidRPr="000876AA">
              <w:rPr>
                <w:rFonts w:ascii="Arial" w:hAnsi="Arial" w:cs="Arial"/>
                <w:b/>
                <w:bCs/>
                <w:sz w:val="16"/>
                <w:szCs w:val="16"/>
                <w:lang w:eastAsia="ar-SA"/>
              </w:rPr>
              <w:t>16,9%</w:t>
            </w:r>
          </w:p>
        </w:tc>
        <w:tc>
          <w:tcPr>
            <w:tcW w:w="0" w:type="auto"/>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0" w:type="dxa"/>
              <w:right w:w="15" w:type="dxa"/>
            </w:tcMar>
            <w:vAlign w:val="bottom"/>
            <w:hideMark/>
          </w:tcPr>
          <w:p w14:paraId="620827C7" w14:textId="77777777" w:rsidR="00E70042" w:rsidRPr="000876AA" w:rsidRDefault="00E70042" w:rsidP="00E70042">
            <w:pPr>
              <w:jc w:val="right"/>
              <w:rPr>
                <w:rFonts w:ascii="Arial" w:hAnsi="Arial" w:cs="Arial"/>
                <w:sz w:val="16"/>
                <w:szCs w:val="16"/>
                <w:lang w:eastAsia="ar-SA"/>
              </w:rPr>
            </w:pPr>
            <w:r w:rsidRPr="000876AA">
              <w:rPr>
                <w:rFonts w:ascii="Arial" w:hAnsi="Arial" w:cs="Arial"/>
                <w:b/>
                <w:bCs/>
                <w:sz w:val="16"/>
                <w:szCs w:val="16"/>
                <w:lang w:eastAsia="ar-SA"/>
              </w:rPr>
              <w:t xml:space="preserve">             2.471 </w:t>
            </w:r>
          </w:p>
        </w:tc>
      </w:tr>
      <w:tr w:rsidR="00E70042" w:rsidRPr="000876AA" w14:paraId="32626292" w14:textId="77777777" w:rsidTr="00E70042">
        <w:trPr>
          <w:trHeight w:val="5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8836CC" w14:textId="77777777" w:rsidR="00E70042" w:rsidRPr="000876AA" w:rsidRDefault="00E70042" w:rsidP="00E70042">
            <w:pPr>
              <w:rPr>
                <w:rFonts w:ascii="Arial" w:hAnsi="Arial" w:cs="Arial"/>
                <w:sz w:val="16"/>
                <w:szCs w:val="16"/>
                <w:lang w:eastAsia="ar-SA"/>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2AB108C"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eastAsia="ar-SA"/>
              </w:rPr>
              <w:t>INFRAESTRUCTURA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7A67592"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16.063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7F92A0B"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15.340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CCED731" w14:textId="77777777" w:rsidR="00E70042" w:rsidRPr="000876AA" w:rsidRDefault="00E70042" w:rsidP="00E70042">
            <w:pPr>
              <w:jc w:val="right"/>
              <w:rPr>
                <w:rFonts w:ascii="Arial" w:hAnsi="Arial" w:cs="Arial"/>
                <w:sz w:val="16"/>
                <w:szCs w:val="16"/>
                <w:lang w:eastAsia="ar-SA"/>
              </w:rPr>
            </w:pPr>
            <w:r w:rsidRPr="000876AA">
              <w:rPr>
                <w:rFonts w:ascii="Arial" w:hAnsi="Arial" w:cs="Arial"/>
                <w:color w:val="000000"/>
                <w:sz w:val="16"/>
                <w:szCs w:val="16"/>
              </w:rPr>
              <w:t xml:space="preserve">             6.949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6223B8E" w14:textId="77777777" w:rsidR="00E70042" w:rsidRPr="000876AA" w:rsidRDefault="00E70042" w:rsidP="00E70042">
            <w:pPr>
              <w:jc w:val="right"/>
              <w:rPr>
                <w:rFonts w:ascii="Arial" w:hAnsi="Arial" w:cs="Arial"/>
                <w:sz w:val="16"/>
                <w:szCs w:val="16"/>
                <w:lang w:eastAsia="ar-SA"/>
              </w:rPr>
            </w:pPr>
            <w:r w:rsidRPr="000876AA">
              <w:rPr>
                <w:rFonts w:ascii="Arial" w:hAnsi="Arial" w:cs="Arial"/>
                <w:color w:val="000000"/>
                <w:sz w:val="16"/>
                <w:szCs w:val="16"/>
              </w:rPr>
              <w:t xml:space="preserve">             6.949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A539EBD" w14:textId="77777777" w:rsidR="00E70042" w:rsidRPr="000876AA" w:rsidRDefault="00E70042" w:rsidP="00E70042">
            <w:pPr>
              <w:jc w:val="right"/>
              <w:rPr>
                <w:rFonts w:ascii="Arial" w:hAnsi="Arial" w:cs="Arial"/>
                <w:sz w:val="16"/>
                <w:szCs w:val="16"/>
                <w:lang w:eastAsia="ar-SA"/>
              </w:rPr>
            </w:pPr>
            <w:r w:rsidRPr="000876AA">
              <w:rPr>
                <w:rFonts w:ascii="Arial" w:hAnsi="Arial" w:cs="Arial"/>
                <w:color w:val="000000"/>
                <w:sz w:val="16"/>
                <w:szCs w:val="16"/>
              </w:rPr>
              <w:t>95,5%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4FD7EB9" w14:textId="77777777" w:rsidR="00E70042" w:rsidRPr="000876AA" w:rsidRDefault="00E70042" w:rsidP="00E70042">
            <w:pPr>
              <w:jc w:val="right"/>
              <w:rPr>
                <w:rFonts w:ascii="Arial" w:hAnsi="Arial" w:cs="Arial"/>
                <w:sz w:val="16"/>
                <w:szCs w:val="16"/>
                <w:lang w:eastAsia="ar-SA"/>
              </w:rPr>
            </w:pPr>
            <w:r w:rsidRPr="000876AA">
              <w:rPr>
                <w:rFonts w:ascii="Arial" w:hAnsi="Arial" w:cs="Arial"/>
                <w:color w:val="000000"/>
                <w:sz w:val="16"/>
                <w:szCs w:val="16"/>
              </w:rPr>
              <w:t>43,3%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BF32C50" w14:textId="77777777" w:rsidR="00E70042" w:rsidRPr="000876AA" w:rsidRDefault="00E70042" w:rsidP="00E70042">
            <w:pPr>
              <w:jc w:val="right"/>
              <w:rPr>
                <w:rFonts w:ascii="Arial" w:hAnsi="Arial" w:cs="Arial"/>
                <w:sz w:val="16"/>
                <w:szCs w:val="16"/>
                <w:lang w:eastAsia="ar-SA"/>
              </w:rPr>
            </w:pPr>
            <w:r w:rsidRPr="000876AA">
              <w:rPr>
                <w:rFonts w:ascii="Arial" w:hAnsi="Arial" w:cs="Arial"/>
                <w:color w:val="000000"/>
                <w:sz w:val="16"/>
                <w:szCs w:val="16"/>
              </w:rPr>
              <w:t>43,3%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AF7E03E"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723 </w:t>
            </w:r>
          </w:p>
        </w:tc>
      </w:tr>
      <w:tr w:rsidR="00E70042" w:rsidRPr="000876AA" w14:paraId="31BC76C8" w14:textId="77777777" w:rsidTr="00E70042">
        <w:trPr>
          <w:trHeight w:val="5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6C4FC9" w14:textId="77777777" w:rsidR="00E70042" w:rsidRPr="000876AA" w:rsidRDefault="00E70042" w:rsidP="00E70042">
            <w:pPr>
              <w:rPr>
                <w:rFonts w:ascii="Arial" w:hAnsi="Arial" w:cs="Arial"/>
                <w:sz w:val="16"/>
                <w:szCs w:val="16"/>
                <w:lang w:eastAsia="ar-SA"/>
              </w:rPr>
            </w:pP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D3D9634"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val="es-MX" w:eastAsia="ar-SA"/>
              </w:rPr>
              <w:t>GRUPO DE PROYECTOS ESPECIALES DE INFRAESTRUCTURA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EB82DF7"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46.331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AC85E48"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44.583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3D5CC3E" w14:textId="77777777" w:rsidR="00E70042" w:rsidRPr="000876AA" w:rsidRDefault="00E70042" w:rsidP="00E70042">
            <w:pPr>
              <w:jc w:val="right"/>
              <w:rPr>
                <w:rFonts w:ascii="Arial" w:hAnsi="Arial" w:cs="Arial"/>
                <w:sz w:val="16"/>
                <w:szCs w:val="16"/>
                <w:lang w:eastAsia="ar-SA"/>
              </w:rPr>
            </w:pPr>
            <w:r w:rsidRPr="000876AA">
              <w:rPr>
                <w:rFonts w:ascii="Arial" w:hAnsi="Arial" w:cs="Arial"/>
                <w:color w:val="000000"/>
                <w:sz w:val="16"/>
                <w:szCs w:val="16"/>
              </w:rPr>
              <w:t xml:space="preserve">             3.733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C09496E" w14:textId="77777777" w:rsidR="00E70042" w:rsidRPr="000876AA" w:rsidRDefault="00E70042" w:rsidP="00E70042">
            <w:pPr>
              <w:jc w:val="right"/>
              <w:rPr>
                <w:rFonts w:ascii="Arial" w:hAnsi="Arial" w:cs="Arial"/>
                <w:sz w:val="16"/>
                <w:szCs w:val="16"/>
                <w:lang w:eastAsia="ar-SA"/>
              </w:rPr>
            </w:pPr>
            <w:r w:rsidRPr="000876AA">
              <w:rPr>
                <w:rFonts w:ascii="Arial" w:hAnsi="Arial" w:cs="Arial"/>
                <w:color w:val="000000"/>
                <w:sz w:val="16"/>
                <w:szCs w:val="16"/>
              </w:rPr>
              <w:t xml:space="preserve">             3.594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B52D1CF" w14:textId="77777777" w:rsidR="00E70042" w:rsidRPr="000876AA" w:rsidRDefault="00E70042" w:rsidP="00E70042">
            <w:pPr>
              <w:jc w:val="right"/>
              <w:rPr>
                <w:rFonts w:ascii="Arial" w:hAnsi="Arial" w:cs="Arial"/>
                <w:sz w:val="16"/>
                <w:szCs w:val="16"/>
                <w:lang w:eastAsia="ar-SA"/>
              </w:rPr>
            </w:pPr>
            <w:r w:rsidRPr="000876AA">
              <w:rPr>
                <w:rFonts w:ascii="Arial" w:hAnsi="Arial" w:cs="Arial"/>
                <w:color w:val="000000"/>
                <w:sz w:val="16"/>
                <w:szCs w:val="16"/>
              </w:rPr>
              <w:t>96,2%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347CBAA" w14:textId="77777777" w:rsidR="00E70042" w:rsidRPr="000876AA" w:rsidRDefault="00E70042" w:rsidP="00E70042">
            <w:pPr>
              <w:jc w:val="right"/>
              <w:rPr>
                <w:rFonts w:ascii="Arial" w:hAnsi="Arial" w:cs="Arial"/>
                <w:sz w:val="16"/>
                <w:szCs w:val="16"/>
                <w:lang w:eastAsia="ar-SA"/>
              </w:rPr>
            </w:pPr>
            <w:r w:rsidRPr="000876AA">
              <w:rPr>
                <w:rFonts w:ascii="Arial" w:hAnsi="Arial" w:cs="Arial"/>
                <w:color w:val="000000"/>
                <w:sz w:val="16"/>
                <w:szCs w:val="16"/>
              </w:rPr>
              <w:t>8,1%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45D0DF4" w14:textId="77777777" w:rsidR="00E70042" w:rsidRPr="000876AA" w:rsidRDefault="00E70042" w:rsidP="00E70042">
            <w:pPr>
              <w:jc w:val="right"/>
              <w:rPr>
                <w:rFonts w:ascii="Arial" w:hAnsi="Arial" w:cs="Arial"/>
                <w:sz w:val="16"/>
                <w:szCs w:val="16"/>
                <w:lang w:eastAsia="ar-SA"/>
              </w:rPr>
            </w:pPr>
            <w:r w:rsidRPr="000876AA">
              <w:rPr>
                <w:rFonts w:ascii="Arial" w:hAnsi="Arial" w:cs="Arial"/>
                <w:color w:val="000000"/>
                <w:sz w:val="16"/>
                <w:szCs w:val="16"/>
              </w:rPr>
              <w:t>7,8%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0ED1145"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1.748 </w:t>
            </w:r>
          </w:p>
        </w:tc>
      </w:tr>
      <w:tr w:rsidR="00E70042" w:rsidRPr="000876AA" w14:paraId="0F7C5309" w14:textId="77777777" w:rsidTr="00E70042">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vAlign w:val="center"/>
            <w:hideMark/>
          </w:tcPr>
          <w:p w14:paraId="2625B405"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eastAsia="ar-SA"/>
              </w:rPr>
              <w:t xml:space="preserve">Construcción y dotación de infraestructura física asociada a </w:t>
            </w:r>
            <w:r w:rsidRPr="000876AA">
              <w:rPr>
                <w:rFonts w:ascii="Arial" w:hAnsi="Arial" w:cs="Arial"/>
                <w:sz w:val="16"/>
                <w:szCs w:val="16"/>
                <w:lang w:eastAsia="ar-SA"/>
              </w:rPr>
              <w:lastRenderedPageBreak/>
              <w:t>la prestación del sistema oral a nivel nacional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F77E3BC"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eastAsia="ar-SA"/>
              </w:rPr>
              <w:lastRenderedPageBreak/>
              <w:t>INFRAESTRUCTURA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5685474"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4.960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E7C9F9D"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182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E0409B9"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15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BF5E72E"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15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3B2BBE9"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3,7%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ADF9835"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0,3%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EDF1CCA"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0,3%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0607530"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4.777 </w:t>
            </w:r>
          </w:p>
        </w:tc>
      </w:tr>
      <w:tr w:rsidR="00E70042" w:rsidRPr="000876AA" w14:paraId="2F7E7070" w14:textId="77777777" w:rsidTr="00E70042">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vAlign w:val="center"/>
            <w:hideMark/>
          </w:tcPr>
          <w:p w14:paraId="2F8A3446"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eastAsia="ar-SA"/>
              </w:rPr>
              <w:t>Adquisición adecuación y dotación de inmuebles y/o lotes de terreno para la infraestructura propia del sector a nivel nacional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4042585"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val="es-MX" w:eastAsia="ar-SA"/>
              </w:rPr>
              <w:t>GRUPO DE PROYECTOS ESPECIALES DE INFRAESTRUCTURA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E20454C"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35.996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70F3042"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35.996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CBAF791"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BB85A3A"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A6A5A48"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100,0%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D16559E"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CDF89F5"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6BC43B5"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 </w:t>
            </w:r>
          </w:p>
        </w:tc>
      </w:tr>
      <w:tr w:rsidR="00E70042" w:rsidRPr="000876AA" w14:paraId="1D348129" w14:textId="77777777" w:rsidTr="00E70042">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vAlign w:val="center"/>
            <w:hideMark/>
          </w:tcPr>
          <w:p w14:paraId="20AC51EE"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eastAsia="ar-SA"/>
              </w:rPr>
              <w:t>Construcción y dotación del Palacio de Justicia de Medellín</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DCFD7C1"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val="es-MX" w:eastAsia="ar-SA"/>
              </w:rPr>
              <w:t>GRUPO DE PROYECTOS ESPECIALES DE INFRAESTRUCTURA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994B4BE"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24.500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8E6CE9D"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24.500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99144F6"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50F68BC"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B31C631"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100,0%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F8D3418"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71464F2"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47164CA"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 </w:t>
            </w:r>
          </w:p>
        </w:tc>
      </w:tr>
      <w:tr w:rsidR="00E70042" w:rsidRPr="000876AA" w14:paraId="25D319FF" w14:textId="77777777" w:rsidTr="00E70042">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vAlign w:val="center"/>
            <w:hideMark/>
          </w:tcPr>
          <w:p w14:paraId="024BCB54"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eastAsia="ar-SA"/>
              </w:rPr>
              <w:t>Mejoramiento y mantenimiento de la infraestructura física de la Rama Judicial a nivel nacional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0C4094B"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eastAsia="ar-SA"/>
              </w:rPr>
              <w:t>ADMINISTRATIVA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BA5496E"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53.645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EFEE0DF"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50.711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30591AB"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28.652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7B231FA"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28.088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A340A08"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94,5%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9718FF4"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53,4%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4AC3C37"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52,4%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E8EC2C6"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2.934 </w:t>
            </w:r>
          </w:p>
        </w:tc>
      </w:tr>
      <w:tr w:rsidR="00E70042" w:rsidRPr="000876AA" w14:paraId="3A40D73A" w14:textId="77777777" w:rsidTr="00E70042">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vAlign w:val="center"/>
            <w:hideMark/>
          </w:tcPr>
          <w:p w14:paraId="2E990CFA"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eastAsia="ar-SA"/>
              </w:rPr>
              <w:t>Fortalecimiento de los mecanismos para el acceso a la información de la Rama Judicial a nivel nacional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40939548"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eastAsia="ar-SA"/>
              </w:rPr>
              <w:t>CENDOJ</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8D2C96A"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37.983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985D4AE"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36.517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E3CE3B7"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15.557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0F8A869"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15.133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E61C88C"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96,1%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85754D6"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41,0%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95E7581"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39,8%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7CE8E96"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1.467 </w:t>
            </w:r>
          </w:p>
        </w:tc>
      </w:tr>
      <w:tr w:rsidR="00E70042" w:rsidRPr="000876AA" w14:paraId="7D4E40EF" w14:textId="77777777" w:rsidTr="00E70042">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vAlign w:val="center"/>
            <w:hideMark/>
          </w:tcPr>
          <w:p w14:paraId="648D9187"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eastAsia="ar-SA"/>
              </w:rPr>
              <w:t>Formación y capacitación en competencias judiciales y organizacionales a nivel nacional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2614D07F"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eastAsia="ar-SA"/>
              </w:rPr>
              <w:t>ESCUELA JUDICIAL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78F538F"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27.817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0854A00"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21.024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474AC8E"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4.388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B0C9328"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4.388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C7661FD"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75,6%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499F582"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15,8%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16C6AD2"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15,8%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74AD807"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6.793 </w:t>
            </w:r>
          </w:p>
        </w:tc>
      </w:tr>
      <w:tr w:rsidR="00E70042" w:rsidRPr="000876AA" w14:paraId="46C5544E" w14:textId="77777777" w:rsidTr="00E70042">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vAlign w:val="center"/>
            <w:hideMark/>
          </w:tcPr>
          <w:p w14:paraId="3E1DFA19"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val="es-MX" w:eastAsia="ar-SA"/>
              </w:rPr>
              <w:t xml:space="preserve">Implementación  de estrategias para fortalecer la gestión de los despachos judiciales en la rama judicial a nivel nacional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1F1072DE"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eastAsia="ar-SA"/>
              </w:rPr>
              <w:t>RECURSOS HUMANOS</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51363B2"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12.904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3E49494"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10.736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324E7B4"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8.615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9D9BA7C"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8.450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0D3F592"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83,2%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E80C9AB"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66,8%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DC5609D"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65,5%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818496B"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2.168 </w:t>
            </w:r>
          </w:p>
        </w:tc>
      </w:tr>
      <w:tr w:rsidR="00E70042" w:rsidRPr="000876AA" w14:paraId="469F145C" w14:textId="77777777" w:rsidTr="00E70042">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vAlign w:val="center"/>
            <w:hideMark/>
          </w:tcPr>
          <w:p w14:paraId="1B400449"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eastAsia="ar-SA"/>
              </w:rPr>
              <w:t>Fortalecimiento de los esquemas de apoyo en la Rama Judicial a nivel nacional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01F13718"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eastAsia="ar-SA"/>
              </w:rPr>
              <w:t>OSEG</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DDB4DA4"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12.550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13E4FB8"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10.762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E8506BB"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10.155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0601950"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10.155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1B7EE26"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85,8%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8380AB5"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80,9%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8FFB8F7"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80,9%</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567B533"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1.788 </w:t>
            </w:r>
          </w:p>
        </w:tc>
      </w:tr>
      <w:tr w:rsidR="00E70042" w:rsidRPr="000876AA" w14:paraId="5CCD41E6" w14:textId="77777777" w:rsidTr="00E70042">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vAlign w:val="center"/>
            <w:hideMark/>
          </w:tcPr>
          <w:p w14:paraId="5FDCD50D"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eastAsia="ar-SA"/>
              </w:rPr>
              <w:t>Elaboración de estudios especiales y análisis estadístico para la modernización de la Rama Judicial a nivel nacional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5E64670"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eastAsia="ar-SA"/>
              </w:rPr>
              <w:t>UDAE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E29140C"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3.400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8F2F6A2"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1.250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BECA2BB"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137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02BBFC4"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137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3968A842"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36,8%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F0BAE96"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4,0%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E359CAF"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4,0%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9C8F0DD"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2.150 </w:t>
            </w:r>
          </w:p>
        </w:tc>
      </w:tr>
      <w:tr w:rsidR="00E70042" w:rsidRPr="000876AA" w14:paraId="04104841" w14:textId="77777777" w:rsidTr="00E70042">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vAlign w:val="center"/>
            <w:hideMark/>
          </w:tcPr>
          <w:p w14:paraId="4965F8CF"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eastAsia="ar-SA"/>
              </w:rPr>
              <w:t>Implementación, mantenimiento evaluación y mejora de los sistemas de gestión de los despachos de la Rama Judicial a nivel nacional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6806F863"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eastAsia="ar-SA"/>
              </w:rPr>
              <w:t>UDAE</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E73C9F9"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2.800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B1857C1"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2.800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FEB8286"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2.711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8FB0873"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2.711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17FFF57"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100,0%</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6738518"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96,8%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8C5D769"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96,8%</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8E5D459"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1 </w:t>
            </w:r>
          </w:p>
        </w:tc>
      </w:tr>
      <w:tr w:rsidR="00E70042" w:rsidRPr="000876AA" w14:paraId="6557E8AF" w14:textId="77777777" w:rsidTr="00E70042">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vAlign w:val="center"/>
            <w:hideMark/>
          </w:tcPr>
          <w:p w14:paraId="7FB0AAFE"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eastAsia="ar-SA"/>
              </w:rPr>
              <w:t>Fortalecimiento de la unidad de registro nacional de abogados y auxiliares de la justicia sistemas de control e información nacional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379CDA1F"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eastAsia="ar-SA"/>
              </w:rPr>
              <w:t>URNA</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76896E1"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3.901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270F162"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1.267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1E9068E"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1.198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3AD5A24"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1.198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C67E7C6"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32,5%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93388D2"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30,7%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914BDB9"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30,7%</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BBF4F74"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2.634 </w:t>
            </w:r>
          </w:p>
        </w:tc>
      </w:tr>
      <w:tr w:rsidR="00E70042" w:rsidRPr="000876AA" w14:paraId="4192C8C2" w14:textId="77777777" w:rsidTr="00E70042">
        <w:trPr>
          <w:trHeight w:val="57"/>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21" w:type="dxa"/>
              <w:bottom w:w="0" w:type="dxa"/>
              <w:right w:w="21" w:type="dxa"/>
            </w:tcMar>
            <w:vAlign w:val="center"/>
            <w:hideMark/>
          </w:tcPr>
          <w:p w14:paraId="78866FB7"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eastAsia="ar-SA"/>
              </w:rPr>
              <w:t>Mejoramiento de los procesos de administración de carrera judicial a nivel nacional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2" w:type="dxa"/>
              <w:left w:w="12" w:type="dxa"/>
              <w:bottom w:w="0" w:type="dxa"/>
              <w:right w:w="12" w:type="dxa"/>
            </w:tcMar>
            <w:vAlign w:val="center"/>
            <w:hideMark/>
          </w:tcPr>
          <w:p w14:paraId="5878C022" w14:textId="77777777" w:rsidR="00E70042" w:rsidRPr="000876AA" w:rsidRDefault="00E70042" w:rsidP="00E70042">
            <w:pPr>
              <w:rPr>
                <w:rFonts w:ascii="Arial" w:hAnsi="Arial" w:cs="Arial"/>
                <w:sz w:val="16"/>
                <w:szCs w:val="16"/>
                <w:lang w:eastAsia="ar-SA"/>
              </w:rPr>
            </w:pPr>
            <w:r w:rsidRPr="000876AA">
              <w:rPr>
                <w:rFonts w:ascii="Arial" w:hAnsi="Arial" w:cs="Arial"/>
                <w:sz w:val="16"/>
                <w:szCs w:val="16"/>
                <w:lang w:eastAsia="ar-SA"/>
              </w:rPr>
              <w:t>CARRERA JUDICIAL</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B6FAD8C"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2.430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6619B7D"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889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1996FD21"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889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5079920F"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889 </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2E536B1"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36,6%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E701E10"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36,6%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E3E05A7"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36,6%</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C6BE090" w14:textId="77777777" w:rsidR="00E70042" w:rsidRPr="000876AA" w:rsidRDefault="00E70042" w:rsidP="00E70042">
            <w:pPr>
              <w:jc w:val="right"/>
              <w:rPr>
                <w:rFonts w:ascii="Arial" w:hAnsi="Arial" w:cs="Arial"/>
                <w:sz w:val="16"/>
                <w:szCs w:val="16"/>
                <w:lang w:eastAsia="ar-SA"/>
              </w:rPr>
            </w:pPr>
            <w:r w:rsidRPr="000876AA">
              <w:rPr>
                <w:rFonts w:ascii="Arial" w:hAnsi="Arial" w:cs="Arial"/>
                <w:sz w:val="16"/>
                <w:szCs w:val="16"/>
                <w:lang w:eastAsia="ar-SA"/>
              </w:rPr>
              <w:t xml:space="preserve">             1.541 </w:t>
            </w:r>
          </w:p>
        </w:tc>
      </w:tr>
    </w:tbl>
    <w:p w14:paraId="4AF19386" w14:textId="39452DFA" w:rsidR="009817D5" w:rsidRPr="000876AA" w:rsidRDefault="009817D5" w:rsidP="009817D5">
      <w:pPr>
        <w:pStyle w:val="Descripcin"/>
        <w:jc w:val="both"/>
        <w:rPr>
          <w:rFonts w:ascii="Arial" w:hAnsi="Arial" w:cs="Arial"/>
          <w:b w:val="0"/>
          <w:i/>
          <w:iCs/>
          <w:sz w:val="16"/>
          <w:szCs w:val="18"/>
        </w:rPr>
      </w:pPr>
      <w:r w:rsidRPr="000876AA">
        <w:rPr>
          <w:rFonts w:ascii="Arial" w:hAnsi="Arial" w:cs="Arial"/>
          <w:b w:val="0"/>
          <w:sz w:val="16"/>
          <w:szCs w:val="18"/>
        </w:rPr>
        <w:t>Fuente: Unidad de Planeación</w:t>
      </w:r>
    </w:p>
    <w:p w14:paraId="42966C5E" w14:textId="77777777" w:rsidR="00E70042" w:rsidRPr="000876AA" w:rsidRDefault="00E70042" w:rsidP="00505796">
      <w:pPr>
        <w:jc w:val="both"/>
        <w:rPr>
          <w:rFonts w:ascii="Arial" w:hAnsi="Arial" w:cs="Arial"/>
          <w:sz w:val="18"/>
          <w:szCs w:val="18"/>
        </w:rPr>
      </w:pPr>
    </w:p>
    <w:p w14:paraId="1FC82BC4" w14:textId="14103DC0" w:rsidR="00E70042" w:rsidRPr="000876AA" w:rsidRDefault="00E70042" w:rsidP="00505796">
      <w:pPr>
        <w:jc w:val="both"/>
        <w:rPr>
          <w:rFonts w:ascii="Arial" w:hAnsi="Arial" w:cs="Arial"/>
          <w:sz w:val="18"/>
          <w:szCs w:val="18"/>
        </w:rPr>
      </w:pPr>
      <w:r w:rsidRPr="000876AA">
        <w:rPr>
          <w:rFonts w:ascii="Arial" w:hAnsi="Arial" w:cs="Arial"/>
          <w:sz w:val="18"/>
          <w:szCs w:val="18"/>
        </w:rPr>
        <w:t>El presupuesto comprometido fue de $489.719 millones, equivalente al 84,3%, lo que implica un sobrante de apropiación de $91.103 millones debido principalmente a saldos de contratación, procesos declarados desiertos y actividades que estaban financiadas por el crédito de la banca multilateral que no se pudieron ejecutar debido a que no se contó con la aprobación por parte del BID en el Plan de Adquisiciones.</w:t>
      </w:r>
    </w:p>
    <w:p w14:paraId="4E1DBA81" w14:textId="77777777" w:rsidR="00505796" w:rsidRPr="000876AA" w:rsidRDefault="00505796" w:rsidP="00505796">
      <w:pPr>
        <w:jc w:val="both"/>
        <w:rPr>
          <w:rFonts w:ascii="Arial" w:hAnsi="Arial" w:cs="Arial"/>
          <w:sz w:val="18"/>
          <w:szCs w:val="18"/>
        </w:rPr>
      </w:pPr>
    </w:p>
    <w:p w14:paraId="5D43BAF8" w14:textId="77777777" w:rsidR="00E70042" w:rsidRPr="000876AA" w:rsidRDefault="00E70042" w:rsidP="00505796">
      <w:pPr>
        <w:jc w:val="both"/>
        <w:rPr>
          <w:rFonts w:ascii="Arial" w:hAnsi="Arial" w:cs="Arial"/>
          <w:sz w:val="18"/>
          <w:szCs w:val="18"/>
        </w:rPr>
      </w:pPr>
      <w:r w:rsidRPr="000876AA">
        <w:rPr>
          <w:rFonts w:ascii="Arial" w:hAnsi="Arial" w:cs="Arial"/>
          <w:sz w:val="18"/>
          <w:szCs w:val="18"/>
        </w:rPr>
        <w:t>El monto de las obligaciones fue de $203.804 millones equivalente al 35,1% del presupuesto, lo que implicó una reserva presupuestal de $285.915 millones debido a que los procesos de contratación que requerían de vigencia futura solamente fue posible adelantarlos en el último trimestre del año debido al cambio de gobierno lo que implicó que la solicitud de vigencias futuras solamente se pudiera realizar después del 7 de agosto de 2022.</w:t>
      </w:r>
    </w:p>
    <w:p w14:paraId="4841C2FD" w14:textId="77777777" w:rsidR="00505796" w:rsidRPr="000876AA" w:rsidRDefault="00505796" w:rsidP="00505796">
      <w:pPr>
        <w:jc w:val="both"/>
        <w:rPr>
          <w:rFonts w:ascii="Arial" w:hAnsi="Arial" w:cs="Arial"/>
          <w:sz w:val="18"/>
          <w:szCs w:val="18"/>
        </w:rPr>
      </w:pPr>
    </w:p>
    <w:p w14:paraId="0A68A1DA" w14:textId="6588B2D7" w:rsidR="00E70042" w:rsidRPr="000876AA" w:rsidRDefault="00E70042" w:rsidP="00505796">
      <w:pPr>
        <w:jc w:val="both"/>
        <w:rPr>
          <w:rFonts w:ascii="Arial" w:hAnsi="Arial" w:cs="Arial"/>
          <w:sz w:val="18"/>
          <w:szCs w:val="18"/>
        </w:rPr>
      </w:pPr>
      <w:r w:rsidRPr="000876AA">
        <w:rPr>
          <w:rFonts w:ascii="Arial" w:hAnsi="Arial" w:cs="Arial"/>
          <w:sz w:val="18"/>
          <w:szCs w:val="18"/>
        </w:rPr>
        <w:t xml:space="preserve">El valor pagado fue de $197.418 millones equivalente al 34% del presupuesto, lo que implicó la constitución de cuentas por pagar por la suma de $6.386 millones debido a que hubo obligaciones registradas en los últimos días de diciembre pendiente de pago teniendo en cuenta el cierre bancario y de tesorería fijado por el Ministerio de Hacienda y Crédito Público y las entidades financieras.  </w:t>
      </w:r>
    </w:p>
    <w:p w14:paraId="57D98A0F" w14:textId="4F923C30" w:rsidR="00E70042" w:rsidRPr="000876AA" w:rsidRDefault="00E70042" w:rsidP="00505796">
      <w:pPr>
        <w:jc w:val="both"/>
        <w:rPr>
          <w:rFonts w:ascii="Arial" w:eastAsia="Calibri" w:hAnsi="Arial" w:cs="Arial"/>
          <w:sz w:val="18"/>
          <w:szCs w:val="18"/>
        </w:rPr>
      </w:pPr>
    </w:p>
    <w:p w14:paraId="11F8DD02" w14:textId="3D8BD644" w:rsidR="009817D5" w:rsidRPr="000876AA" w:rsidRDefault="009817D5" w:rsidP="005819C5">
      <w:pPr>
        <w:pStyle w:val="Prrafodelista"/>
        <w:widowControl w:val="0"/>
        <w:numPr>
          <w:ilvl w:val="1"/>
          <w:numId w:val="32"/>
        </w:numPr>
        <w:spacing w:after="0" w:line="240" w:lineRule="auto"/>
        <w:jc w:val="both"/>
        <w:rPr>
          <w:rFonts w:ascii="Arial" w:hAnsi="Arial" w:cs="Arial"/>
          <w:sz w:val="18"/>
          <w:szCs w:val="18"/>
        </w:rPr>
      </w:pPr>
      <w:r w:rsidRPr="000876AA">
        <w:rPr>
          <w:rFonts w:ascii="Arial" w:hAnsi="Arial" w:cs="Arial"/>
          <w:sz w:val="18"/>
          <w:szCs w:val="18"/>
        </w:rPr>
        <w:t>INFORMES Y REQUERIMIENTOS PARTES INTERESADAS</w:t>
      </w:r>
    </w:p>
    <w:p w14:paraId="381BD601" w14:textId="77777777" w:rsidR="00E70042" w:rsidRPr="000876AA" w:rsidRDefault="00E70042" w:rsidP="009817D5">
      <w:pPr>
        <w:jc w:val="both"/>
        <w:rPr>
          <w:rFonts w:ascii="Arial" w:eastAsia="Calibri" w:hAnsi="Arial" w:cs="Arial"/>
          <w:sz w:val="22"/>
          <w:szCs w:val="22"/>
        </w:rPr>
      </w:pPr>
    </w:p>
    <w:p w14:paraId="6BE5BC79" w14:textId="77777777" w:rsidR="00E70042" w:rsidRPr="000876AA" w:rsidRDefault="00E70042" w:rsidP="009817D5">
      <w:pPr>
        <w:pStyle w:val="Prrafodelista"/>
        <w:numPr>
          <w:ilvl w:val="0"/>
          <w:numId w:val="20"/>
        </w:numPr>
        <w:autoSpaceDE w:val="0"/>
        <w:autoSpaceDN w:val="0"/>
        <w:adjustRightInd w:val="0"/>
        <w:spacing w:after="0" w:line="240" w:lineRule="auto"/>
        <w:contextualSpacing w:val="0"/>
        <w:jc w:val="both"/>
        <w:rPr>
          <w:rFonts w:ascii="Arial" w:hAnsi="Arial" w:cs="Arial"/>
          <w:bCs/>
          <w:sz w:val="18"/>
          <w:szCs w:val="18"/>
        </w:rPr>
      </w:pPr>
      <w:r w:rsidRPr="000876AA">
        <w:rPr>
          <w:rFonts w:ascii="Arial" w:hAnsi="Arial" w:cs="Arial"/>
          <w:bCs/>
          <w:sz w:val="18"/>
          <w:szCs w:val="18"/>
        </w:rPr>
        <w:t>Gestión de enlace y atención de tres auditorías, requerimientos y presentación de informes a la Contraloría General de la República cuyo detalle se presenta en la siguiente tabla:</w:t>
      </w:r>
    </w:p>
    <w:p w14:paraId="3E278219" w14:textId="0BF39F81" w:rsidR="00505F7D" w:rsidRPr="000876AA" w:rsidRDefault="00505F7D" w:rsidP="009817D5">
      <w:pPr>
        <w:rPr>
          <w:rFonts w:ascii="Arial" w:hAnsi="Arial" w:cs="Arial"/>
          <w:sz w:val="22"/>
          <w:szCs w:val="22"/>
        </w:rPr>
      </w:pPr>
    </w:p>
    <w:p w14:paraId="1846C6E2" w14:textId="2DD0540E" w:rsidR="00505F7D" w:rsidRPr="000876AA" w:rsidRDefault="00505F7D" w:rsidP="009817D5">
      <w:pPr>
        <w:pStyle w:val="Descripcin"/>
        <w:jc w:val="center"/>
        <w:rPr>
          <w:rFonts w:ascii="Arial" w:hAnsi="Arial" w:cs="Arial"/>
          <w:i/>
          <w:iCs/>
          <w:sz w:val="18"/>
          <w:szCs w:val="18"/>
        </w:rPr>
      </w:pPr>
      <w:bookmarkStart w:id="10" w:name="_Toc127962582"/>
      <w:r w:rsidRPr="000876AA">
        <w:rPr>
          <w:rFonts w:ascii="Arial" w:hAnsi="Arial" w:cs="Arial"/>
          <w:sz w:val="18"/>
          <w:szCs w:val="18"/>
        </w:rPr>
        <w:t xml:space="preserve">Gráfico </w:t>
      </w:r>
      <w:r w:rsidR="005C7116" w:rsidRPr="000876AA">
        <w:rPr>
          <w:rFonts w:ascii="Arial" w:hAnsi="Arial" w:cs="Arial"/>
          <w:b w:val="0"/>
          <w:bCs w:val="0"/>
          <w:i/>
          <w:iCs/>
          <w:sz w:val="18"/>
          <w:szCs w:val="18"/>
        </w:rPr>
        <w:t>1</w:t>
      </w:r>
      <w:r w:rsidRPr="000876AA">
        <w:rPr>
          <w:rFonts w:ascii="Arial" w:hAnsi="Arial" w:cs="Arial"/>
          <w:sz w:val="18"/>
          <w:szCs w:val="18"/>
        </w:rPr>
        <w:t>. Presentación de informes a la Contraloría General de la República</w:t>
      </w:r>
      <w:bookmarkEnd w:id="10"/>
    </w:p>
    <w:p w14:paraId="6E487AC8" w14:textId="77777777" w:rsidR="00505F7D" w:rsidRPr="000876AA" w:rsidRDefault="00505F7D" w:rsidP="009817D5">
      <w:pPr>
        <w:pStyle w:val="Descripcin"/>
        <w:jc w:val="center"/>
        <w:rPr>
          <w:rFonts w:ascii="Arial" w:hAnsi="Arial" w:cs="Arial"/>
          <w:sz w:val="18"/>
          <w:szCs w:val="18"/>
        </w:rPr>
      </w:pPr>
      <w:r w:rsidRPr="000876AA">
        <w:rPr>
          <w:rFonts w:ascii="Arial" w:hAnsi="Arial" w:cs="Arial"/>
          <w:noProof/>
          <w:sz w:val="18"/>
          <w:szCs w:val="18"/>
          <w:lang w:val="es-ES"/>
        </w:rPr>
        <w:drawing>
          <wp:inline distT="0" distB="0" distL="0" distR="0" wp14:anchorId="5B8D2943" wp14:editId="5174E8B9">
            <wp:extent cx="4657061" cy="2424223"/>
            <wp:effectExtent l="0" t="0" r="10795" b="14605"/>
            <wp:docPr id="55" name="Gráfico 55">
              <a:extLst xmlns:a="http://schemas.openxmlformats.org/drawingml/2006/main">
                <a:ext uri="{FF2B5EF4-FFF2-40B4-BE49-F238E27FC236}">
                  <a16:creationId xmlns:a16="http://schemas.microsoft.com/office/drawing/2014/main" id="{EF4FA4BF-AFDB-425C-89DC-835EF29A58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D9B2AB6" w14:textId="7D757241" w:rsidR="00505F7D" w:rsidRPr="000876AA" w:rsidRDefault="00505F7D" w:rsidP="009817D5">
      <w:pPr>
        <w:pStyle w:val="Descripcin"/>
        <w:ind w:firstLine="360"/>
        <w:jc w:val="both"/>
        <w:rPr>
          <w:rFonts w:ascii="Arial" w:hAnsi="Arial" w:cs="Arial"/>
          <w:b w:val="0"/>
          <w:i/>
          <w:iCs/>
          <w:sz w:val="16"/>
          <w:szCs w:val="18"/>
        </w:rPr>
      </w:pPr>
      <w:r w:rsidRPr="000876AA">
        <w:rPr>
          <w:rFonts w:ascii="Arial" w:hAnsi="Arial" w:cs="Arial"/>
          <w:sz w:val="18"/>
          <w:szCs w:val="18"/>
        </w:rPr>
        <w:t xml:space="preserve"> </w:t>
      </w:r>
      <w:r w:rsidRPr="000876AA">
        <w:rPr>
          <w:rFonts w:ascii="Arial" w:hAnsi="Arial" w:cs="Arial"/>
          <w:sz w:val="18"/>
          <w:szCs w:val="18"/>
        </w:rPr>
        <w:tab/>
      </w:r>
      <w:r w:rsidRPr="000876AA">
        <w:rPr>
          <w:rFonts w:ascii="Arial" w:hAnsi="Arial" w:cs="Arial"/>
          <w:sz w:val="18"/>
          <w:szCs w:val="18"/>
        </w:rPr>
        <w:tab/>
      </w:r>
      <w:r w:rsidRPr="000876AA">
        <w:rPr>
          <w:rFonts w:ascii="Arial" w:hAnsi="Arial" w:cs="Arial"/>
          <w:b w:val="0"/>
          <w:sz w:val="16"/>
          <w:szCs w:val="18"/>
        </w:rPr>
        <w:t>Fuente: Unidad de Planeación</w:t>
      </w:r>
    </w:p>
    <w:p w14:paraId="74C28339" w14:textId="77777777" w:rsidR="00505F7D" w:rsidRPr="000876AA" w:rsidRDefault="00505F7D" w:rsidP="009817D5">
      <w:pPr>
        <w:rPr>
          <w:rFonts w:ascii="Arial" w:hAnsi="Arial" w:cs="Arial"/>
          <w:sz w:val="18"/>
          <w:szCs w:val="18"/>
        </w:rPr>
      </w:pPr>
    </w:p>
    <w:p w14:paraId="25B2DEA4" w14:textId="77777777" w:rsidR="00505F7D" w:rsidRPr="000876AA" w:rsidRDefault="00505F7D" w:rsidP="009817D5">
      <w:pPr>
        <w:pStyle w:val="Prrafodelista"/>
        <w:numPr>
          <w:ilvl w:val="0"/>
          <w:numId w:val="20"/>
        </w:numPr>
        <w:autoSpaceDE w:val="0"/>
        <w:autoSpaceDN w:val="0"/>
        <w:adjustRightInd w:val="0"/>
        <w:spacing w:after="0" w:line="240" w:lineRule="auto"/>
        <w:contextualSpacing w:val="0"/>
        <w:jc w:val="both"/>
        <w:rPr>
          <w:rFonts w:ascii="Arial" w:hAnsi="Arial" w:cs="Arial"/>
          <w:b/>
          <w:bCs/>
          <w:sz w:val="18"/>
          <w:szCs w:val="18"/>
        </w:rPr>
      </w:pPr>
      <w:r w:rsidRPr="000876AA">
        <w:rPr>
          <w:rFonts w:ascii="Arial" w:hAnsi="Arial" w:cs="Arial"/>
          <w:bCs/>
          <w:sz w:val="18"/>
          <w:szCs w:val="18"/>
        </w:rPr>
        <w:t>Elaboración y presentación de informes en temas relacionados con la gestión administrativa y financiera de la Dirección Ejecutiva de Administración Judicial así:</w:t>
      </w:r>
    </w:p>
    <w:p w14:paraId="5A13F12C" w14:textId="77777777" w:rsidR="00505F7D" w:rsidRPr="000876AA" w:rsidRDefault="00505F7D" w:rsidP="009817D5">
      <w:pPr>
        <w:rPr>
          <w:rFonts w:ascii="Arial" w:hAnsi="Arial" w:cs="Arial"/>
          <w:sz w:val="18"/>
          <w:szCs w:val="18"/>
        </w:rPr>
      </w:pPr>
    </w:p>
    <w:p w14:paraId="1A0FC2DB" w14:textId="15466BA4" w:rsidR="00505F7D" w:rsidRPr="000876AA" w:rsidRDefault="00505F7D" w:rsidP="009817D5">
      <w:pPr>
        <w:pStyle w:val="Descripcin"/>
        <w:jc w:val="center"/>
        <w:rPr>
          <w:rFonts w:ascii="Arial" w:hAnsi="Arial" w:cs="Arial"/>
          <w:i/>
          <w:iCs/>
          <w:sz w:val="18"/>
          <w:szCs w:val="18"/>
        </w:rPr>
      </w:pPr>
      <w:bookmarkStart w:id="11" w:name="_Toc127962583"/>
      <w:r w:rsidRPr="000876AA">
        <w:rPr>
          <w:rFonts w:ascii="Arial" w:hAnsi="Arial" w:cs="Arial"/>
          <w:sz w:val="18"/>
          <w:szCs w:val="18"/>
        </w:rPr>
        <w:t>Gráfico</w:t>
      </w:r>
      <w:r w:rsidR="00E70042" w:rsidRPr="000876AA">
        <w:rPr>
          <w:rFonts w:ascii="Arial" w:hAnsi="Arial" w:cs="Arial"/>
          <w:sz w:val="18"/>
          <w:szCs w:val="18"/>
        </w:rPr>
        <w:t xml:space="preserve"> </w:t>
      </w:r>
      <w:r w:rsidR="005C7116" w:rsidRPr="000876AA">
        <w:rPr>
          <w:rFonts w:ascii="Arial" w:hAnsi="Arial" w:cs="Arial"/>
          <w:b w:val="0"/>
          <w:bCs w:val="0"/>
          <w:i/>
          <w:iCs/>
          <w:sz w:val="18"/>
          <w:szCs w:val="18"/>
        </w:rPr>
        <w:t>2</w:t>
      </w:r>
      <w:r w:rsidRPr="000876AA">
        <w:rPr>
          <w:rFonts w:ascii="Arial" w:hAnsi="Arial" w:cs="Arial"/>
          <w:sz w:val="18"/>
          <w:szCs w:val="18"/>
        </w:rPr>
        <w:t>. Informes administrativos y financieros</w:t>
      </w:r>
      <w:bookmarkEnd w:id="11"/>
    </w:p>
    <w:p w14:paraId="69B30806" w14:textId="77777777" w:rsidR="00505F7D" w:rsidRPr="000876AA" w:rsidRDefault="00505F7D" w:rsidP="009817D5">
      <w:pPr>
        <w:jc w:val="center"/>
        <w:rPr>
          <w:rFonts w:ascii="Arial" w:hAnsi="Arial" w:cs="Arial"/>
          <w:sz w:val="18"/>
          <w:szCs w:val="18"/>
        </w:rPr>
      </w:pPr>
      <w:r w:rsidRPr="000876AA">
        <w:rPr>
          <w:rFonts w:ascii="Arial" w:hAnsi="Arial" w:cs="Arial"/>
          <w:noProof/>
          <w:sz w:val="18"/>
          <w:szCs w:val="18"/>
          <w:lang w:val="es-ES"/>
        </w:rPr>
        <w:drawing>
          <wp:inline distT="0" distB="0" distL="0" distR="0" wp14:anchorId="0D10E4F1" wp14:editId="5C2B9BF5">
            <wp:extent cx="4572000" cy="2981325"/>
            <wp:effectExtent l="0" t="0" r="0" b="9525"/>
            <wp:docPr id="56" name="Gráfico 56">
              <a:extLst xmlns:a="http://schemas.openxmlformats.org/drawingml/2006/main">
                <a:ext uri="{FF2B5EF4-FFF2-40B4-BE49-F238E27FC236}">
                  <a16:creationId xmlns:a16="http://schemas.microsoft.com/office/drawing/2014/main" id="{1953E740-67D6-4D36-B016-6C1CA97C3F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BF80451" w14:textId="77777777" w:rsidR="00E70042" w:rsidRPr="000876AA" w:rsidRDefault="00E70042" w:rsidP="009817D5">
      <w:pPr>
        <w:pStyle w:val="Descripcin"/>
        <w:ind w:firstLine="360"/>
        <w:jc w:val="both"/>
        <w:rPr>
          <w:rFonts w:ascii="Arial" w:hAnsi="Arial" w:cs="Arial"/>
          <w:b w:val="0"/>
          <w:i/>
          <w:iCs/>
          <w:sz w:val="16"/>
          <w:szCs w:val="18"/>
        </w:rPr>
      </w:pPr>
      <w:r w:rsidRPr="000876AA">
        <w:rPr>
          <w:rFonts w:ascii="Arial" w:hAnsi="Arial" w:cs="Arial"/>
          <w:sz w:val="18"/>
          <w:szCs w:val="18"/>
        </w:rPr>
        <w:tab/>
      </w:r>
      <w:r w:rsidRPr="000876AA">
        <w:rPr>
          <w:rFonts w:ascii="Arial" w:hAnsi="Arial" w:cs="Arial"/>
          <w:sz w:val="18"/>
          <w:szCs w:val="18"/>
        </w:rPr>
        <w:tab/>
      </w:r>
      <w:r w:rsidRPr="000876AA">
        <w:rPr>
          <w:rFonts w:ascii="Arial" w:hAnsi="Arial" w:cs="Arial"/>
          <w:b w:val="0"/>
          <w:sz w:val="16"/>
          <w:szCs w:val="18"/>
        </w:rPr>
        <w:t>Fuente: Unidad de Planeación</w:t>
      </w:r>
    </w:p>
    <w:p w14:paraId="1F6112D2" w14:textId="77777777" w:rsidR="00505F7D" w:rsidRPr="000876AA" w:rsidRDefault="00505F7D" w:rsidP="009817D5">
      <w:pPr>
        <w:rPr>
          <w:rFonts w:ascii="Arial" w:hAnsi="Arial" w:cs="Arial"/>
          <w:sz w:val="18"/>
          <w:szCs w:val="18"/>
        </w:rPr>
      </w:pPr>
    </w:p>
    <w:p w14:paraId="3C6A091C" w14:textId="167C98FC" w:rsidR="00505F7D" w:rsidRPr="000876AA" w:rsidRDefault="00505F7D" w:rsidP="009817D5">
      <w:pPr>
        <w:pStyle w:val="Prrafodelista"/>
        <w:numPr>
          <w:ilvl w:val="0"/>
          <w:numId w:val="20"/>
        </w:numPr>
        <w:autoSpaceDE w:val="0"/>
        <w:autoSpaceDN w:val="0"/>
        <w:adjustRightInd w:val="0"/>
        <w:spacing w:after="0" w:line="240" w:lineRule="auto"/>
        <w:contextualSpacing w:val="0"/>
        <w:jc w:val="both"/>
        <w:rPr>
          <w:rFonts w:ascii="Arial" w:hAnsi="Arial" w:cs="Arial"/>
          <w:b/>
          <w:bCs/>
          <w:sz w:val="18"/>
          <w:szCs w:val="18"/>
        </w:rPr>
      </w:pPr>
      <w:r w:rsidRPr="000876AA">
        <w:rPr>
          <w:rFonts w:ascii="Arial" w:hAnsi="Arial" w:cs="Arial"/>
          <w:bCs/>
          <w:sz w:val="18"/>
          <w:szCs w:val="18"/>
        </w:rPr>
        <w:t xml:space="preserve">Atención de los requerimientos de la Contraloría General de la República, con base en un inventario actualizado de todos los requerimientos con el fin de realizar seguimiento al cumplimiento de los mismos, como se observa en la siguiente gráfica: </w:t>
      </w:r>
    </w:p>
    <w:p w14:paraId="4AEC52A9" w14:textId="77777777" w:rsidR="00505F7D" w:rsidRPr="000876AA" w:rsidRDefault="00505F7D" w:rsidP="009817D5">
      <w:pPr>
        <w:rPr>
          <w:rFonts w:ascii="Arial" w:hAnsi="Arial" w:cs="Arial"/>
          <w:sz w:val="18"/>
          <w:szCs w:val="18"/>
          <w:lang w:val="es-ES"/>
        </w:rPr>
      </w:pPr>
    </w:p>
    <w:p w14:paraId="672BEEEA" w14:textId="08B15EA3" w:rsidR="00505F7D" w:rsidRPr="000876AA" w:rsidRDefault="00505F7D" w:rsidP="009817D5">
      <w:pPr>
        <w:pStyle w:val="Descripcin"/>
        <w:jc w:val="center"/>
        <w:rPr>
          <w:rFonts w:ascii="Arial" w:hAnsi="Arial" w:cs="Arial"/>
          <w:i/>
          <w:iCs/>
          <w:sz w:val="18"/>
          <w:szCs w:val="18"/>
        </w:rPr>
      </w:pPr>
      <w:bookmarkStart w:id="12" w:name="_Toc127962584"/>
      <w:r w:rsidRPr="000876AA">
        <w:rPr>
          <w:rFonts w:ascii="Arial" w:hAnsi="Arial" w:cs="Arial"/>
          <w:sz w:val="18"/>
          <w:szCs w:val="18"/>
        </w:rPr>
        <w:t>Gráfico</w:t>
      </w:r>
      <w:r w:rsidR="009817D5" w:rsidRPr="000876AA">
        <w:rPr>
          <w:rFonts w:ascii="Arial" w:hAnsi="Arial" w:cs="Arial"/>
          <w:sz w:val="18"/>
          <w:szCs w:val="18"/>
        </w:rPr>
        <w:t xml:space="preserve"> </w:t>
      </w:r>
      <w:r w:rsidR="005C7116" w:rsidRPr="000876AA">
        <w:rPr>
          <w:rFonts w:ascii="Arial" w:hAnsi="Arial" w:cs="Arial"/>
          <w:b w:val="0"/>
          <w:bCs w:val="0"/>
          <w:i/>
          <w:iCs/>
          <w:sz w:val="18"/>
          <w:szCs w:val="18"/>
        </w:rPr>
        <w:t>3</w:t>
      </w:r>
      <w:r w:rsidRPr="000876AA">
        <w:rPr>
          <w:rFonts w:ascii="Arial" w:hAnsi="Arial" w:cs="Arial"/>
          <w:sz w:val="18"/>
          <w:szCs w:val="18"/>
        </w:rPr>
        <w:t>. Requerimientos atendidos a organismos de control</w:t>
      </w:r>
      <w:bookmarkEnd w:id="12"/>
    </w:p>
    <w:p w14:paraId="1B7978D4" w14:textId="77777777" w:rsidR="00505F7D" w:rsidRPr="000876AA" w:rsidRDefault="00505F7D" w:rsidP="009817D5">
      <w:pPr>
        <w:pStyle w:val="Prrafodelista"/>
        <w:adjustRightInd w:val="0"/>
        <w:spacing w:after="0" w:line="240" w:lineRule="auto"/>
        <w:rPr>
          <w:rFonts w:ascii="Arial" w:hAnsi="Arial" w:cs="Arial"/>
          <w:sz w:val="18"/>
          <w:szCs w:val="18"/>
        </w:rPr>
      </w:pPr>
      <w:r w:rsidRPr="000876AA">
        <w:rPr>
          <w:rFonts w:ascii="Arial" w:hAnsi="Arial" w:cs="Arial"/>
          <w:noProof/>
          <w:sz w:val="18"/>
          <w:szCs w:val="18"/>
          <w:lang w:val="es-ES" w:eastAsia="es-ES"/>
        </w:rPr>
        <w:lastRenderedPageBreak/>
        <w:drawing>
          <wp:inline distT="0" distB="0" distL="0" distR="0" wp14:anchorId="100AFEDE" wp14:editId="10E03D9A">
            <wp:extent cx="5314950" cy="2076205"/>
            <wp:effectExtent l="19050" t="19050" r="19050" b="1968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6106" t="38638" r="28331" b="32885"/>
                    <a:stretch/>
                  </pic:blipFill>
                  <pic:spPr bwMode="auto">
                    <a:xfrm>
                      <a:off x="0" y="0"/>
                      <a:ext cx="5328426" cy="2081469"/>
                    </a:xfrm>
                    <a:prstGeom prst="rect">
                      <a:avLst/>
                    </a:prstGeom>
                    <a:ln>
                      <a:solidFill>
                        <a:schemeClr val="bg1">
                          <a:lumMod val="50000"/>
                        </a:schemeClr>
                      </a:solidFill>
                    </a:ln>
                    <a:extLst>
                      <a:ext uri="{53640926-AAD7-44D8-BBD7-CCE9431645EC}">
                        <a14:shadowObscured xmlns:a14="http://schemas.microsoft.com/office/drawing/2010/main"/>
                      </a:ext>
                    </a:extLst>
                  </pic:spPr>
                </pic:pic>
              </a:graphicData>
            </a:graphic>
          </wp:inline>
        </w:drawing>
      </w:r>
    </w:p>
    <w:p w14:paraId="253AB53A" w14:textId="77777777" w:rsidR="00E70042" w:rsidRPr="000876AA" w:rsidRDefault="00E70042" w:rsidP="009817D5">
      <w:pPr>
        <w:pStyle w:val="Descripcin"/>
        <w:ind w:firstLine="360"/>
        <w:jc w:val="both"/>
        <w:rPr>
          <w:rFonts w:ascii="Arial" w:hAnsi="Arial" w:cs="Arial"/>
          <w:b w:val="0"/>
          <w:i/>
          <w:iCs/>
          <w:sz w:val="16"/>
          <w:szCs w:val="18"/>
        </w:rPr>
      </w:pPr>
      <w:r w:rsidRPr="000876AA">
        <w:rPr>
          <w:rFonts w:ascii="Arial" w:hAnsi="Arial" w:cs="Arial"/>
          <w:sz w:val="18"/>
          <w:szCs w:val="18"/>
        </w:rPr>
        <w:tab/>
      </w:r>
      <w:r w:rsidRPr="000876AA">
        <w:rPr>
          <w:rFonts w:ascii="Arial" w:hAnsi="Arial" w:cs="Arial"/>
          <w:sz w:val="18"/>
          <w:szCs w:val="18"/>
        </w:rPr>
        <w:tab/>
      </w:r>
      <w:r w:rsidRPr="000876AA">
        <w:rPr>
          <w:rFonts w:ascii="Arial" w:hAnsi="Arial" w:cs="Arial"/>
          <w:b w:val="0"/>
          <w:sz w:val="16"/>
          <w:szCs w:val="18"/>
        </w:rPr>
        <w:t>Fuente: Unidad de Planeación</w:t>
      </w:r>
    </w:p>
    <w:p w14:paraId="5D75D184" w14:textId="1F6E0E76" w:rsidR="00505F7D" w:rsidRDefault="00505F7D" w:rsidP="00FD1503">
      <w:pPr>
        <w:rPr>
          <w:rFonts w:ascii="Arial" w:hAnsi="Arial" w:cs="Arial"/>
          <w:sz w:val="22"/>
          <w:szCs w:val="22"/>
        </w:rPr>
      </w:pPr>
    </w:p>
    <w:p w14:paraId="5C2D9603" w14:textId="77777777" w:rsidR="00845C23" w:rsidRPr="000876AA" w:rsidRDefault="00845C23" w:rsidP="00FD1503">
      <w:pPr>
        <w:rPr>
          <w:rFonts w:ascii="Arial" w:hAnsi="Arial" w:cs="Arial"/>
          <w:sz w:val="22"/>
          <w:szCs w:val="22"/>
        </w:rPr>
      </w:pPr>
    </w:p>
    <w:p w14:paraId="39D32D62" w14:textId="110FBBB5" w:rsidR="000E4C9E" w:rsidRPr="000876AA" w:rsidRDefault="000E4C9E" w:rsidP="00AD15F9">
      <w:pPr>
        <w:numPr>
          <w:ilvl w:val="0"/>
          <w:numId w:val="31"/>
        </w:numPr>
        <w:jc w:val="both"/>
        <w:rPr>
          <w:rFonts w:ascii="Arial" w:hAnsi="Arial" w:cs="Arial"/>
          <w:b/>
          <w:sz w:val="22"/>
          <w:szCs w:val="22"/>
        </w:rPr>
      </w:pPr>
      <w:r w:rsidRPr="000876AA">
        <w:rPr>
          <w:rFonts w:ascii="Arial" w:hAnsi="Arial" w:cs="Arial"/>
          <w:b/>
          <w:sz w:val="22"/>
          <w:szCs w:val="22"/>
        </w:rPr>
        <w:t>RESULTADOS DE AUDITOR</w:t>
      </w:r>
      <w:r w:rsidR="005932AD" w:rsidRPr="000876AA">
        <w:rPr>
          <w:rFonts w:ascii="Arial" w:hAnsi="Arial" w:cs="Arial"/>
          <w:b/>
          <w:sz w:val="22"/>
          <w:szCs w:val="22"/>
        </w:rPr>
        <w:t>Í</w:t>
      </w:r>
      <w:r w:rsidRPr="000876AA">
        <w:rPr>
          <w:rFonts w:ascii="Arial" w:hAnsi="Arial" w:cs="Arial"/>
          <w:b/>
          <w:sz w:val="22"/>
          <w:szCs w:val="22"/>
        </w:rPr>
        <w:t>A:</w:t>
      </w:r>
      <w:r w:rsidR="00041BE2" w:rsidRPr="000876AA">
        <w:rPr>
          <w:rFonts w:ascii="Arial" w:hAnsi="Arial" w:cs="Arial"/>
          <w:b/>
          <w:sz w:val="22"/>
          <w:szCs w:val="22"/>
        </w:rPr>
        <w:t xml:space="preserve"> INTERNA/ EXTERNA</w:t>
      </w:r>
    </w:p>
    <w:p w14:paraId="7580D926" w14:textId="77777777" w:rsidR="000E4C9E" w:rsidRPr="000876AA" w:rsidRDefault="000E4C9E" w:rsidP="009236EA">
      <w:pPr>
        <w:tabs>
          <w:tab w:val="center" w:pos="4536"/>
        </w:tabs>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216"/>
        <w:gridCol w:w="1674"/>
        <w:gridCol w:w="1218"/>
        <w:gridCol w:w="2102"/>
        <w:gridCol w:w="2754"/>
      </w:tblGrid>
      <w:tr w:rsidR="00384660" w:rsidRPr="000876AA" w14:paraId="54058A98" w14:textId="77777777" w:rsidTr="007B6EB5">
        <w:trPr>
          <w:trHeight w:val="20"/>
          <w:tblHeader/>
          <w:jc w:val="center"/>
        </w:trPr>
        <w:tc>
          <w:tcPr>
            <w:tcW w:w="1112" w:type="pct"/>
            <w:tcBorders>
              <w:top w:val="single" w:sz="4" w:space="0" w:color="000000"/>
              <w:left w:val="single" w:sz="4" w:space="0" w:color="000000"/>
              <w:right w:val="single" w:sz="4" w:space="0" w:color="000000"/>
            </w:tcBorders>
            <w:shd w:val="clear" w:color="auto" w:fill="B4C6E7" w:themeFill="accent1" w:themeFillTint="66"/>
            <w:vAlign w:val="center"/>
          </w:tcPr>
          <w:p w14:paraId="6B176AC2" w14:textId="77777777" w:rsidR="00384660" w:rsidRPr="000876AA" w:rsidRDefault="00384660" w:rsidP="009236EA">
            <w:pPr>
              <w:tabs>
                <w:tab w:val="center" w:pos="4536"/>
              </w:tabs>
              <w:jc w:val="center"/>
              <w:rPr>
                <w:rFonts w:ascii="Arial" w:eastAsia="Calibri" w:hAnsi="Arial" w:cs="Arial"/>
                <w:b/>
                <w:sz w:val="18"/>
                <w:szCs w:val="18"/>
              </w:rPr>
            </w:pPr>
            <w:r w:rsidRPr="000876AA">
              <w:rPr>
                <w:rFonts w:ascii="Arial" w:eastAsia="Calibri" w:hAnsi="Arial" w:cs="Arial"/>
                <w:b/>
                <w:sz w:val="18"/>
                <w:szCs w:val="18"/>
              </w:rPr>
              <w:t xml:space="preserve">PROCESO </w:t>
            </w:r>
          </w:p>
        </w:tc>
        <w:tc>
          <w:tcPr>
            <w:tcW w:w="840" w:type="pct"/>
            <w:tcBorders>
              <w:top w:val="single" w:sz="4" w:space="0" w:color="000000"/>
              <w:left w:val="single" w:sz="4" w:space="0" w:color="000000"/>
              <w:right w:val="single" w:sz="4" w:space="0" w:color="000000"/>
            </w:tcBorders>
            <w:shd w:val="clear" w:color="auto" w:fill="B4C6E7" w:themeFill="accent1" w:themeFillTint="66"/>
            <w:vAlign w:val="center"/>
          </w:tcPr>
          <w:p w14:paraId="7C677A4D" w14:textId="77777777" w:rsidR="00384660" w:rsidRPr="000876AA" w:rsidRDefault="00384660" w:rsidP="009236EA">
            <w:pPr>
              <w:tabs>
                <w:tab w:val="center" w:pos="4536"/>
              </w:tabs>
              <w:jc w:val="center"/>
              <w:rPr>
                <w:rFonts w:ascii="Arial" w:eastAsia="Calibri" w:hAnsi="Arial" w:cs="Arial"/>
                <w:b/>
                <w:sz w:val="18"/>
                <w:szCs w:val="18"/>
              </w:rPr>
            </w:pPr>
            <w:r w:rsidRPr="000876AA">
              <w:rPr>
                <w:rFonts w:ascii="Arial" w:eastAsia="Calibri" w:hAnsi="Arial" w:cs="Arial"/>
                <w:b/>
                <w:sz w:val="18"/>
                <w:szCs w:val="18"/>
              </w:rPr>
              <w:t>AUDITOR</w:t>
            </w:r>
            <w:r w:rsidR="009236EA" w:rsidRPr="000876AA">
              <w:rPr>
                <w:rFonts w:ascii="Arial" w:eastAsia="Calibri" w:hAnsi="Arial" w:cs="Arial"/>
                <w:b/>
                <w:sz w:val="18"/>
                <w:szCs w:val="18"/>
              </w:rPr>
              <w:t>Í</w:t>
            </w:r>
            <w:r w:rsidRPr="000876AA">
              <w:rPr>
                <w:rFonts w:ascii="Arial" w:eastAsia="Calibri" w:hAnsi="Arial" w:cs="Arial"/>
                <w:b/>
                <w:sz w:val="18"/>
                <w:szCs w:val="18"/>
              </w:rPr>
              <w:t xml:space="preserve">A REALIZADA POR </w:t>
            </w:r>
          </w:p>
        </w:tc>
        <w:tc>
          <w:tcPr>
            <w:tcW w:w="611" w:type="pct"/>
            <w:tcBorders>
              <w:top w:val="single" w:sz="4" w:space="0" w:color="000000"/>
              <w:left w:val="single" w:sz="4" w:space="0" w:color="000000"/>
              <w:right w:val="single" w:sz="4" w:space="0" w:color="000000"/>
            </w:tcBorders>
            <w:shd w:val="clear" w:color="auto" w:fill="B4C6E7" w:themeFill="accent1" w:themeFillTint="66"/>
            <w:vAlign w:val="center"/>
          </w:tcPr>
          <w:p w14:paraId="28CBD67B" w14:textId="77777777" w:rsidR="00384660" w:rsidRPr="000876AA" w:rsidRDefault="00384660" w:rsidP="009236EA">
            <w:pPr>
              <w:tabs>
                <w:tab w:val="center" w:pos="4536"/>
              </w:tabs>
              <w:jc w:val="center"/>
              <w:rPr>
                <w:rFonts w:ascii="Arial" w:eastAsia="Calibri" w:hAnsi="Arial" w:cs="Arial"/>
                <w:b/>
                <w:sz w:val="18"/>
                <w:szCs w:val="18"/>
              </w:rPr>
            </w:pPr>
            <w:r w:rsidRPr="000876AA">
              <w:rPr>
                <w:rFonts w:ascii="Arial" w:eastAsia="Calibri" w:hAnsi="Arial" w:cs="Arial"/>
                <w:b/>
                <w:sz w:val="18"/>
                <w:szCs w:val="18"/>
              </w:rPr>
              <w:t xml:space="preserve">FECHA </w:t>
            </w:r>
          </w:p>
          <w:p w14:paraId="2EF005ED" w14:textId="77777777" w:rsidR="00384660" w:rsidRPr="000876AA" w:rsidRDefault="00384660" w:rsidP="009236EA">
            <w:pPr>
              <w:tabs>
                <w:tab w:val="center" w:pos="4536"/>
              </w:tabs>
              <w:jc w:val="center"/>
              <w:rPr>
                <w:rFonts w:ascii="Arial" w:eastAsia="Calibri" w:hAnsi="Arial" w:cs="Arial"/>
                <w:b/>
                <w:sz w:val="18"/>
                <w:szCs w:val="18"/>
              </w:rPr>
            </w:pPr>
            <w:r w:rsidRPr="000876AA">
              <w:rPr>
                <w:rFonts w:ascii="Arial" w:eastAsia="Calibri" w:hAnsi="Arial" w:cs="Arial"/>
                <w:b/>
                <w:color w:val="808080"/>
                <w:sz w:val="18"/>
                <w:szCs w:val="18"/>
                <w:shd w:val="clear" w:color="auto" w:fill="BFBFBF"/>
              </w:rPr>
              <w:t>D/M/A</w:t>
            </w:r>
          </w:p>
        </w:tc>
        <w:tc>
          <w:tcPr>
            <w:tcW w:w="1055" w:type="pct"/>
            <w:tcBorders>
              <w:top w:val="single" w:sz="4" w:space="0" w:color="000000"/>
              <w:left w:val="single" w:sz="4" w:space="0" w:color="000000"/>
              <w:right w:val="single" w:sz="4" w:space="0" w:color="000000"/>
            </w:tcBorders>
            <w:shd w:val="clear" w:color="auto" w:fill="B4C6E7" w:themeFill="accent1" w:themeFillTint="66"/>
            <w:vAlign w:val="center"/>
          </w:tcPr>
          <w:p w14:paraId="49201563" w14:textId="77777777" w:rsidR="00384660" w:rsidRPr="000876AA" w:rsidRDefault="00C31598" w:rsidP="009236EA">
            <w:pPr>
              <w:tabs>
                <w:tab w:val="center" w:pos="4536"/>
              </w:tabs>
              <w:jc w:val="center"/>
              <w:rPr>
                <w:rFonts w:ascii="Arial" w:eastAsia="Calibri" w:hAnsi="Arial" w:cs="Arial"/>
                <w:b/>
                <w:sz w:val="18"/>
                <w:szCs w:val="18"/>
              </w:rPr>
            </w:pPr>
            <w:r w:rsidRPr="000876AA">
              <w:rPr>
                <w:rFonts w:ascii="Arial" w:eastAsia="Calibri" w:hAnsi="Arial" w:cs="Arial"/>
                <w:b/>
                <w:sz w:val="18"/>
                <w:szCs w:val="18"/>
              </w:rPr>
              <w:t>N</w:t>
            </w:r>
            <w:r w:rsidR="009236EA" w:rsidRPr="000876AA">
              <w:rPr>
                <w:rFonts w:ascii="Arial" w:eastAsia="Calibri" w:hAnsi="Arial" w:cs="Arial"/>
                <w:b/>
                <w:sz w:val="18"/>
                <w:szCs w:val="18"/>
              </w:rPr>
              <w:t>Ú</w:t>
            </w:r>
            <w:r w:rsidRPr="000876AA">
              <w:rPr>
                <w:rFonts w:ascii="Arial" w:eastAsia="Calibri" w:hAnsi="Arial" w:cs="Arial"/>
                <w:b/>
                <w:sz w:val="18"/>
                <w:szCs w:val="18"/>
              </w:rPr>
              <w:t>MERO DE NO CONFORMIDADES</w:t>
            </w:r>
          </w:p>
        </w:tc>
        <w:tc>
          <w:tcPr>
            <w:tcW w:w="1382" w:type="pct"/>
            <w:tcBorders>
              <w:top w:val="single" w:sz="4" w:space="0" w:color="000000"/>
              <w:left w:val="single" w:sz="4" w:space="0" w:color="000000"/>
              <w:right w:val="single" w:sz="4" w:space="0" w:color="000000"/>
            </w:tcBorders>
            <w:shd w:val="clear" w:color="auto" w:fill="B4C6E7" w:themeFill="accent1" w:themeFillTint="66"/>
            <w:vAlign w:val="center"/>
          </w:tcPr>
          <w:p w14:paraId="6EE14AF5" w14:textId="77777777" w:rsidR="00384660" w:rsidRPr="000876AA" w:rsidRDefault="00384660" w:rsidP="009236EA">
            <w:pPr>
              <w:tabs>
                <w:tab w:val="center" w:pos="4536"/>
              </w:tabs>
              <w:jc w:val="center"/>
              <w:rPr>
                <w:rFonts w:ascii="Arial" w:eastAsia="Calibri" w:hAnsi="Arial" w:cs="Arial"/>
                <w:b/>
                <w:sz w:val="18"/>
                <w:szCs w:val="18"/>
              </w:rPr>
            </w:pPr>
            <w:r w:rsidRPr="000876AA">
              <w:rPr>
                <w:rFonts w:ascii="Arial" w:eastAsia="Calibri" w:hAnsi="Arial" w:cs="Arial"/>
                <w:b/>
                <w:sz w:val="18"/>
                <w:szCs w:val="18"/>
              </w:rPr>
              <w:t xml:space="preserve">ANÁLISIS </w:t>
            </w:r>
          </w:p>
        </w:tc>
      </w:tr>
      <w:tr w:rsidR="00384660" w:rsidRPr="000876AA" w14:paraId="072D50B6" w14:textId="77777777" w:rsidTr="00245F2A">
        <w:trPr>
          <w:trHeight w:val="20"/>
          <w:jc w:val="center"/>
        </w:trPr>
        <w:tc>
          <w:tcPr>
            <w:tcW w:w="1112" w:type="pct"/>
            <w:tcBorders>
              <w:top w:val="single" w:sz="4" w:space="0" w:color="000000"/>
              <w:left w:val="single" w:sz="4" w:space="0" w:color="000000"/>
              <w:right w:val="single" w:sz="4" w:space="0" w:color="000000"/>
            </w:tcBorders>
            <w:shd w:val="clear" w:color="auto" w:fill="FFFFFF"/>
            <w:vAlign w:val="center"/>
          </w:tcPr>
          <w:p w14:paraId="6B014799" w14:textId="77777777" w:rsidR="007224D7" w:rsidRPr="000876AA" w:rsidRDefault="007224D7" w:rsidP="009236EA">
            <w:pPr>
              <w:tabs>
                <w:tab w:val="center" w:pos="4536"/>
              </w:tabs>
              <w:jc w:val="center"/>
              <w:rPr>
                <w:rFonts w:ascii="Arial" w:eastAsia="Calibri" w:hAnsi="Arial" w:cs="Arial"/>
                <w:bCs/>
                <w:sz w:val="18"/>
                <w:szCs w:val="18"/>
              </w:rPr>
            </w:pPr>
            <w:r w:rsidRPr="000876AA">
              <w:rPr>
                <w:rFonts w:ascii="Arial" w:eastAsia="Calibri" w:hAnsi="Arial" w:cs="Arial"/>
                <w:bCs/>
                <w:sz w:val="18"/>
                <w:szCs w:val="18"/>
              </w:rPr>
              <w:t>Gestión financiera y presupuestal</w:t>
            </w:r>
          </w:p>
          <w:p w14:paraId="73A2D124" w14:textId="4CC6358D" w:rsidR="00384660" w:rsidRPr="000876AA" w:rsidRDefault="007224D7" w:rsidP="009236EA">
            <w:pPr>
              <w:tabs>
                <w:tab w:val="center" w:pos="4536"/>
              </w:tabs>
              <w:jc w:val="center"/>
              <w:rPr>
                <w:rFonts w:ascii="Arial" w:eastAsia="Calibri" w:hAnsi="Arial" w:cs="Arial"/>
                <w:bCs/>
                <w:sz w:val="18"/>
                <w:szCs w:val="18"/>
              </w:rPr>
            </w:pPr>
            <w:r w:rsidRPr="000876AA">
              <w:rPr>
                <w:rFonts w:ascii="Arial" w:eastAsia="Calibri" w:hAnsi="Arial" w:cs="Arial"/>
                <w:bCs/>
                <w:sz w:val="18"/>
                <w:szCs w:val="18"/>
              </w:rPr>
              <w:t>(NTC 6256 e ISO 9001)</w:t>
            </w:r>
          </w:p>
        </w:tc>
        <w:tc>
          <w:tcPr>
            <w:tcW w:w="840" w:type="pct"/>
            <w:tcBorders>
              <w:top w:val="single" w:sz="4" w:space="0" w:color="000000"/>
              <w:left w:val="single" w:sz="4" w:space="0" w:color="000000"/>
              <w:right w:val="single" w:sz="4" w:space="0" w:color="000000"/>
            </w:tcBorders>
            <w:shd w:val="clear" w:color="auto" w:fill="FFFFFF"/>
            <w:vAlign w:val="center"/>
          </w:tcPr>
          <w:p w14:paraId="483E4FCF" w14:textId="003E2E49" w:rsidR="00384660" w:rsidRPr="000876AA" w:rsidRDefault="00BC7736" w:rsidP="00BC7736">
            <w:pPr>
              <w:tabs>
                <w:tab w:val="center" w:pos="4536"/>
              </w:tabs>
              <w:jc w:val="center"/>
              <w:rPr>
                <w:rFonts w:ascii="Arial" w:eastAsia="Calibri" w:hAnsi="Arial" w:cs="Arial"/>
                <w:bCs/>
                <w:sz w:val="18"/>
                <w:szCs w:val="18"/>
              </w:rPr>
            </w:pPr>
            <w:r w:rsidRPr="000876AA">
              <w:rPr>
                <w:rFonts w:ascii="Arial" w:eastAsia="Calibri" w:hAnsi="Arial" w:cs="Arial"/>
                <w:bCs/>
                <w:sz w:val="18"/>
                <w:szCs w:val="18"/>
              </w:rPr>
              <w:t>INTERNA</w:t>
            </w:r>
            <w:r w:rsidR="005C7116" w:rsidRPr="000876AA">
              <w:rPr>
                <w:rFonts w:ascii="Arial" w:eastAsia="Calibri" w:hAnsi="Arial" w:cs="Arial"/>
                <w:bCs/>
                <w:sz w:val="18"/>
                <w:szCs w:val="18"/>
              </w:rPr>
              <w:t xml:space="preserve"> SIGCMA</w:t>
            </w:r>
          </w:p>
        </w:tc>
        <w:tc>
          <w:tcPr>
            <w:tcW w:w="611" w:type="pct"/>
            <w:tcBorders>
              <w:top w:val="single" w:sz="4" w:space="0" w:color="000000"/>
              <w:left w:val="single" w:sz="4" w:space="0" w:color="000000"/>
              <w:right w:val="single" w:sz="4" w:space="0" w:color="000000"/>
            </w:tcBorders>
            <w:shd w:val="clear" w:color="auto" w:fill="auto"/>
            <w:vAlign w:val="center"/>
          </w:tcPr>
          <w:p w14:paraId="19888A40" w14:textId="45671222" w:rsidR="00384660" w:rsidRPr="000876AA" w:rsidRDefault="007B6EB5" w:rsidP="009236EA">
            <w:pPr>
              <w:tabs>
                <w:tab w:val="center" w:pos="4536"/>
              </w:tabs>
              <w:jc w:val="center"/>
              <w:rPr>
                <w:rFonts w:ascii="Arial" w:eastAsia="Calibri" w:hAnsi="Arial" w:cs="Arial"/>
                <w:bCs/>
                <w:sz w:val="18"/>
                <w:szCs w:val="18"/>
              </w:rPr>
            </w:pPr>
            <w:r w:rsidRPr="000876AA">
              <w:rPr>
                <w:rFonts w:ascii="Arial" w:eastAsia="Calibri" w:hAnsi="Arial" w:cs="Arial"/>
                <w:bCs/>
                <w:sz w:val="18"/>
                <w:szCs w:val="18"/>
              </w:rPr>
              <w:t>24-06-2022</w:t>
            </w:r>
          </w:p>
        </w:tc>
        <w:tc>
          <w:tcPr>
            <w:tcW w:w="1055" w:type="pct"/>
            <w:tcBorders>
              <w:top w:val="single" w:sz="4" w:space="0" w:color="000000"/>
              <w:left w:val="single" w:sz="4" w:space="0" w:color="000000"/>
              <w:right w:val="single" w:sz="4" w:space="0" w:color="000000"/>
            </w:tcBorders>
            <w:shd w:val="clear" w:color="auto" w:fill="auto"/>
            <w:vAlign w:val="center"/>
          </w:tcPr>
          <w:p w14:paraId="262C68C2" w14:textId="493492EF" w:rsidR="00384660" w:rsidRPr="000876AA" w:rsidRDefault="00BC7736" w:rsidP="009236EA">
            <w:pPr>
              <w:tabs>
                <w:tab w:val="center" w:pos="4536"/>
              </w:tabs>
              <w:jc w:val="center"/>
              <w:rPr>
                <w:rFonts w:ascii="Arial" w:eastAsia="Calibri" w:hAnsi="Arial" w:cs="Arial"/>
                <w:bCs/>
                <w:sz w:val="18"/>
                <w:szCs w:val="18"/>
              </w:rPr>
            </w:pPr>
            <w:r w:rsidRPr="000876AA">
              <w:rPr>
                <w:rFonts w:ascii="Arial" w:eastAsia="Calibri" w:hAnsi="Arial" w:cs="Arial"/>
                <w:bCs/>
                <w:sz w:val="18"/>
                <w:szCs w:val="18"/>
              </w:rPr>
              <w:t>0</w:t>
            </w:r>
          </w:p>
        </w:tc>
        <w:tc>
          <w:tcPr>
            <w:tcW w:w="1382" w:type="pct"/>
            <w:tcBorders>
              <w:top w:val="single" w:sz="4" w:space="0" w:color="000000"/>
              <w:left w:val="single" w:sz="4" w:space="0" w:color="000000"/>
              <w:right w:val="single" w:sz="4" w:space="0" w:color="000000"/>
            </w:tcBorders>
            <w:shd w:val="clear" w:color="auto" w:fill="auto"/>
            <w:vAlign w:val="center"/>
          </w:tcPr>
          <w:p w14:paraId="10BB941A" w14:textId="2F50B369" w:rsidR="00384660" w:rsidRPr="000876AA" w:rsidRDefault="007B6EB5" w:rsidP="009236EA">
            <w:pPr>
              <w:tabs>
                <w:tab w:val="center" w:pos="4536"/>
              </w:tabs>
              <w:jc w:val="center"/>
              <w:rPr>
                <w:rFonts w:ascii="Arial" w:eastAsia="Calibri" w:hAnsi="Arial" w:cs="Arial"/>
                <w:bCs/>
                <w:sz w:val="18"/>
                <w:szCs w:val="18"/>
              </w:rPr>
            </w:pPr>
            <w:r w:rsidRPr="000876AA">
              <w:rPr>
                <w:rFonts w:ascii="Arial" w:eastAsia="Calibri" w:hAnsi="Arial" w:cs="Arial"/>
                <w:bCs/>
                <w:sz w:val="18"/>
                <w:szCs w:val="18"/>
              </w:rPr>
              <w:t>No se halló ninguna no conformidad</w:t>
            </w:r>
          </w:p>
        </w:tc>
      </w:tr>
      <w:tr w:rsidR="005C7116" w:rsidRPr="000876AA" w14:paraId="7149807F" w14:textId="77777777" w:rsidTr="002B62B9">
        <w:trPr>
          <w:trHeight w:val="20"/>
          <w:jc w:val="center"/>
        </w:trPr>
        <w:tc>
          <w:tcPr>
            <w:tcW w:w="1112" w:type="pct"/>
            <w:tcBorders>
              <w:top w:val="single" w:sz="4" w:space="0" w:color="000000"/>
              <w:left w:val="single" w:sz="4" w:space="0" w:color="000000"/>
              <w:right w:val="single" w:sz="4" w:space="0" w:color="000000"/>
            </w:tcBorders>
            <w:shd w:val="clear" w:color="auto" w:fill="FFFFFF"/>
            <w:vAlign w:val="center"/>
          </w:tcPr>
          <w:p w14:paraId="02425697" w14:textId="77777777" w:rsidR="005C7116" w:rsidRPr="000876AA" w:rsidRDefault="007224D7" w:rsidP="009236EA">
            <w:pPr>
              <w:tabs>
                <w:tab w:val="center" w:pos="4536"/>
              </w:tabs>
              <w:jc w:val="center"/>
              <w:rPr>
                <w:rFonts w:ascii="Arial" w:hAnsi="Arial" w:cs="Arial"/>
                <w:bCs/>
                <w:sz w:val="18"/>
                <w:szCs w:val="18"/>
              </w:rPr>
            </w:pPr>
            <w:r w:rsidRPr="000876AA">
              <w:rPr>
                <w:rFonts w:ascii="Arial" w:hAnsi="Arial" w:cs="Arial"/>
                <w:bCs/>
                <w:sz w:val="18"/>
                <w:szCs w:val="18"/>
              </w:rPr>
              <w:t xml:space="preserve">Planeación funcional y evaluación </w:t>
            </w:r>
          </w:p>
          <w:p w14:paraId="5DE29058" w14:textId="46008F69" w:rsidR="007224D7" w:rsidRPr="000876AA" w:rsidRDefault="007224D7" w:rsidP="009236EA">
            <w:pPr>
              <w:tabs>
                <w:tab w:val="center" w:pos="4536"/>
              </w:tabs>
              <w:jc w:val="center"/>
              <w:rPr>
                <w:rFonts w:ascii="Arial" w:hAnsi="Arial" w:cs="Arial"/>
                <w:bCs/>
                <w:sz w:val="18"/>
                <w:szCs w:val="18"/>
              </w:rPr>
            </w:pPr>
            <w:r w:rsidRPr="000876AA">
              <w:rPr>
                <w:rFonts w:ascii="Arial" w:eastAsia="Calibri" w:hAnsi="Arial" w:cs="Arial"/>
                <w:bCs/>
                <w:sz w:val="18"/>
                <w:szCs w:val="18"/>
              </w:rPr>
              <w:t>(NTC 6256 e ISO 9001)</w:t>
            </w:r>
          </w:p>
        </w:tc>
        <w:tc>
          <w:tcPr>
            <w:tcW w:w="840" w:type="pct"/>
            <w:tcBorders>
              <w:top w:val="single" w:sz="4" w:space="0" w:color="000000"/>
              <w:left w:val="single" w:sz="4" w:space="0" w:color="000000"/>
              <w:right w:val="single" w:sz="4" w:space="0" w:color="000000"/>
            </w:tcBorders>
            <w:shd w:val="clear" w:color="auto" w:fill="FFFFFF"/>
            <w:vAlign w:val="center"/>
          </w:tcPr>
          <w:p w14:paraId="57C86280" w14:textId="5C8B13FE" w:rsidR="005C7116" w:rsidRPr="000876AA" w:rsidRDefault="007224D7" w:rsidP="00BC7736">
            <w:pPr>
              <w:tabs>
                <w:tab w:val="center" w:pos="4536"/>
              </w:tabs>
              <w:jc w:val="center"/>
              <w:rPr>
                <w:rFonts w:ascii="Arial" w:eastAsia="Calibri" w:hAnsi="Arial" w:cs="Arial"/>
                <w:bCs/>
                <w:sz w:val="18"/>
                <w:szCs w:val="18"/>
              </w:rPr>
            </w:pPr>
            <w:r w:rsidRPr="000876AA">
              <w:rPr>
                <w:rFonts w:ascii="Arial" w:eastAsia="Calibri" w:hAnsi="Arial" w:cs="Arial"/>
                <w:bCs/>
                <w:sz w:val="18"/>
                <w:szCs w:val="18"/>
              </w:rPr>
              <w:t>INTERNA SIGCMA</w:t>
            </w:r>
          </w:p>
        </w:tc>
        <w:tc>
          <w:tcPr>
            <w:tcW w:w="611" w:type="pct"/>
            <w:tcBorders>
              <w:top w:val="single" w:sz="4" w:space="0" w:color="000000"/>
              <w:left w:val="single" w:sz="4" w:space="0" w:color="000000"/>
              <w:right w:val="single" w:sz="4" w:space="0" w:color="000000"/>
            </w:tcBorders>
            <w:shd w:val="clear" w:color="auto" w:fill="FFFFFF"/>
            <w:vAlign w:val="center"/>
          </w:tcPr>
          <w:p w14:paraId="3D779CDF" w14:textId="586DFB78" w:rsidR="005C7116" w:rsidRPr="000876AA" w:rsidRDefault="00FF5EC4" w:rsidP="009236EA">
            <w:pPr>
              <w:tabs>
                <w:tab w:val="center" w:pos="4536"/>
              </w:tabs>
              <w:jc w:val="center"/>
              <w:rPr>
                <w:rFonts w:ascii="Arial" w:eastAsia="Calibri" w:hAnsi="Arial" w:cs="Arial"/>
                <w:bCs/>
                <w:sz w:val="18"/>
                <w:szCs w:val="18"/>
              </w:rPr>
            </w:pPr>
            <w:r w:rsidRPr="000876AA">
              <w:rPr>
                <w:rFonts w:ascii="Arial" w:eastAsia="Calibri" w:hAnsi="Arial" w:cs="Arial"/>
                <w:bCs/>
                <w:sz w:val="18"/>
                <w:szCs w:val="18"/>
              </w:rPr>
              <w:t>24-06-2022</w:t>
            </w:r>
          </w:p>
        </w:tc>
        <w:tc>
          <w:tcPr>
            <w:tcW w:w="1055" w:type="pct"/>
            <w:tcBorders>
              <w:top w:val="single" w:sz="4" w:space="0" w:color="000000"/>
              <w:left w:val="single" w:sz="4" w:space="0" w:color="000000"/>
              <w:right w:val="single" w:sz="4" w:space="0" w:color="000000"/>
            </w:tcBorders>
            <w:shd w:val="clear" w:color="auto" w:fill="FFFFFF"/>
            <w:vAlign w:val="center"/>
          </w:tcPr>
          <w:p w14:paraId="30C9DEB8" w14:textId="4E1C78BA" w:rsidR="005C7116" w:rsidRPr="000876AA" w:rsidRDefault="00FF5EC4" w:rsidP="009236EA">
            <w:pPr>
              <w:tabs>
                <w:tab w:val="center" w:pos="4536"/>
              </w:tabs>
              <w:jc w:val="center"/>
              <w:rPr>
                <w:rFonts w:ascii="Arial" w:eastAsia="Calibri" w:hAnsi="Arial" w:cs="Arial"/>
                <w:bCs/>
                <w:sz w:val="18"/>
                <w:szCs w:val="18"/>
              </w:rPr>
            </w:pPr>
            <w:r w:rsidRPr="000876AA">
              <w:rPr>
                <w:rFonts w:ascii="Arial" w:eastAsia="Calibri" w:hAnsi="Arial" w:cs="Arial"/>
                <w:bCs/>
                <w:sz w:val="18"/>
                <w:szCs w:val="18"/>
              </w:rPr>
              <w:t>0</w:t>
            </w:r>
          </w:p>
        </w:tc>
        <w:tc>
          <w:tcPr>
            <w:tcW w:w="1382" w:type="pct"/>
            <w:tcBorders>
              <w:top w:val="single" w:sz="4" w:space="0" w:color="000000"/>
              <w:left w:val="single" w:sz="4" w:space="0" w:color="000000"/>
              <w:right w:val="single" w:sz="4" w:space="0" w:color="000000"/>
            </w:tcBorders>
            <w:shd w:val="clear" w:color="auto" w:fill="FFFFFF"/>
            <w:vAlign w:val="center"/>
          </w:tcPr>
          <w:p w14:paraId="4B720C2A" w14:textId="6B5D3A42" w:rsidR="005C7116" w:rsidRPr="000876AA" w:rsidRDefault="00FF5EC4" w:rsidP="009236EA">
            <w:pPr>
              <w:tabs>
                <w:tab w:val="center" w:pos="4536"/>
              </w:tabs>
              <w:jc w:val="center"/>
              <w:rPr>
                <w:rFonts w:ascii="Arial" w:eastAsia="Calibri" w:hAnsi="Arial" w:cs="Arial"/>
                <w:bCs/>
                <w:sz w:val="18"/>
                <w:szCs w:val="18"/>
              </w:rPr>
            </w:pPr>
            <w:r w:rsidRPr="000876AA">
              <w:rPr>
                <w:rFonts w:ascii="Arial" w:eastAsia="Calibri" w:hAnsi="Arial" w:cs="Arial"/>
                <w:bCs/>
                <w:sz w:val="18"/>
                <w:szCs w:val="18"/>
              </w:rPr>
              <w:t>No se halló ninguna no conformidad</w:t>
            </w:r>
          </w:p>
        </w:tc>
      </w:tr>
      <w:tr w:rsidR="007224D7" w:rsidRPr="000876AA" w14:paraId="39C4E243" w14:textId="77777777" w:rsidTr="00245F2A">
        <w:trPr>
          <w:trHeight w:val="20"/>
          <w:jc w:val="center"/>
        </w:trPr>
        <w:tc>
          <w:tcPr>
            <w:tcW w:w="11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20127E1" w14:textId="77777777" w:rsidR="007224D7" w:rsidRPr="000876AA" w:rsidRDefault="007224D7" w:rsidP="007224D7">
            <w:pPr>
              <w:tabs>
                <w:tab w:val="center" w:pos="4536"/>
              </w:tabs>
              <w:jc w:val="center"/>
              <w:rPr>
                <w:rFonts w:ascii="Arial" w:eastAsia="Calibri" w:hAnsi="Arial" w:cs="Arial"/>
                <w:bCs/>
                <w:sz w:val="18"/>
                <w:szCs w:val="18"/>
              </w:rPr>
            </w:pPr>
            <w:r w:rsidRPr="000876AA">
              <w:rPr>
                <w:rFonts w:ascii="Arial" w:eastAsia="Calibri" w:hAnsi="Arial" w:cs="Arial"/>
                <w:bCs/>
                <w:sz w:val="18"/>
                <w:szCs w:val="18"/>
              </w:rPr>
              <w:t>Gestión financiera y presupuestal</w:t>
            </w:r>
          </w:p>
          <w:p w14:paraId="707E107C" w14:textId="4163BFA6" w:rsidR="007224D7" w:rsidRPr="000876AA" w:rsidRDefault="007224D7" w:rsidP="007224D7">
            <w:pPr>
              <w:tabs>
                <w:tab w:val="center" w:pos="4536"/>
              </w:tabs>
              <w:jc w:val="center"/>
              <w:rPr>
                <w:rFonts w:ascii="Arial" w:eastAsia="Calibri" w:hAnsi="Arial" w:cs="Arial"/>
                <w:bCs/>
                <w:sz w:val="18"/>
                <w:szCs w:val="18"/>
              </w:rPr>
            </w:pPr>
            <w:r w:rsidRPr="000876AA">
              <w:rPr>
                <w:rFonts w:ascii="Arial" w:eastAsia="Calibri" w:hAnsi="Arial" w:cs="Arial"/>
                <w:bCs/>
                <w:sz w:val="18"/>
                <w:szCs w:val="18"/>
              </w:rPr>
              <w:t>(NTC 6256 e ISO 9001)</w:t>
            </w:r>
          </w:p>
        </w:tc>
        <w:tc>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F4B51FE" w14:textId="0E8B3F1D" w:rsidR="007224D7" w:rsidRPr="000876AA" w:rsidRDefault="007224D7" w:rsidP="007224D7">
            <w:pPr>
              <w:tabs>
                <w:tab w:val="center" w:pos="4536"/>
              </w:tabs>
              <w:jc w:val="center"/>
              <w:rPr>
                <w:rFonts w:ascii="Arial" w:eastAsia="Calibri" w:hAnsi="Arial" w:cs="Arial"/>
                <w:bCs/>
                <w:sz w:val="18"/>
                <w:szCs w:val="18"/>
              </w:rPr>
            </w:pPr>
            <w:r w:rsidRPr="000876AA">
              <w:rPr>
                <w:rFonts w:ascii="Arial" w:eastAsia="Calibri" w:hAnsi="Arial" w:cs="Arial"/>
                <w:bCs/>
                <w:sz w:val="18"/>
                <w:szCs w:val="18"/>
              </w:rPr>
              <w:t>ICONTEC</w:t>
            </w:r>
          </w:p>
        </w:tc>
        <w:tc>
          <w:tcPr>
            <w:tcW w:w="61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955B4E" w14:textId="78177555" w:rsidR="007224D7" w:rsidRPr="000876AA" w:rsidRDefault="007B6EB5" w:rsidP="007224D7">
            <w:pPr>
              <w:tabs>
                <w:tab w:val="center" w:pos="4536"/>
              </w:tabs>
              <w:jc w:val="center"/>
              <w:rPr>
                <w:rFonts w:ascii="Arial" w:eastAsia="Calibri" w:hAnsi="Arial" w:cs="Arial"/>
                <w:bCs/>
                <w:sz w:val="18"/>
                <w:szCs w:val="18"/>
              </w:rPr>
            </w:pPr>
            <w:r w:rsidRPr="000876AA">
              <w:rPr>
                <w:rFonts w:ascii="Arial" w:eastAsia="Calibri" w:hAnsi="Arial" w:cs="Arial"/>
                <w:bCs/>
                <w:sz w:val="18"/>
                <w:szCs w:val="18"/>
              </w:rPr>
              <w:t>12-08-2022</w:t>
            </w:r>
          </w:p>
        </w:tc>
        <w:tc>
          <w:tcPr>
            <w:tcW w:w="105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7DCBDF7" w14:textId="00F5C60D" w:rsidR="007224D7" w:rsidRPr="000876AA" w:rsidRDefault="007224D7" w:rsidP="007224D7">
            <w:pPr>
              <w:tabs>
                <w:tab w:val="center" w:pos="4536"/>
              </w:tabs>
              <w:jc w:val="center"/>
              <w:rPr>
                <w:rFonts w:ascii="Arial" w:eastAsia="Calibri" w:hAnsi="Arial" w:cs="Arial"/>
                <w:bCs/>
                <w:sz w:val="18"/>
                <w:szCs w:val="18"/>
              </w:rPr>
            </w:pPr>
            <w:r w:rsidRPr="000876AA">
              <w:rPr>
                <w:rFonts w:ascii="Arial" w:eastAsia="Calibri" w:hAnsi="Arial" w:cs="Arial"/>
                <w:bCs/>
                <w:sz w:val="18"/>
                <w:szCs w:val="18"/>
              </w:rPr>
              <w:t>0</w:t>
            </w:r>
          </w:p>
        </w:tc>
        <w:tc>
          <w:tcPr>
            <w:tcW w:w="138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A7085AC" w14:textId="76D22846" w:rsidR="007224D7" w:rsidRPr="000876AA" w:rsidRDefault="007B6EB5" w:rsidP="007224D7">
            <w:pPr>
              <w:tabs>
                <w:tab w:val="center" w:pos="4536"/>
              </w:tabs>
              <w:jc w:val="center"/>
              <w:rPr>
                <w:rFonts w:ascii="Arial" w:eastAsia="Calibri" w:hAnsi="Arial" w:cs="Arial"/>
                <w:bCs/>
                <w:sz w:val="18"/>
                <w:szCs w:val="18"/>
              </w:rPr>
            </w:pPr>
            <w:r w:rsidRPr="000876AA">
              <w:rPr>
                <w:rFonts w:ascii="Arial" w:eastAsia="Calibri" w:hAnsi="Arial" w:cs="Arial"/>
                <w:bCs/>
                <w:sz w:val="18"/>
                <w:szCs w:val="18"/>
              </w:rPr>
              <w:t>No se halló ninguna no conformidad</w:t>
            </w:r>
          </w:p>
        </w:tc>
      </w:tr>
      <w:tr w:rsidR="007224D7" w:rsidRPr="000876AA" w14:paraId="190A6ABD" w14:textId="77777777" w:rsidTr="005C7116">
        <w:trPr>
          <w:trHeight w:val="20"/>
          <w:jc w:val="center"/>
        </w:trPr>
        <w:tc>
          <w:tcPr>
            <w:tcW w:w="11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F0FD699" w14:textId="77777777" w:rsidR="007224D7" w:rsidRPr="000876AA" w:rsidRDefault="007224D7" w:rsidP="007224D7">
            <w:pPr>
              <w:tabs>
                <w:tab w:val="center" w:pos="4536"/>
              </w:tabs>
              <w:jc w:val="center"/>
              <w:rPr>
                <w:rFonts w:ascii="Arial" w:hAnsi="Arial" w:cs="Arial"/>
                <w:bCs/>
                <w:sz w:val="18"/>
                <w:szCs w:val="18"/>
              </w:rPr>
            </w:pPr>
            <w:r w:rsidRPr="000876AA">
              <w:rPr>
                <w:rFonts w:ascii="Arial" w:hAnsi="Arial" w:cs="Arial"/>
                <w:bCs/>
                <w:sz w:val="18"/>
                <w:szCs w:val="18"/>
              </w:rPr>
              <w:t>Planeación funcional y evaluación</w:t>
            </w:r>
          </w:p>
          <w:p w14:paraId="3CCA5923" w14:textId="6DA862CD" w:rsidR="007224D7" w:rsidRPr="000876AA" w:rsidRDefault="007224D7" w:rsidP="007224D7">
            <w:pPr>
              <w:tabs>
                <w:tab w:val="center" w:pos="4536"/>
              </w:tabs>
              <w:jc w:val="center"/>
              <w:rPr>
                <w:rFonts w:ascii="Arial" w:hAnsi="Arial" w:cs="Arial"/>
                <w:bCs/>
                <w:sz w:val="18"/>
                <w:szCs w:val="18"/>
              </w:rPr>
            </w:pPr>
            <w:r w:rsidRPr="000876AA">
              <w:rPr>
                <w:rFonts w:ascii="Arial" w:eastAsia="Calibri" w:hAnsi="Arial" w:cs="Arial"/>
                <w:bCs/>
                <w:sz w:val="18"/>
                <w:szCs w:val="18"/>
              </w:rPr>
              <w:t>(NTC 6256 e ISO 9001)</w:t>
            </w:r>
          </w:p>
        </w:tc>
        <w:tc>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CA5979" w14:textId="7E7F8B55" w:rsidR="007224D7" w:rsidRPr="000876AA" w:rsidRDefault="00FF5EC4" w:rsidP="007224D7">
            <w:pPr>
              <w:tabs>
                <w:tab w:val="center" w:pos="4536"/>
              </w:tabs>
              <w:jc w:val="center"/>
              <w:rPr>
                <w:rFonts w:ascii="Arial" w:eastAsia="Calibri" w:hAnsi="Arial" w:cs="Arial"/>
                <w:bCs/>
                <w:sz w:val="18"/>
                <w:szCs w:val="18"/>
              </w:rPr>
            </w:pPr>
            <w:r w:rsidRPr="000876AA">
              <w:rPr>
                <w:rFonts w:ascii="Arial" w:eastAsia="Calibri" w:hAnsi="Arial" w:cs="Arial"/>
                <w:bCs/>
                <w:sz w:val="18"/>
                <w:szCs w:val="18"/>
              </w:rPr>
              <w:t>ICONTEC</w:t>
            </w:r>
          </w:p>
        </w:tc>
        <w:tc>
          <w:tcPr>
            <w:tcW w:w="6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2D754EB" w14:textId="39BE7EE6" w:rsidR="007224D7" w:rsidRPr="000876AA" w:rsidRDefault="00FF5EC4" w:rsidP="007224D7">
            <w:pPr>
              <w:tabs>
                <w:tab w:val="center" w:pos="4536"/>
              </w:tabs>
              <w:jc w:val="center"/>
              <w:rPr>
                <w:rFonts w:ascii="Arial" w:eastAsia="Calibri" w:hAnsi="Arial" w:cs="Arial"/>
                <w:bCs/>
                <w:sz w:val="18"/>
                <w:szCs w:val="18"/>
              </w:rPr>
            </w:pPr>
            <w:r w:rsidRPr="000876AA">
              <w:rPr>
                <w:rFonts w:ascii="Arial" w:eastAsia="Calibri" w:hAnsi="Arial" w:cs="Arial"/>
                <w:bCs/>
                <w:sz w:val="18"/>
                <w:szCs w:val="18"/>
              </w:rPr>
              <w:t>12-08-2022</w:t>
            </w:r>
          </w:p>
        </w:tc>
        <w:tc>
          <w:tcPr>
            <w:tcW w:w="10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9E18CAB" w14:textId="5C171A17" w:rsidR="007224D7" w:rsidRPr="000876AA" w:rsidRDefault="00FF5EC4" w:rsidP="007224D7">
            <w:pPr>
              <w:tabs>
                <w:tab w:val="center" w:pos="4536"/>
              </w:tabs>
              <w:jc w:val="center"/>
              <w:rPr>
                <w:rFonts w:ascii="Arial" w:eastAsia="Calibri" w:hAnsi="Arial" w:cs="Arial"/>
                <w:bCs/>
                <w:sz w:val="18"/>
                <w:szCs w:val="18"/>
              </w:rPr>
            </w:pPr>
            <w:r w:rsidRPr="000876AA">
              <w:rPr>
                <w:rFonts w:ascii="Arial" w:eastAsia="Calibri" w:hAnsi="Arial" w:cs="Arial"/>
                <w:bCs/>
                <w:sz w:val="18"/>
                <w:szCs w:val="18"/>
              </w:rPr>
              <w:t>0</w:t>
            </w:r>
          </w:p>
        </w:tc>
        <w:tc>
          <w:tcPr>
            <w:tcW w:w="13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CDE5909" w14:textId="367D8F5D" w:rsidR="007224D7" w:rsidRPr="000876AA" w:rsidRDefault="007B6EB5" w:rsidP="007224D7">
            <w:pPr>
              <w:tabs>
                <w:tab w:val="center" w:pos="4536"/>
              </w:tabs>
              <w:jc w:val="center"/>
              <w:rPr>
                <w:rFonts w:ascii="Arial" w:eastAsia="Calibri" w:hAnsi="Arial" w:cs="Arial"/>
                <w:bCs/>
                <w:sz w:val="18"/>
                <w:szCs w:val="18"/>
              </w:rPr>
            </w:pPr>
            <w:r w:rsidRPr="000876AA">
              <w:rPr>
                <w:rFonts w:ascii="Arial" w:eastAsia="Calibri" w:hAnsi="Arial" w:cs="Arial"/>
                <w:bCs/>
                <w:sz w:val="18"/>
                <w:szCs w:val="18"/>
              </w:rPr>
              <w:t>No se halló ninguna no conformidad</w:t>
            </w:r>
          </w:p>
        </w:tc>
      </w:tr>
      <w:tr w:rsidR="007224D7" w:rsidRPr="000876AA" w14:paraId="1C706D50" w14:textId="77777777" w:rsidTr="007B6EB5">
        <w:trPr>
          <w:trHeight w:val="251"/>
          <w:jc w:val="center"/>
        </w:trPr>
        <w:tc>
          <w:tcPr>
            <w:tcW w:w="111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B006128" w14:textId="77777777" w:rsidR="007224D7" w:rsidRPr="000876AA" w:rsidRDefault="007224D7" w:rsidP="007224D7">
            <w:pPr>
              <w:tabs>
                <w:tab w:val="center" w:pos="4536"/>
              </w:tabs>
              <w:jc w:val="center"/>
              <w:rPr>
                <w:rFonts w:ascii="Arial" w:eastAsia="Calibri" w:hAnsi="Arial" w:cs="Arial"/>
                <w:bCs/>
                <w:sz w:val="18"/>
                <w:szCs w:val="18"/>
              </w:rPr>
            </w:pPr>
            <w:r w:rsidRPr="000876AA">
              <w:rPr>
                <w:rFonts w:ascii="Arial" w:eastAsia="Calibri" w:hAnsi="Arial" w:cs="Arial"/>
                <w:bCs/>
                <w:sz w:val="18"/>
                <w:szCs w:val="18"/>
              </w:rPr>
              <w:t>Gestión financiera y presupuestal</w:t>
            </w:r>
          </w:p>
          <w:p w14:paraId="46BB2A24" w14:textId="189C117A" w:rsidR="007224D7" w:rsidRPr="000876AA" w:rsidRDefault="007224D7" w:rsidP="007224D7">
            <w:pPr>
              <w:tabs>
                <w:tab w:val="center" w:pos="4536"/>
              </w:tabs>
              <w:jc w:val="center"/>
              <w:rPr>
                <w:rFonts w:ascii="Arial" w:hAnsi="Arial" w:cs="Arial"/>
                <w:bCs/>
                <w:sz w:val="18"/>
                <w:szCs w:val="18"/>
              </w:rPr>
            </w:pPr>
            <w:r w:rsidRPr="000876AA">
              <w:rPr>
                <w:rFonts w:ascii="Arial" w:eastAsia="Calibri" w:hAnsi="Arial" w:cs="Arial"/>
                <w:bCs/>
                <w:sz w:val="18"/>
                <w:szCs w:val="18"/>
              </w:rPr>
              <w:t>(ISO 37001)</w:t>
            </w:r>
          </w:p>
        </w:tc>
        <w:tc>
          <w:tcPr>
            <w:tcW w:w="8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154C8A36" w14:textId="59F12188" w:rsidR="007224D7" w:rsidRPr="000876AA" w:rsidRDefault="007224D7" w:rsidP="007224D7">
            <w:pPr>
              <w:tabs>
                <w:tab w:val="center" w:pos="4536"/>
              </w:tabs>
              <w:jc w:val="center"/>
              <w:rPr>
                <w:rFonts w:ascii="Arial" w:eastAsia="Calibri" w:hAnsi="Arial" w:cs="Arial"/>
                <w:bCs/>
                <w:sz w:val="18"/>
                <w:szCs w:val="18"/>
              </w:rPr>
            </w:pPr>
            <w:r w:rsidRPr="000876AA">
              <w:rPr>
                <w:rFonts w:ascii="Arial" w:eastAsia="Calibri" w:hAnsi="Arial" w:cs="Arial"/>
                <w:bCs/>
                <w:sz w:val="18"/>
                <w:szCs w:val="18"/>
              </w:rPr>
              <w:t>ICONTEC</w:t>
            </w:r>
          </w:p>
        </w:tc>
        <w:tc>
          <w:tcPr>
            <w:tcW w:w="61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45EF902" w14:textId="2EDD8AB4" w:rsidR="007224D7" w:rsidRPr="000876AA" w:rsidRDefault="00793D09" w:rsidP="007224D7">
            <w:pPr>
              <w:tabs>
                <w:tab w:val="center" w:pos="4536"/>
              </w:tabs>
              <w:jc w:val="center"/>
              <w:rPr>
                <w:rFonts w:ascii="Arial" w:eastAsia="Calibri" w:hAnsi="Arial" w:cs="Arial"/>
                <w:bCs/>
                <w:sz w:val="18"/>
                <w:szCs w:val="18"/>
              </w:rPr>
            </w:pPr>
            <w:r w:rsidRPr="000876AA">
              <w:rPr>
                <w:rFonts w:ascii="Arial" w:eastAsia="Calibri" w:hAnsi="Arial" w:cs="Arial"/>
                <w:bCs/>
                <w:sz w:val="18"/>
                <w:szCs w:val="18"/>
              </w:rPr>
              <w:t>10-11-2022</w:t>
            </w:r>
          </w:p>
        </w:tc>
        <w:tc>
          <w:tcPr>
            <w:tcW w:w="105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A838ED4" w14:textId="65615FB8" w:rsidR="007224D7" w:rsidRPr="000876AA" w:rsidRDefault="00CB6D58" w:rsidP="007224D7">
            <w:pPr>
              <w:tabs>
                <w:tab w:val="center" w:pos="4536"/>
              </w:tabs>
              <w:jc w:val="center"/>
              <w:rPr>
                <w:rFonts w:ascii="Arial" w:eastAsia="Calibri" w:hAnsi="Arial" w:cs="Arial"/>
                <w:bCs/>
                <w:sz w:val="18"/>
                <w:szCs w:val="18"/>
              </w:rPr>
            </w:pPr>
            <w:r w:rsidRPr="000876AA">
              <w:rPr>
                <w:rFonts w:ascii="Arial" w:eastAsia="Calibri" w:hAnsi="Arial" w:cs="Arial"/>
                <w:bCs/>
                <w:sz w:val="18"/>
                <w:szCs w:val="18"/>
              </w:rPr>
              <w:t>0</w:t>
            </w:r>
          </w:p>
        </w:tc>
        <w:tc>
          <w:tcPr>
            <w:tcW w:w="138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40B3155" w14:textId="041EE198" w:rsidR="007224D7" w:rsidRPr="000876AA" w:rsidRDefault="00FF5EC4" w:rsidP="007224D7">
            <w:pPr>
              <w:tabs>
                <w:tab w:val="center" w:pos="4536"/>
              </w:tabs>
              <w:jc w:val="center"/>
              <w:rPr>
                <w:rFonts w:ascii="Arial" w:eastAsia="Calibri" w:hAnsi="Arial" w:cs="Arial"/>
                <w:bCs/>
                <w:sz w:val="18"/>
                <w:szCs w:val="18"/>
              </w:rPr>
            </w:pPr>
            <w:r w:rsidRPr="000876AA">
              <w:rPr>
                <w:rFonts w:ascii="Arial" w:eastAsia="Calibri" w:hAnsi="Arial" w:cs="Arial"/>
                <w:bCs/>
                <w:sz w:val="18"/>
                <w:szCs w:val="18"/>
              </w:rPr>
              <w:t xml:space="preserve">No se </w:t>
            </w:r>
            <w:r w:rsidR="00793D09" w:rsidRPr="000876AA">
              <w:rPr>
                <w:rFonts w:ascii="Arial" w:eastAsia="Calibri" w:hAnsi="Arial" w:cs="Arial"/>
                <w:bCs/>
                <w:sz w:val="18"/>
                <w:szCs w:val="18"/>
              </w:rPr>
              <w:t xml:space="preserve">halló </w:t>
            </w:r>
            <w:r w:rsidRPr="000876AA">
              <w:rPr>
                <w:rFonts w:ascii="Arial" w:eastAsia="Calibri" w:hAnsi="Arial" w:cs="Arial"/>
                <w:bCs/>
                <w:sz w:val="18"/>
                <w:szCs w:val="18"/>
              </w:rPr>
              <w:t>ninguna no conformidad</w:t>
            </w:r>
            <w:r w:rsidR="00793D09" w:rsidRPr="000876AA">
              <w:rPr>
                <w:rFonts w:ascii="Arial" w:eastAsia="Calibri" w:hAnsi="Arial" w:cs="Arial"/>
                <w:bCs/>
                <w:sz w:val="18"/>
                <w:szCs w:val="18"/>
              </w:rPr>
              <w:t>,</w:t>
            </w:r>
            <w:r w:rsidRPr="000876AA">
              <w:rPr>
                <w:rFonts w:ascii="Arial" w:eastAsia="Calibri" w:hAnsi="Arial" w:cs="Arial"/>
                <w:bCs/>
                <w:sz w:val="18"/>
                <w:szCs w:val="18"/>
              </w:rPr>
              <w:t xml:space="preserve"> para las Unidades de Presupuesto y Planeación </w:t>
            </w:r>
          </w:p>
        </w:tc>
      </w:tr>
    </w:tbl>
    <w:p w14:paraId="62C4B08A" w14:textId="3D3A69A3" w:rsidR="002016AA" w:rsidRPr="008E1B51" w:rsidRDefault="002016AA" w:rsidP="009236EA">
      <w:pPr>
        <w:tabs>
          <w:tab w:val="left" w:pos="6770"/>
        </w:tabs>
        <w:jc w:val="both"/>
        <w:rPr>
          <w:rFonts w:ascii="Arial" w:hAnsi="Arial" w:cs="Arial"/>
          <w:sz w:val="18"/>
          <w:szCs w:val="18"/>
        </w:rPr>
      </w:pPr>
      <w:bookmarkStart w:id="13" w:name="_Hlk64569185"/>
    </w:p>
    <w:p w14:paraId="04F36EE8" w14:textId="7DC2B5B0" w:rsidR="008E1B51" w:rsidRPr="009D39C7" w:rsidRDefault="008E1B51" w:rsidP="006B1082">
      <w:pPr>
        <w:tabs>
          <w:tab w:val="left" w:pos="6770"/>
        </w:tabs>
        <w:jc w:val="both"/>
        <w:rPr>
          <w:rFonts w:ascii="Arial" w:hAnsi="Arial" w:cs="Arial"/>
          <w:sz w:val="20"/>
        </w:rPr>
      </w:pPr>
      <w:r w:rsidRPr="009D39C7">
        <w:rPr>
          <w:rFonts w:ascii="Arial" w:hAnsi="Arial" w:cs="Arial"/>
          <w:sz w:val="20"/>
        </w:rPr>
        <w:t>En el marco de la mejora continua, los auditores registraron las siguientes recomendaciones:</w:t>
      </w:r>
    </w:p>
    <w:p w14:paraId="1C70327C" w14:textId="0309D87A" w:rsidR="008E1B51" w:rsidRPr="009D39C7" w:rsidRDefault="008E1B51" w:rsidP="006B1082">
      <w:pPr>
        <w:tabs>
          <w:tab w:val="left" w:pos="6770"/>
        </w:tabs>
        <w:jc w:val="both"/>
        <w:rPr>
          <w:rFonts w:ascii="Arial" w:hAnsi="Arial" w:cs="Arial"/>
          <w:sz w:val="20"/>
        </w:rPr>
      </w:pPr>
    </w:p>
    <w:p w14:paraId="5948A3AE" w14:textId="7AC9E318" w:rsidR="008E1B51" w:rsidRPr="009D39C7" w:rsidRDefault="008E1B51" w:rsidP="006B1082">
      <w:pPr>
        <w:tabs>
          <w:tab w:val="left" w:pos="6770"/>
        </w:tabs>
        <w:jc w:val="both"/>
        <w:rPr>
          <w:rFonts w:ascii="Arial" w:hAnsi="Arial" w:cs="Arial"/>
          <w:sz w:val="20"/>
          <w:u w:val="single"/>
        </w:rPr>
      </w:pPr>
      <w:r w:rsidRPr="009D39C7">
        <w:rPr>
          <w:rFonts w:ascii="Arial" w:hAnsi="Arial" w:cs="Arial"/>
          <w:sz w:val="20"/>
          <w:u w:val="single"/>
        </w:rPr>
        <w:t>Gestión Financiera y presupuestal</w:t>
      </w:r>
      <w:r w:rsidRPr="009D39C7">
        <w:rPr>
          <w:rFonts w:ascii="Arial" w:hAnsi="Arial" w:cs="Arial"/>
          <w:sz w:val="20"/>
          <w:u w:val="single"/>
        </w:rPr>
        <w:t>:</w:t>
      </w:r>
    </w:p>
    <w:p w14:paraId="39F5ACFF" w14:textId="77777777" w:rsidR="008E1B51" w:rsidRPr="009D39C7" w:rsidRDefault="008E1B51" w:rsidP="006B1082">
      <w:pPr>
        <w:jc w:val="both"/>
        <w:rPr>
          <w:rFonts w:ascii="Arial" w:eastAsia="Arial" w:hAnsi="Arial"/>
          <w:sz w:val="20"/>
          <w:lang w:val="es-ES"/>
        </w:rPr>
      </w:pPr>
    </w:p>
    <w:p w14:paraId="1F940AAC" w14:textId="77777777" w:rsidR="006B1082" w:rsidRPr="009D39C7" w:rsidRDefault="006B1082" w:rsidP="006B1082">
      <w:pPr>
        <w:pStyle w:val="Prrafodelista"/>
        <w:numPr>
          <w:ilvl w:val="0"/>
          <w:numId w:val="28"/>
        </w:numPr>
        <w:spacing w:after="0" w:line="240" w:lineRule="auto"/>
        <w:contextualSpacing w:val="0"/>
        <w:jc w:val="both"/>
        <w:rPr>
          <w:rFonts w:ascii="Arial" w:hAnsi="Arial"/>
          <w:i/>
          <w:sz w:val="20"/>
          <w:szCs w:val="20"/>
        </w:rPr>
      </w:pPr>
      <w:r w:rsidRPr="009D39C7">
        <w:rPr>
          <w:rFonts w:ascii="Arial" w:hAnsi="Arial"/>
          <w:i/>
          <w:sz w:val="20"/>
          <w:szCs w:val="20"/>
        </w:rPr>
        <w:t>La definición del DOFA, es importante revisar la metodología para su construcción ya que no necesariamente una debilidad genera de manera lineal una fortaleza y una amenaza no genera una oportunidad, son aspectos diferentes; es importante no confundirse con las acciones tomadas para su tratamiento (estas se encuentran en las estrategias y en los planes de acción). Todo con el fin de facilitar su comprensión, tratamiento y gestión.</w:t>
      </w:r>
    </w:p>
    <w:p w14:paraId="0D6A366A" w14:textId="77777777" w:rsidR="006B1082" w:rsidRPr="009D39C7" w:rsidRDefault="006B1082" w:rsidP="006B1082">
      <w:pPr>
        <w:pStyle w:val="Prrafodelista"/>
        <w:numPr>
          <w:ilvl w:val="0"/>
          <w:numId w:val="28"/>
        </w:numPr>
        <w:spacing w:after="0" w:line="240" w:lineRule="auto"/>
        <w:contextualSpacing w:val="0"/>
        <w:jc w:val="both"/>
        <w:rPr>
          <w:rFonts w:ascii="Arial" w:hAnsi="Arial"/>
          <w:i/>
          <w:sz w:val="20"/>
          <w:szCs w:val="20"/>
        </w:rPr>
      </w:pPr>
      <w:r w:rsidRPr="009D39C7">
        <w:rPr>
          <w:rFonts w:ascii="Arial" w:hAnsi="Arial"/>
          <w:i/>
          <w:sz w:val="20"/>
          <w:szCs w:val="20"/>
        </w:rPr>
        <w:t>Los análisis y evaluación de los resultados (planes de acción), es clave que se complementen con más información de lo sucedido, ya que podría pasar que las personas se queden con la información de más aspectos que generaron la mejora o que ocasionaron problemas con el cumplimiento. Así como es importante también que se complementen los controles frente a los riesgos identificados en la matriz, porque existen más acciones tomadas para disminuir la probabilidad de ocurrencia del riesgo que las que se registran en dicha matriz.</w:t>
      </w:r>
    </w:p>
    <w:p w14:paraId="3EB63063" w14:textId="77777777" w:rsidR="006B1082" w:rsidRPr="009D39C7" w:rsidRDefault="006B1082" w:rsidP="006B1082">
      <w:pPr>
        <w:pStyle w:val="Prrafodelista"/>
        <w:numPr>
          <w:ilvl w:val="0"/>
          <w:numId w:val="28"/>
        </w:numPr>
        <w:spacing w:after="0" w:line="240" w:lineRule="auto"/>
        <w:contextualSpacing w:val="0"/>
        <w:jc w:val="both"/>
        <w:rPr>
          <w:rFonts w:ascii="Arial" w:hAnsi="Arial"/>
          <w:i/>
          <w:sz w:val="20"/>
          <w:szCs w:val="20"/>
        </w:rPr>
      </w:pPr>
      <w:r w:rsidRPr="009D39C7">
        <w:rPr>
          <w:rFonts w:ascii="Arial" w:hAnsi="Arial"/>
          <w:i/>
          <w:sz w:val="20"/>
          <w:szCs w:val="20"/>
        </w:rPr>
        <w:t xml:space="preserve">Las mejoras realizadas en los diferentes frentes de trabajo, es importante que se continúe con la formalización / documentación dentro del SGC, en la metodología que se considere más sencilla y </w:t>
      </w:r>
      <w:r w:rsidRPr="009D39C7">
        <w:rPr>
          <w:rFonts w:ascii="Arial" w:hAnsi="Arial"/>
          <w:i/>
          <w:sz w:val="20"/>
          <w:szCs w:val="20"/>
        </w:rPr>
        <w:lastRenderedPageBreak/>
        <w:t xml:space="preserve">eficiente, con el fin de no perder la historia de todo lo bueno que se realiza en pro de la mejora continua (gestión del conocimiento). </w:t>
      </w:r>
    </w:p>
    <w:p w14:paraId="02D95D57" w14:textId="77777777" w:rsidR="006B1082" w:rsidRPr="009D39C7" w:rsidRDefault="006B1082" w:rsidP="006B1082">
      <w:pPr>
        <w:pStyle w:val="Prrafodelista"/>
        <w:numPr>
          <w:ilvl w:val="0"/>
          <w:numId w:val="28"/>
        </w:numPr>
        <w:spacing w:after="0" w:line="240" w:lineRule="auto"/>
        <w:contextualSpacing w:val="0"/>
        <w:jc w:val="both"/>
        <w:rPr>
          <w:rFonts w:ascii="Arial" w:hAnsi="Arial"/>
          <w:i/>
          <w:sz w:val="20"/>
          <w:szCs w:val="20"/>
        </w:rPr>
      </w:pPr>
      <w:r w:rsidRPr="009D39C7">
        <w:rPr>
          <w:rFonts w:ascii="Arial" w:hAnsi="Arial"/>
          <w:i/>
          <w:sz w:val="20"/>
          <w:szCs w:val="20"/>
        </w:rPr>
        <w:t>La condición de “no aplica” en los análisis de resultados de los trimestres, para que se considere indicar con precisión que “se encuentra en espera del resultado”, de manera que se facilite la comprensión y el análisis para la toma de acciones.</w:t>
      </w:r>
    </w:p>
    <w:p w14:paraId="6B924751" w14:textId="6496A8DF" w:rsidR="008E1B51" w:rsidRPr="009D39C7" w:rsidRDefault="006B1082" w:rsidP="006B1082">
      <w:pPr>
        <w:pStyle w:val="Prrafodelista"/>
        <w:numPr>
          <w:ilvl w:val="0"/>
          <w:numId w:val="28"/>
        </w:numPr>
        <w:spacing w:after="0" w:line="240" w:lineRule="auto"/>
        <w:contextualSpacing w:val="0"/>
        <w:jc w:val="both"/>
        <w:rPr>
          <w:rFonts w:ascii="Arial" w:hAnsi="Arial"/>
          <w:i/>
          <w:sz w:val="20"/>
          <w:szCs w:val="20"/>
        </w:rPr>
      </w:pPr>
      <w:r w:rsidRPr="009D39C7">
        <w:rPr>
          <w:rFonts w:ascii="Arial" w:hAnsi="Arial"/>
          <w:i/>
          <w:sz w:val="20"/>
          <w:szCs w:val="20"/>
        </w:rPr>
        <w:t>Transversal: La aprobación de los documentos, es necesario que se revise la metodología desde nivel central, ya que actualmente existen documentos con solicitudes de febrero de 2022 que aún no han sido aprobados (Proceso Financiero) y el cual también fue un aspecto por mejorar del año 2021 auditoría de noviembre.</w:t>
      </w:r>
    </w:p>
    <w:p w14:paraId="1B786B57" w14:textId="77777777" w:rsidR="008E1B51" w:rsidRPr="009D39C7" w:rsidRDefault="008E1B51" w:rsidP="006B1082">
      <w:pPr>
        <w:tabs>
          <w:tab w:val="left" w:pos="6770"/>
        </w:tabs>
        <w:jc w:val="both"/>
        <w:rPr>
          <w:rFonts w:ascii="Arial" w:hAnsi="Arial" w:cs="Arial"/>
          <w:sz w:val="20"/>
        </w:rPr>
      </w:pPr>
    </w:p>
    <w:p w14:paraId="1F8BA79F" w14:textId="343DA410" w:rsidR="008E1B51" w:rsidRPr="009D39C7" w:rsidRDefault="008E1B51" w:rsidP="006B1082">
      <w:pPr>
        <w:tabs>
          <w:tab w:val="left" w:pos="6770"/>
        </w:tabs>
        <w:jc w:val="both"/>
        <w:rPr>
          <w:rFonts w:ascii="Arial" w:hAnsi="Arial" w:cs="Arial"/>
          <w:sz w:val="20"/>
          <w:u w:val="single"/>
        </w:rPr>
      </w:pPr>
      <w:r w:rsidRPr="009D39C7">
        <w:rPr>
          <w:rFonts w:ascii="Arial" w:hAnsi="Arial" w:cs="Arial"/>
          <w:sz w:val="20"/>
          <w:u w:val="single"/>
        </w:rPr>
        <w:t>Planeación funcional y evaluación:</w:t>
      </w:r>
    </w:p>
    <w:p w14:paraId="3BCBC0FF" w14:textId="77777777" w:rsidR="006B1082" w:rsidRPr="009D39C7" w:rsidRDefault="006B1082" w:rsidP="006B1082">
      <w:pPr>
        <w:tabs>
          <w:tab w:val="left" w:pos="6770"/>
        </w:tabs>
        <w:jc w:val="both"/>
        <w:rPr>
          <w:rFonts w:ascii="Arial" w:hAnsi="Arial" w:cs="Arial"/>
          <w:sz w:val="20"/>
          <w:u w:val="single"/>
        </w:rPr>
      </w:pPr>
    </w:p>
    <w:p w14:paraId="104B2613" w14:textId="77777777" w:rsidR="008E1B51" w:rsidRPr="009D39C7" w:rsidRDefault="008E1B51" w:rsidP="006B1082">
      <w:pPr>
        <w:pStyle w:val="Prrafodelista"/>
        <w:numPr>
          <w:ilvl w:val="0"/>
          <w:numId w:val="26"/>
        </w:numPr>
        <w:spacing w:after="0" w:line="240" w:lineRule="auto"/>
        <w:contextualSpacing w:val="0"/>
        <w:jc w:val="both"/>
        <w:rPr>
          <w:rFonts w:ascii="Arial" w:eastAsia="Arial" w:hAnsi="Arial"/>
          <w:i/>
          <w:sz w:val="20"/>
          <w:szCs w:val="20"/>
          <w:lang w:val="es-ES" w:eastAsia="es-ES"/>
        </w:rPr>
      </w:pPr>
      <w:r w:rsidRPr="009D39C7">
        <w:rPr>
          <w:rFonts w:ascii="Arial" w:eastAsia="Arial" w:hAnsi="Arial"/>
          <w:i/>
          <w:sz w:val="20"/>
          <w:szCs w:val="20"/>
          <w:lang w:val="es-ES" w:eastAsia="es-ES"/>
        </w:rPr>
        <w:t>En el proceso iniciado en la aplicación de la evaluación de entornos, mediante el análisis situacional DOFA, el transitar de la descripción genérica de las cuatro fuerzas, a la identificación específica actual y a su sopeso realista, para dimensionar su impacto real y visibilizar interrelaciones más pragmáticas.</w:t>
      </w:r>
    </w:p>
    <w:p w14:paraId="2E00635F" w14:textId="77777777" w:rsidR="008E1B51" w:rsidRPr="009D39C7" w:rsidRDefault="008E1B51" w:rsidP="006B1082">
      <w:pPr>
        <w:pStyle w:val="Prrafodelista"/>
        <w:numPr>
          <w:ilvl w:val="0"/>
          <w:numId w:val="26"/>
        </w:numPr>
        <w:spacing w:after="0" w:line="240" w:lineRule="auto"/>
        <w:contextualSpacing w:val="0"/>
        <w:jc w:val="both"/>
        <w:rPr>
          <w:rFonts w:ascii="Arial" w:eastAsia="Arial" w:hAnsi="Arial"/>
          <w:i/>
          <w:sz w:val="20"/>
          <w:szCs w:val="20"/>
          <w:lang w:val="es-ES" w:eastAsia="es-ES"/>
        </w:rPr>
      </w:pPr>
      <w:r w:rsidRPr="009D39C7">
        <w:rPr>
          <w:rFonts w:ascii="Arial" w:eastAsia="Arial" w:hAnsi="Arial"/>
          <w:i/>
          <w:sz w:val="20"/>
          <w:szCs w:val="20"/>
          <w:lang w:val="es-ES" w:eastAsia="es-ES"/>
        </w:rPr>
        <w:t>En la identificación y gestión de los riesgos y oportunidades que se ciernen en el proceso, y con el ya despliegue de las causas raíz que originan el riesgo; el intentar considerar dichas causas como nuevos riesgos, que ya cuentan con los controles aplicados específicos dentro de la matriz; este proceso permite individualizar, valorar, controlar y tomar acciones de forma más individual y específica.</w:t>
      </w:r>
    </w:p>
    <w:p w14:paraId="5FF0FD64" w14:textId="77777777" w:rsidR="008E1B51" w:rsidRPr="009D39C7" w:rsidRDefault="008E1B51" w:rsidP="006B1082">
      <w:pPr>
        <w:pStyle w:val="Prrafodelista"/>
        <w:numPr>
          <w:ilvl w:val="0"/>
          <w:numId w:val="26"/>
        </w:numPr>
        <w:spacing w:after="0" w:line="240" w:lineRule="auto"/>
        <w:contextualSpacing w:val="0"/>
        <w:jc w:val="both"/>
        <w:rPr>
          <w:rFonts w:ascii="Arial" w:eastAsia="Arial" w:hAnsi="Arial"/>
          <w:i/>
          <w:sz w:val="20"/>
          <w:szCs w:val="20"/>
          <w:lang w:val="es-ES" w:eastAsia="es-ES"/>
        </w:rPr>
      </w:pPr>
      <w:r w:rsidRPr="009D39C7">
        <w:rPr>
          <w:rFonts w:ascii="Arial" w:eastAsia="Arial" w:hAnsi="Arial"/>
          <w:i/>
          <w:sz w:val="20"/>
          <w:szCs w:val="20"/>
          <w:lang w:val="es-ES" w:eastAsia="es-ES"/>
        </w:rPr>
        <w:t>El análisis de forma estadístico de la data, proveniente de los hallazgos de la Contraloría, para inferir acciones pertinentes, originadas en causas comunes de presentación y en las diferentes Seccionales sujetas a Control.</w:t>
      </w:r>
    </w:p>
    <w:p w14:paraId="2E3C0739" w14:textId="77777777" w:rsidR="006B1082" w:rsidRPr="009D39C7" w:rsidRDefault="006B1082" w:rsidP="006B1082">
      <w:pPr>
        <w:jc w:val="both"/>
        <w:rPr>
          <w:rFonts w:ascii="Arial" w:eastAsia="Arial" w:hAnsi="Arial"/>
          <w:i/>
          <w:sz w:val="20"/>
          <w:lang w:val="es-ES"/>
        </w:rPr>
      </w:pPr>
    </w:p>
    <w:p w14:paraId="11CD693E" w14:textId="12B7BF8C" w:rsidR="008E1B51" w:rsidRPr="009D39C7" w:rsidRDefault="006B1082" w:rsidP="006B1082">
      <w:pPr>
        <w:jc w:val="both"/>
        <w:rPr>
          <w:rFonts w:ascii="Arial" w:eastAsia="Arial" w:hAnsi="Arial"/>
          <w:i/>
          <w:sz w:val="20"/>
          <w:lang w:val="es-ES"/>
        </w:rPr>
      </w:pPr>
      <w:r w:rsidRPr="009D39C7">
        <w:rPr>
          <w:rFonts w:ascii="Arial" w:eastAsia="Arial" w:hAnsi="Arial"/>
          <w:i/>
          <w:sz w:val="20"/>
          <w:lang w:val="es-ES"/>
        </w:rPr>
        <w:t>DEAJ. PROCESO DE PLANEACIÓN Y PRESUPUESTO. No incluye como elementos de entrada: satisfacción ni retroalimentación de partes interesadas, eficacia para oportunidades. El indicador de ejecución presupuestal no indica la meta.</w:t>
      </w:r>
    </w:p>
    <w:p w14:paraId="32A071B6" w14:textId="13A9659E" w:rsidR="008E1B51" w:rsidRDefault="008E1B51" w:rsidP="009236EA">
      <w:pPr>
        <w:tabs>
          <w:tab w:val="left" w:pos="6770"/>
        </w:tabs>
        <w:jc w:val="both"/>
        <w:rPr>
          <w:rFonts w:ascii="Arial" w:hAnsi="Arial" w:cs="Arial"/>
          <w:sz w:val="18"/>
          <w:szCs w:val="18"/>
        </w:rPr>
      </w:pPr>
    </w:p>
    <w:p w14:paraId="64AC1CA9" w14:textId="77777777" w:rsidR="00845C23" w:rsidRPr="008E1B51" w:rsidRDefault="00845C23" w:rsidP="009236EA">
      <w:pPr>
        <w:tabs>
          <w:tab w:val="left" w:pos="6770"/>
        </w:tabs>
        <w:jc w:val="both"/>
        <w:rPr>
          <w:rFonts w:ascii="Arial" w:hAnsi="Arial" w:cs="Arial"/>
          <w:sz w:val="18"/>
          <w:szCs w:val="18"/>
        </w:rPr>
      </w:pPr>
    </w:p>
    <w:p w14:paraId="2EB58E27" w14:textId="77777777" w:rsidR="009236EA" w:rsidRPr="000876AA" w:rsidRDefault="009236EA" w:rsidP="00AD15F9">
      <w:pPr>
        <w:numPr>
          <w:ilvl w:val="0"/>
          <w:numId w:val="31"/>
        </w:numPr>
        <w:jc w:val="both"/>
        <w:rPr>
          <w:rFonts w:ascii="Arial" w:hAnsi="Arial" w:cs="Arial"/>
          <w:b/>
          <w:sz w:val="22"/>
          <w:szCs w:val="22"/>
        </w:rPr>
      </w:pPr>
      <w:r w:rsidRPr="000876AA">
        <w:rPr>
          <w:rFonts w:ascii="Arial" w:hAnsi="Arial" w:cs="Arial"/>
          <w:b/>
          <w:sz w:val="22"/>
          <w:szCs w:val="22"/>
        </w:rPr>
        <w:t>DESEMPEÑO DE LOS PROVEEDORES EXTERNOS:</w:t>
      </w:r>
      <w:r w:rsidR="003E401F" w:rsidRPr="000876AA">
        <w:rPr>
          <w:rFonts w:ascii="Arial" w:hAnsi="Arial" w:cs="Arial"/>
          <w:b/>
          <w:sz w:val="22"/>
          <w:szCs w:val="22"/>
        </w:rPr>
        <w:t xml:space="preserve"> </w:t>
      </w:r>
      <w:r w:rsidRPr="000876AA">
        <w:rPr>
          <w:rFonts w:ascii="Arial" w:hAnsi="Arial" w:cs="Arial"/>
          <w:b/>
          <w:sz w:val="22"/>
          <w:szCs w:val="22"/>
        </w:rPr>
        <w:t>(En caso en que aplique)</w:t>
      </w:r>
    </w:p>
    <w:p w14:paraId="061B36DA" w14:textId="6EC146C1" w:rsidR="009236EA" w:rsidRPr="000876AA" w:rsidRDefault="009236EA" w:rsidP="009236EA">
      <w:pPr>
        <w:tabs>
          <w:tab w:val="left" w:pos="6770"/>
        </w:tabs>
        <w:jc w:val="both"/>
        <w:rPr>
          <w:rFonts w:ascii="Arial" w:hAnsi="Arial" w:cs="Arial"/>
          <w:bCs/>
          <w:sz w:val="22"/>
          <w:szCs w:val="22"/>
        </w:rPr>
      </w:pPr>
    </w:p>
    <w:p w14:paraId="66C0D60C" w14:textId="5B96C4CB" w:rsidR="00815A12" w:rsidRPr="009D39C7" w:rsidRDefault="00815A12" w:rsidP="00815A12">
      <w:pPr>
        <w:jc w:val="both"/>
        <w:rPr>
          <w:rFonts w:ascii="Arial" w:hAnsi="Arial" w:cs="Arial"/>
          <w:iCs/>
          <w:sz w:val="20"/>
        </w:rPr>
      </w:pPr>
      <w:r w:rsidRPr="009D39C7">
        <w:rPr>
          <w:rFonts w:ascii="Arial" w:hAnsi="Arial" w:cs="Arial"/>
          <w:iCs/>
          <w:sz w:val="20"/>
        </w:rPr>
        <w:t>La Dirección Ejecutiva de Administración Judicial, evalúa a sus proveedores externos, con el formato “Ficha de Evaluación y Re–evaluación”</w:t>
      </w:r>
      <w:r w:rsidR="007B6EB5" w:rsidRPr="009D39C7">
        <w:rPr>
          <w:rFonts w:ascii="Arial" w:hAnsi="Arial" w:cs="Arial"/>
          <w:iCs/>
          <w:sz w:val="20"/>
        </w:rPr>
        <w:t>, en el cual se evalúa con puntajes de 2 a 5, siendo 2 malo, 3 regula, 4 bueno y 5 excelente</w:t>
      </w:r>
      <w:r w:rsidRPr="009D39C7">
        <w:rPr>
          <w:rFonts w:ascii="Arial" w:hAnsi="Arial" w:cs="Arial"/>
          <w:iCs/>
          <w:sz w:val="20"/>
        </w:rPr>
        <w:t>. Los contratos aquí relacionados fueron los transversales para la implementación y el mantenimiento del SIGCMA en la vigencia 2022, los cuales fueron supervisados por la Coordinación Nacional del SIGCMA – UDAE y la Unidad de Planeación.</w:t>
      </w:r>
    </w:p>
    <w:p w14:paraId="0EE0864B" w14:textId="77777777" w:rsidR="00815A12" w:rsidRPr="009D39C7" w:rsidRDefault="00815A12" w:rsidP="00815A12">
      <w:pPr>
        <w:jc w:val="both"/>
        <w:rPr>
          <w:rFonts w:ascii="Arial" w:hAnsi="Arial" w:cs="Arial"/>
          <w:iCs/>
          <w:sz w:val="20"/>
        </w:rPr>
      </w:pPr>
    </w:p>
    <w:tbl>
      <w:tblPr>
        <w:tblStyle w:val="Tablaconcuadrcula1clara-nfasis1"/>
        <w:tblW w:w="9918" w:type="dxa"/>
        <w:tblLayout w:type="fixed"/>
        <w:tblLook w:val="04A0" w:firstRow="1" w:lastRow="0" w:firstColumn="1" w:lastColumn="0" w:noHBand="0" w:noVBand="1"/>
      </w:tblPr>
      <w:tblGrid>
        <w:gridCol w:w="987"/>
        <w:gridCol w:w="2977"/>
        <w:gridCol w:w="1701"/>
        <w:gridCol w:w="1276"/>
        <w:gridCol w:w="851"/>
        <w:gridCol w:w="992"/>
        <w:gridCol w:w="1134"/>
      </w:tblGrid>
      <w:tr w:rsidR="007B6EB5" w:rsidRPr="000876AA" w14:paraId="281BF686" w14:textId="77777777" w:rsidTr="007B6EB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7" w:type="dxa"/>
            <w:vMerge w:val="restart"/>
            <w:shd w:val="clear" w:color="auto" w:fill="B4C6E7" w:themeFill="accent1" w:themeFillTint="66"/>
            <w:vAlign w:val="center"/>
          </w:tcPr>
          <w:p w14:paraId="568CAF5B" w14:textId="77777777" w:rsidR="00815A12" w:rsidRPr="000876AA" w:rsidRDefault="00815A12" w:rsidP="007B6EB5">
            <w:pPr>
              <w:jc w:val="center"/>
              <w:rPr>
                <w:rFonts w:ascii="Arial" w:hAnsi="Arial" w:cs="Arial"/>
                <w:iCs/>
                <w:sz w:val="18"/>
                <w:szCs w:val="18"/>
              </w:rPr>
            </w:pPr>
            <w:r w:rsidRPr="000876AA">
              <w:rPr>
                <w:rFonts w:ascii="Arial" w:hAnsi="Arial" w:cs="Arial"/>
                <w:iCs/>
                <w:sz w:val="18"/>
                <w:szCs w:val="18"/>
              </w:rPr>
              <w:t>No. Contrato</w:t>
            </w:r>
          </w:p>
        </w:tc>
        <w:tc>
          <w:tcPr>
            <w:tcW w:w="2977" w:type="dxa"/>
            <w:vMerge w:val="restart"/>
            <w:shd w:val="clear" w:color="auto" w:fill="B4C6E7" w:themeFill="accent1" w:themeFillTint="66"/>
            <w:vAlign w:val="center"/>
          </w:tcPr>
          <w:p w14:paraId="6E30142B" w14:textId="77777777" w:rsidR="00815A12" w:rsidRPr="000876AA" w:rsidRDefault="00815A12" w:rsidP="007B6EB5">
            <w:pPr>
              <w:jc w:val="center"/>
              <w:cnfStyle w:val="100000000000" w:firstRow="1"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iCs/>
                <w:sz w:val="18"/>
                <w:szCs w:val="18"/>
              </w:rPr>
              <w:t>Objeto</w:t>
            </w:r>
          </w:p>
        </w:tc>
        <w:tc>
          <w:tcPr>
            <w:tcW w:w="1701" w:type="dxa"/>
            <w:vMerge w:val="restart"/>
            <w:shd w:val="clear" w:color="auto" w:fill="B4C6E7" w:themeFill="accent1" w:themeFillTint="66"/>
            <w:vAlign w:val="center"/>
          </w:tcPr>
          <w:p w14:paraId="458294DB" w14:textId="77777777" w:rsidR="00815A12" w:rsidRPr="000876AA" w:rsidRDefault="00815A12" w:rsidP="007B6EB5">
            <w:pPr>
              <w:jc w:val="center"/>
              <w:cnfStyle w:val="100000000000" w:firstRow="1"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iCs/>
                <w:sz w:val="18"/>
                <w:szCs w:val="18"/>
              </w:rPr>
              <w:t>Contratista</w:t>
            </w:r>
          </w:p>
        </w:tc>
        <w:tc>
          <w:tcPr>
            <w:tcW w:w="4253" w:type="dxa"/>
            <w:gridSpan w:val="4"/>
            <w:shd w:val="clear" w:color="auto" w:fill="B4C6E7" w:themeFill="accent1" w:themeFillTint="66"/>
            <w:vAlign w:val="center"/>
          </w:tcPr>
          <w:p w14:paraId="3D956A4E" w14:textId="77777777" w:rsidR="00815A12" w:rsidRPr="000876AA" w:rsidRDefault="00815A12" w:rsidP="007B6EB5">
            <w:pPr>
              <w:jc w:val="center"/>
              <w:cnfStyle w:val="100000000000" w:firstRow="1"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iCs/>
                <w:sz w:val="18"/>
                <w:szCs w:val="18"/>
              </w:rPr>
              <w:t>Resultado Evaluación</w:t>
            </w:r>
          </w:p>
        </w:tc>
      </w:tr>
      <w:tr w:rsidR="00815A12" w:rsidRPr="000876AA" w14:paraId="7943B3C0" w14:textId="77777777" w:rsidTr="007B6EB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7" w:type="dxa"/>
            <w:vMerge/>
            <w:shd w:val="clear" w:color="auto" w:fill="B4C6E7" w:themeFill="accent1" w:themeFillTint="66"/>
            <w:vAlign w:val="center"/>
          </w:tcPr>
          <w:p w14:paraId="53CD3165" w14:textId="77777777" w:rsidR="00815A12" w:rsidRPr="000876AA" w:rsidRDefault="00815A12" w:rsidP="007B6EB5">
            <w:pPr>
              <w:jc w:val="center"/>
              <w:rPr>
                <w:rFonts w:ascii="Arial" w:hAnsi="Arial" w:cs="Arial"/>
                <w:iCs/>
                <w:sz w:val="18"/>
                <w:szCs w:val="18"/>
              </w:rPr>
            </w:pPr>
          </w:p>
        </w:tc>
        <w:tc>
          <w:tcPr>
            <w:tcW w:w="2977" w:type="dxa"/>
            <w:vMerge/>
            <w:shd w:val="clear" w:color="auto" w:fill="B4C6E7" w:themeFill="accent1" w:themeFillTint="66"/>
            <w:vAlign w:val="center"/>
          </w:tcPr>
          <w:p w14:paraId="01ECCACF" w14:textId="77777777" w:rsidR="00815A12" w:rsidRPr="000876AA" w:rsidRDefault="00815A12" w:rsidP="007B6EB5">
            <w:pPr>
              <w:jc w:val="center"/>
              <w:cnfStyle w:val="100000000000" w:firstRow="1" w:lastRow="0" w:firstColumn="0" w:lastColumn="0" w:oddVBand="0" w:evenVBand="0" w:oddHBand="0" w:evenHBand="0" w:firstRowFirstColumn="0" w:firstRowLastColumn="0" w:lastRowFirstColumn="0" w:lastRowLastColumn="0"/>
              <w:rPr>
                <w:rFonts w:ascii="Arial" w:hAnsi="Arial" w:cs="Arial"/>
                <w:iCs/>
                <w:sz w:val="18"/>
                <w:szCs w:val="18"/>
              </w:rPr>
            </w:pPr>
          </w:p>
        </w:tc>
        <w:tc>
          <w:tcPr>
            <w:tcW w:w="1701" w:type="dxa"/>
            <w:vMerge/>
            <w:shd w:val="clear" w:color="auto" w:fill="B4C6E7" w:themeFill="accent1" w:themeFillTint="66"/>
            <w:vAlign w:val="center"/>
          </w:tcPr>
          <w:p w14:paraId="742D15E0" w14:textId="77777777" w:rsidR="00815A12" w:rsidRPr="000876AA" w:rsidRDefault="00815A12" w:rsidP="007B6EB5">
            <w:pPr>
              <w:jc w:val="center"/>
              <w:cnfStyle w:val="100000000000" w:firstRow="1" w:lastRow="0" w:firstColumn="0" w:lastColumn="0" w:oddVBand="0" w:evenVBand="0" w:oddHBand="0" w:evenHBand="0" w:firstRowFirstColumn="0" w:firstRowLastColumn="0" w:lastRowFirstColumn="0" w:lastRowLastColumn="0"/>
              <w:rPr>
                <w:rFonts w:ascii="Arial" w:hAnsi="Arial" w:cs="Arial"/>
                <w:iCs/>
                <w:sz w:val="18"/>
                <w:szCs w:val="18"/>
              </w:rPr>
            </w:pPr>
          </w:p>
        </w:tc>
        <w:tc>
          <w:tcPr>
            <w:tcW w:w="1276" w:type="dxa"/>
            <w:shd w:val="clear" w:color="auto" w:fill="B4C6E7" w:themeFill="accent1" w:themeFillTint="66"/>
            <w:vAlign w:val="center"/>
          </w:tcPr>
          <w:p w14:paraId="00AD38CE" w14:textId="77777777" w:rsidR="00815A12" w:rsidRPr="000876AA" w:rsidRDefault="00815A12" w:rsidP="007B6EB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sz w:val="16"/>
                <w:szCs w:val="18"/>
              </w:rPr>
            </w:pPr>
            <w:r w:rsidRPr="000876AA">
              <w:rPr>
                <w:rFonts w:ascii="Arial" w:hAnsi="Arial" w:cs="Arial"/>
                <w:b w:val="0"/>
                <w:iCs/>
                <w:sz w:val="16"/>
                <w:szCs w:val="18"/>
              </w:rPr>
              <w:t>Cumplimiento y oportunidad</w:t>
            </w:r>
          </w:p>
        </w:tc>
        <w:tc>
          <w:tcPr>
            <w:tcW w:w="851" w:type="dxa"/>
            <w:shd w:val="clear" w:color="auto" w:fill="B4C6E7" w:themeFill="accent1" w:themeFillTint="66"/>
            <w:vAlign w:val="center"/>
          </w:tcPr>
          <w:p w14:paraId="1068D5C9" w14:textId="77777777" w:rsidR="00815A12" w:rsidRPr="000876AA" w:rsidRDefault="00815A12" w:rsidP="007B6EB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sz w:val="16"/>
                <w:szCs w:val="18"/>
              </w:rPr>
            </w:pPr>
            <w:r w:rsidRPr="000876AA">
              <w:rPr>
                <w:rFonts w:ascii="Arial" w:hAnsi="Arial" w:cs="Arial"/>
                <w:b w:val="0"/>
                <w:iCs/>
                <w:sz w:val="16"/>
                <w:szCs w:val="18"/>
              </w:rPr>
              <w:t>Calidad</w:t>
            </w:r>
          </w:p>
        </w:tc>
        <w:tc>
          <w:tcPr>
            <w:tcW w:w="992" w:type="dxa"/>
            <w:shd w:val="clear" w:color="auto" w:fill="B4C6E7" w:themeFill="accent1" w:themeFillTint="66"/>
            <w:vAlign w:val="center"/>
          </w:tcPr>
          <w:p w14:paraId="20DE342C" w14:textId="77777777" w:rsidR="00815A12" w:rsidRPr="000876AA" w:rsidRDefault="00815A12" w:rsidP="007B6EB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sz w:val="16"/>
                <w:szCs w:val="18"/>
              </w:rPr>
            </w:pPr>
            <w:r w:rsidRPr="000876AA">
              <w:rPr>
                <w:rFonts w:ascii="Arial" w:hAnsi="Arial" w:cs="Arial"/>
                <w:b w:val="0"/>
                <w:iCs/>
                <w:sz w:val="16"/>
                <w:szCs w:val="18"/>
              </w:rPr>
              <w:t>Ejecución del Contrato</w:t>
            </w:r>
          </w:p>
        </w:tc>
        <w:tc>
          <w:tcPr>
            <w:tcW w:w="1134" w:type="dxa"/>
            <w:shd w:val="clear" w:color="auto" w:fill="B4C6E7" w:themeFill="accent1" w:themeFillTint="66"/>
            <w:vAlign w:val="center"/>
          </w:tcPr>
          <w:p w14:paraId="07844B26" w14:textId="77777777" w:rsidR="00815A12" w:rsidRPr="000876AA" w:rsidRDefault="00815A12" w:rsidP="007B6EB5">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Cs/>
                <w:sz w:val="16"/>
                <w:szCs w:val="18"/>
              </w:rPr>
            </w:pPr>
            <w:r w:rsidRPr="000876AA">
              <w:rPr>
                <w:rFonts w:ascii="Arial" w:hAnsi="Arial" w:cs="Arial"/>
                <w:b w:val="0"/>
                <w:iCs/>
                <w:sz w:val="16"/>
                <w:szCs w:val="18"/>
              </w:rPr>
              <w:t>Evaluación Total</w:t>
            </w:r>
          </w:p>
        </w:tc>
      </w:tr>
      <w:tr w:rsidR="00815A12" w:rsidRPr="000876AA" w14:paraId="78C85330" w14:textId="77777777" w:rsidTr="007B6EB5">
        <w:tc>
          <w:tcPr>
            <w:cnfStyle w:val="001000000000" w:firstRow="0" w:lastRow="0" w:firstColumn="1" w:lastColumn="0" w:oddVBand="0" w:evenVBand="0" w:oddHBand="0" w:evenHBand="0" w:firstRowFirstColumn="0" w:firstRowLastColumn="0" w:lastRowFirstColumn="0" w:lastRowLastColumn="0"/>
            <w:tcW w:w="987" w:type="dxa"/>
            <w:vAlign w:val="center"/>
          </w:tcPr>
          <w:p w14:paraId="3553C520" w14:textId="77777777" w:rsidR="00815A12" w:rsidRPr="000876AA" w:rsidRDefault="00815A12" w:rsidP="007B6EB5">
            <w:pPr>
              <w:jc w:val="center"/>
              <w:rPr>
                <w:rFonts w:ascii="Arial" w:hAnsi="Arial" w:cs="Arial"/>
                <w:iCs/>
                <w:sz w:val="18"/>
                <w:szCs w:val="18"/>
              </w:rPr>
            </w:pPr>
            <w:r w:rsidRPr="000876AA">
              <w:rPr>
                <w:rFonts w:ascii="Arial" w:hAnsi="Arial" w:cs="Arial"/>
                <w:bCs w:val="0"/>
                <w:color w:val="000000"/>
                <w:sz w:val="18"/>
                <w:szCs w:val="18"/>
              </w:rPr>
              <w:t>087 de 2022</w:t>
            </w:r>
          </w:p>
        </w:tc>
        <w:tc>
          <w:tcPr>
            <w:tcW w:w="2977" w:type="dxa"/>
          </w:tcPr>
          <w:p w14:paraId="69BE1BF0" w14:textId="77777777" w:rsidR="00815A12" w:rsidRPr="000876AA" w:rsidRDefault="00815A12" w:rsidP="007B6EB5">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color w:val="000000"/>
                <w:sz w:val="18"/>
                <w:szCs w:val="18"/>
              </w:rPr>
              <w:t>Certificar auditores en modelos de gestión, sistemas de gestión de calidad, seguridad y salud en el trabajo, seguridad informática, norma antisoborno, estructuras de alto nivel, articuladas a la NTC 6256:2021 y GTC 286:2021.</w:t>
            </w:r>
          </w:p>
        </w:tc>
        <w:tc>
          <w:tcPr>
            <w:tcW w:w="1701" w:type="dxa"/>
            <w:vAlign w:val="center"/>
          </w:tcPr>
          <w:p w14:paraId="3D42B2AF" w14:textId="77777777" w:rsidR="00815A12" w:rsidRPr="000876AA" w:rsidRDefault="00815A12" w:rsidP="007B6EB5">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sz w:val="18"/>
                <w:szCs w:val="18"/>
              </w:rPr>
              <w:t>INSTITUTO COLOMBIANO DE NORMAS TÉCNICAS Y CERTIFICACIÓN ICONTEC</w:t>
            </w:r>
          </w:p>
        </w:tc>
        <w:tc>
          <w:tcPr>
            <w:tcW w:w="1276" w:type="dxa"/>
            <w:vAlign w:val="center"/>
          </w:tcPr>
          <w:p w14:paraId="42CDBE03" w14:textId="77777777" w:rsidR="00815A12" w:rsidRPr="000876AA" w:rsidRDefault="00815A12" w:rsidP="007B6EB5">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iCs/>
                <w:sz w:val="18"/>
                <w:szCs w:val="18"/>
              </w:rPr>
              <w:t>3.67</w:t>
            </w:r>
          </w:p>
        </w:tc>
        <w:tc>
          <w:tcPr>
            <w:tcW w:w="851" w:type="dxa"/>
            <w:vAlign w:val="center"/>
          </w:tcPr>
          <w:p w14:paraId="69FF5C25" w14:textId="77777777" w:rsidR="00815A12" w:rsidRPr="000876AA" w:rsidRDefault="00815A12" w:rsidP="007B6EB5">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iCs/>
                <w:sz w:val="18"/>
                <w:szCs w:val="18"/>
              </w:rPr>
              <w:t>4.00</w:t>
            </w:r>
          </w:p>
        </w:tc>
        <w:tc>
          <w:tcPr>
            <w:tcW w:w="992" w:type="dxa"/>
            <w:vAlign w:val="center"/>
          </w:tcPr>
          <w:p w14:paraId="047ED63B" w14:textId="77777777" w:rsidR="00815A12" w:rsidRPr="000876AA" w:rsidRDefault="00815A12" w:rsidP="007B6EB5">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iCs/>
                <w:sz w:val="18"/>
                <w:szCs w:val="18"/>
              </w:rPr>
              <w:t>3.57</w:t>
            </w:r>
          </w:p>
        </w:tc>
        <w:tc>
          <w:tcPr>
            <w:tcW w:w="1134" w:type="dxa"/>
            <w:vAlign w:val="center"/>
          </w:tcPr>
          <w:p w14:paraId="10ED404C" w14:textId="77777777" w:rsidR="00815A12" w:rsidRPr="000876AA" w:rsidRDefault="00815A12" w:rsidP="007B6EB5">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iCs/>
                <w:sz w:val="18"/>
                <w:szCs w:val="18"/>
              </w:rPr>
              <w:t>3.75</w:t>
            </w:r>
          </w:p>
        </w:tc>
      </w:tr>
      <w:tr w:rsidR="00815A12" w:rsidRPr="000876AA" w14:paraId="6174EC15" w14:textId="77777777" w:rsidTr="007B6EB5">
        <w:tc>
          <w:tcPr>
            <w:cnfStyle w:val="001000000000" w:firstRow="0" w:lastRow="0" w:firstColumn="1" w:lastColumn="0" w:oddVBand="0" w:evenVBand="0" w:oddHBand="0" w:evenHBand="0" w:firstRowFirstColumn="0" w:firstRowLastColumn="0" w:lastRowFirstColumn="0" w:lastRowLastColumn="0"/>
            <w:tcW w:w="987" w:type="dxa"/>
            <w:vAlign w:val="center"/>
          </w:tcPr>
          <w:p w14:paraId="382C3F64" w14:textId="77777777" w:rsidR="00815A12" w:rsidRPr="000876AA" w:rsidRDefault="00815A12" w:rsidP="007B6EB5">
            <w:pPr>
              <w:jc w:val="center"/>
              <w:rPr>
                <w:rFonts w:ascii="Arial" w:hAnsi="Arial" w:cs="Arial"/>
                <w:iCs/>
                <w:sz w:val="18"/>
                <w:szCs w:val="18"/>
              </w:rPr>
            </w:pPr>
            <w:r w:rsidRPr="000876AA">
              <w:rPr>
                <w:rFonts w:ascii="Arial" w:hAnsi="Arial" w:cs="Arial"/>
                <w:bCs w:val="0"/>
                <w:color w:val="000000"/>
                <w:sz w:val="18"/>
                <w:szCs w:val="18"/>
              </w:rPr>
              <w:t>110 de 2022</w:t>
            </w:r>
          </w:p>
        </w:tc>
        <w:tc>
          <w:tcPr>
            <w:tcW w:w="2977" w:type="dxa"/>
          </w:tcPr>
          <w:p w14:paraId="1488A8FC" w14:textId="77777777" w:rsidR="00815A12" w:rsidRPr="000876AA" w:rsidRDefault="00815A12" w:rsidP="007B6EB5">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color w:val="000000"/>
                <w:sz w:val="18"/>
                <w:szCs w:val="18"/>
              </w:rPr>
              <w:t>Realizar auditorías Externas en gestión de calidad y ambiental y norma y guía técnica de la Rama Judicial que den cumplimiento a los requisitos de normas NTC ISO 9001:2015, NTC ISO 14001: 2015, norma y guía técnica de la Rama Judicial NTC 6256:2021 y GTC 286:2021.</w:t>
            </w:r>
          </w:p>
        </w:tc>
        <w:tc>
          <w:tcPr>
            <w:tcW w:w="1701" w:type="dxa"/>
            <w:vAlign w:val="center"/>
          </w:tcPr>
          <w:p w14:paraId="59C7943A" w14:textId="77777777" w:rsidR="00815A12" w:rsidRPr="000876AA" w:rsidRDefault="00815A12" w:rsidP="007B6EB5">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sz w:val="18"/>
                <w:szCs w:val="18"/>
              </w:rPr>
              <w:t>INSTITUTO COLOMBIANO DE NORMAS TÉCNICAS Y CERTIFICACIÓN ICONTEC</w:t>
            </w:r>
          </w:p>
        </w:tc>
        <w:tc>
          <w:tcPr>
            <w:tcW w:w="1276" w:type="dxa"/>
            <w:vAlign w:val="center"/>
          </w:tcPr>
          <w:p w14:paraId="588E5640" w14:textId="77777777" w:rsidR="00815A12" w:rsidRPr="000876AA" w:rsidRDefault="00815A12" w:rsidP="007B6EB5">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iCs/>
                <w:sz w:val="18"/>
                <w:szCs w:val="18"/>
              </w:rPr>
              <w:t>5.00</w:t>
            </w:r>
          </w:p>
        </w:tc>
        <w:tc>
          <w:tcPr>
            <w:tcW w:w="851" w:type="dxa"/>
            <w:vAlign w:val="center"/>
          </w:tcPr>
          <w:p w14:paraId="678FC5A4" w14:textId="77777777" w:rsidR="00815A12" w:rsidRPr="000876AA" w:rsidRDefault="00815A12" w:rsidP="007B6EB5">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iCs/>
                <w:sz w:val="18"/>
                <w:szCs w:val="18"/>
              </w:rPr>
              <w:t>5.00</w:t>
            </w:r>
          </w:p>
        </w:tc>
        <w:tc>
          <w:tcPr>
            <w:tcW w:w="992" w:type="dxa"/>
            <w:vAlign w:val="center"/>
          </w:tcPr>
          <w:p w14:paraId="119E101A" w14:textId="77777777" w:rsidR="00815A12" w:rsidRPr="000876AA" w:rsidRDefault="00815A12" w:rsidP="007B6EB5">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iCs/>
                <w:sz w:val="18"/>
                <w:szCs w:val="18"/>
              </w:rPr>
              <w:t>4.00</w:t>
            </w:r>
          </w:p>
        </w:tc>
        <w:tc>
          <w:tcPr>
            <w:tcW w:w="1134" w:type="dxa"/>
            <w:vAlign w:val="center"/>
          </w:tcPr>
          <w:p w14:paraId="77DC8205" w14:textId="77777777" w:rsidR="00815A12" w:rsidRPr="000876AA" w:rsidRDefault="00815A12" w:rsidP="007B6EB5">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iCs/>
                <w:sz w:val="18"/>
                <w:szCs w:val="18"/>
              </w:rPr>
              <w:t>4.67</w:t>
            </w:r>
          </w:p>
        </w:tc>
      </w:tr>
      <w:tr w:rsidR="00815A12" w:rsidRPr="000876AA" w14:paraId="10769094" w14:textId="77777777" w:rsidTr="007B6EB5">
        <w:tc>
          <w:tcPr>
            <w:cnfStyle w:val="001000000000" w:firstRow="0" w:lastRow="0" w:firstColumn="1" w:lastColumn="0" w:oddVBand="0" w:evenVBand="0" w:oddHBand="0" w:evenHBand="0" w:firstRowFirstColumn="0" w:firstRowLastColumn="0" w:lastRowFirstColumn="0" w:lastRowLastColumn="0"/>
            <w:tcW w:w="987" w:type="dxa"/>
            <w:vAlign w:val="center"/>
          </w:tcPr>
          <w:p w14:paraId="5D91BB9E" w14:textId="77777777" w:rsidR="00815A12" w:rsidRPr="000876AA" w:rsidRDefault="00815A12" w:rsidP="007B6EB5">
            <w:pPr>
              <w:jc w:val="center"/>
              <w:rPr>
                <w:rFonts w:ascii="Arial" w:hAnsi="Arial" w:cs="Arial"/>
                <w:iCs/>
                <w:sz w:val="18"/>
                <w:szCs w:val="18"/>
              </w:rPr>
            </w:pPr>
            <w:r w:rsidRPr="000876AA">
              <w:rPr>
                <w:rFonts w:ascii="Arial" w:hAnsi="Arial" w:cs="Arial"/>
                <w:bCs w:val="0"/>
                <w:color w:val="000000"/>
                <w:sz w:val="18"/>
                <w:szCs w:val="18"/>
              </w:rPr>
              <w:t>134 de 2022</w:t>
            </w:r>
          </w:p>
        </w:tc>
        <w:tc>
          <w:tcPr>
            <w:tcW w:w="2977" w:type="dxa"/>
          </w:tcPr>
          <w:p w14:paraId="3AD77C02" w14:textId="77777777" w:rsidR="00815A12" w:rsidRPr="000876AA" w:rsidRDefault="00815A12" w:rsidP="007B6EB5">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color w:val="000000"/>
                <w:sz w:val="18"/>
                <w:szCs w:val="18"/>
              </w:rPr>
              <w:t xml:space="preserve">Realizar acompañamiento técnico en el proceso de implementación, </w:t>
            </w:r>
            <w:r w:rsidRPr="000876AA">
              <w:rPr>
                <w:rFonts w:ascii="Arial" w:hAnsi="Arial" w:cs="Arial"/>
                <w:color w:val="000000"/>
                <w:sz w:val="18"/>
                <w:szCs w:val="18"/>
              </w:rPr>
              <w:lastRenderedPageBreak/>
              <w:t xml:space="preserve">implantación, mantenimiento y mejora, de los Sistemas Integrados de Gestión de la Rama Judicial, con base en la NTC 6256:2021, Guía GTC 286:2021, NTC ISO  9001:2015; NTC  14001:2015 articuladas con el Modelo Integrado de Planeación y Gestión. </w:t>
            </w:r>
          </w:p>
        </w:tc>
        <w:tc>
          <w:tcPr>
            <w:tcW w:w="1701" w:type="dxa"/>
            <w:vAlign w:val="center"/>
          </w:tcPr>
          <w:p w14:paraId="77BD29DF" w14:textId="77777777" w:rsidR="00815A12" w:rsidRPr="000876AA" w:rsidRDefault="00815A12" w:rsidP="007B6EB5">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sz w:val="18"/>
                <w:szCs w:val="18"/>
              </w:rPr>
              <w:lastRenderedPageBreak/>
              <w:t>UNDERNET DE COLOMBIA SAS</w:t>
            </w:r>
          </w:p>
        </w:tc>
        <w:tc>
          <w:tcPr>
            <w:tcW w:w="1276" w:type="dxa"/>
            <w:vAlign w:val="center"/>
          </w:tcPr>
          <w:p w14:paraId="2EFC455A" w14:textId="77777777" w:rsidR="00815A12" w:rsidRPr="000876AA" w:rsidRDefault="00815A12" w:rsidP="007B6EB5">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iCs/>
                <w:sz w:val="18"/>
                <w:szCs w:val="18"/>
              </w:rPr>
              <w:t>5.00</w:t>
            </w:r>
          </w:p>
        </w:tc>
        <w:tc>
          <w:tcPr>
            <w:tcW w:w="851" w:type="dxa"/>
            <w:vAlign w:val="center"/>
          </w:tcPr>
          <w:p w14:paraId="1EFD528F" w14:textId="77777777" w:rsidR="00815A12" w:rsidRPr="000876AA" w:rsidRDefault="00815A12" w:rsidP="007B6EB5">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iCs/>
                <w:sz w:val="18"/>
                <w:szCs w:val="18"/>
              </w:rPr>
              <w:t>5.00</w:t>
            </w:r>
          </w:p>
        </w:tc>
        <w:tc>
          <w:tcPr>
            <w:tcW w:w="992" w:type="dxa"/>
            <w:vAlign w:val="center"/>
          </w:tcPr>
          <w:p w14:paraId="7754E8A6" w14:textId="77777777" w:rsidR="00815A12" w:rsidRPr="000876AA" w:rsidRDefault="00815A12" w:rsidP="007B6EB5">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iCs/>
                <w:sz w:val="18"/>
                <w:szCs w:val="18"/>
              </w:rPr>
              <w:t>4.83</w:t>
            </w:r>
          </w:p>
        </w:tc>
        <w:tc>
          <w:tcPr>
            <w:tcW w:w="1134" w:type="dxa"/>
            <w:vAlign w:val="center"/>
          </w:tcPr>
          <w:p w14:paraId="0F6E2B0F" w14:textId="77777777" w:rsidR="00815A12" w:rsidRPr="000876AA" w:rsidRDefault="00815A12" w:rsidP="007B6EB5">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iCs/>
                <w:sz w:val="18"/>
                <w:szCs w:val="18"/>
              </w:rPr>
              <w:t>4.94</w:t>
            </w:r>
          </w:p>
        </w:tc>
      </w:tr>
      <w:tr w:rsidR="00815A12" w:rsidRPr="000876AA" w14:paraId="0EE5AA52" w14:textId="77777777" w:rsidTr="007B6EB5">
        <w:tc>
          <w:tcPr>
            <w:cnfStyle w:val="001000000000" w:firstRow="0" w:lastRow="0" w:firstColumn="1" w:lastColumn="0" w:oddVBand="0" w:evenVBand="0" w:oddHBand="0" w:evenHBand="0" w:firstRowFirstColumn="0" w:firstRowLastColumn="0" w:lastRowFirstColumn="0" w:lastRowLastColumn="0"/>
            <w:tcW w:w="987" w:type="dxa"/>
            <w:vAlign w:val="center"/>
          </w:tcPr>
          <w:p w14:paraId="2F954519" w14:textId="77777777" w:rsidR="00815A12" w:rsidRPr="000876AA" w:rsidRDefault="00815A12" w:rsidP="007B6EB5">
            <w:pPr>
              <w:jc w:val="center"/>
              <w:rPr>
                <w:rFonts w:ascii="Arial" w:hAnsi="Arial" w:cs="Arial"/>
                <w:iCs/>
                <w:sz w:val="18"/>
                <w:szCs w:val="18"/>
              </w:rPr>
            </w:pPr>
            <w:r w:rsidRPr="000876AA">
              <w:rPr>
                <w:rFonts w:ascii="Arial" w:hAnsi="Arial" w:cs="Arial"/>
                <w:bCs w:val="0"/>
                <w:color w:val="000000"/>
                <w:sz w:val="18"/>
                <w:szCs w:val="18"/>
              </w:rPr>
              <w:t>194 de 2022</w:t>
            </w:r>
          </w:p>
        </w:tc>
        <w:tc>
          <w:tcPr>
            <w:tcW w:w="2977" w:type="dxa"/>
          </w:tcPr>
          <w:p w14:paraId="0C88A6ED" w14:textId="77777777" w:rsidR="00815A12" w:rsidRPr="000876AA" w:rsidRDefault="00815A12" w:rsidP="007B6EB5">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color w:val="000000"/>
                <w:sz w:val="18"/>
                <w:szCs w:val="18"/>
              </w:rPr>
              <w:t>Certificar auditores en el Sistema de Gestión de Seguridad y Salud en el Trabajo y la actualización del Decreto 1072 de 2005, articuladas a la NTC 6256:2021 y GTC 286:2021</w:t>
            </w:r>
          </w:p>
        </w:tc>
        <w:tc>
          <w:tcPr>
            <w:tcW w:w="1701" w:type="dxa"/>
            <w:vAlign w:val="center"/>
          </w:tcPr>
          <w:p w14:paraId="71789994" w14:textId="77777777" w:rsidR="00815A12" w:rsidRPr="000876AA" w:rsidRDefault="00815A12" w:rsidP="007B6EB5">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sz w:val="18"/>
                <w:szCs w:val="18"/>
              </w:rPr>
              <w:t>INSTITUTO COLOMBIANO DE NORMAS TÉCNICAS Y CERTIFICACIÓN ICONTEC</w:t>
            </w:r>
          </w:p>
        </w:tc>
        <w:tc>
          <w:tcPr>
            <w:tcW w:w="1276" w:type="dxa"/>
            <w:vAlign w:val="center"/>
          </w:tcPr>
          <w:p w14:paraId="3AA8A78B" w14:textId="77777777" w:rsidR="00815A12" w:rsidRPr="000876AA" w:rsidRDefault="00815A12" w:rsidP="007B6EB5">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iCs/>
                <w:sz w:val="18"/>
                <w:szCs w:val="18"/>
              </w:rPr>
              <w:t>4.33</w:t>
            </w:r>
          </w:p>
        </w:tc>
        <w:tc>
          <w:tcPr>
            <w:tcW w:w="851" w:type="dxa"/>
            <w:vAlign w:val="center"/>
          </w:tcPr>
          <w:p w14:paraId="7330652C" w14:textId="77777777" w:rsidR="00815A12" w:rsidRPr="000876AA" w:rsidRDefault="00815A12" w:rsidP="007B6EB5">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iCs/>
                <w:sz w:val="18"/>
                <w:szCs w:val="18"/>
              </w:rPr>
              <w:t>4.07</w:t>
            </w:r>
          </w:p>
        </w:tc>
        <w:tc>
          <w:tcPr>
            <w:tcW w:w="992" w:type="dxa"/>
            <w:vAlign w:val="center"/>
          </w:tcPr>
          <w:p w14:paraId="22A6357C" w14:textId="77777777" w:rsidR="00815A12" w:rsidRPr="000876AA" w:rsidRDefault="00815A12" w:rsidP="007B6EB5">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iCs/>
                <w:sz w:val="18"/>
                <w:szCs w:val="18"/>
              </w:rPr>
              <w:t>3.29</w:t>
            </w:r>
          </w:p>
        </w:tc>
        <w:tc>
          <w:tcPr>
            <w:tcW w:w="1134" w:type="dxa"/>
            <w:vAlign w:val="center"/>
          </w:tcPr>
          <w:p w14:paraId="5D5E8A1F" w14:textId="77777777" w:rsidR="00815A12" w:rsidRPr="000876AA" w:rsidRDefault="00815A12" w:rsidP="007B6EB5">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iCs/>
                <w:sz w:val="18"/>
                <w:szCs w:val="18"/>
              </w:rPr>
              <w:t>3.90</w:t>
            </w:r>
          </w:p>
        </w:tc>
      </w:tr>
      <w:tr w:rsidR="007B6EB5" w:rsidRPr="000876AA" w14:paraId="5755D8CC" w14:textId="77777777" w:rsidTr="007B6EB5">
        <w:tc>
          <w:tcPr>
            <w:cnfStyle w:val="001000000000" w:firstRow="0" w:lastRow="0" w:firstColumn="1" w:lastColumn="0" w:oddVBand="0" w:evenVBand="0" w:oddHBand="0" w:evenHBand="0" w:firstRowFirstColumn="0" w:firstRowLastColumn="0" w:lastRowFirstColumn="0" w:lastRowLastColumn="0"/>
            <w:tcW w:w="987" w:type="dxa"/>
            <w:vAlign w:val="center"/>
          </w:tcPr>
          <w:p w14:paraId="1BC3C436" w14:textId="77777777" w:rsidR="00815A12" w:rsidRPr="000876AA" w:rsidRDefault="00815A12" w:rsidP="007B6EB5">
            <w:pPr>
              <w:jc w:val="center"/>
              <w:rPr>
                <w:rFonts w:ascii="Arial" w:hAnsi="Arial" w:cs="Arial"/>
                <w:iCs/>
                <w:sz w:val="18"/>
                <w:szCs w:val="18"/>
              </w:rPr>
            </w:pPr>
            <w:r w:rsidRPr="000876AA">
              <w:rPr>
                <w:rFonts w:ascii="Arial" w:hAnsi="Arial" w:cs="Arial"/>
                <w:bCs w:val="0"/>
                <w:color w:val="000000"/>
                <w:sz w:val="18"/>
                <w:szCs w:val="18"/>
              </w:rPr>
              <w:t>198 de 2022</w:t>
            </w:r>
          </w:p>
        </w:tc>
        <w:tc>
          <w:tcPr>
            <w:tcW w:w="2977" w:type="dxa"/>
          </w:tcPr>
          <w:p w14:paraId="404B1CD7" w14:textId="77777777" w:rsidR="00815A12" w:rsidRPr="000876AA" w:rsidRDefault="00815A12" w:rsidP="007B6EB5">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color w:val="000000"/>
                <w:sz w:val="18"/>
                <w:szCs w:val="18"/>
              </w:rPr>
              <w:t>Diseño, elaboración e implementación de la Plataforma Estratégica del SGS&amp;ST y del Sistema de Gestión Antisoborno, con fundamento en las Estructuras de Alto Nivel, articulados a la NTC 6256:2021 y GTC 286:2021, con fundamento en el SIGCMA</w:t>
            </w:r>
          </w:p>
        </w:tc>
        <w:tc>
          <w:tcPr>
            <w:tcW w:w="1701" w:type="dxa"/>
            <w:vAlign w:val="center"/>
          </w:tcPr>
          <w:p w14:paraId="1C9E3A0D" w14:textId="77777777" w:rsidR="00815A12" w:rsidRPr="000876AA" w:rsidRDefault="00815A12" w:rsidP="007B6EB5">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sz w:val="18"/>
                <w:szCs w:val="18"/>
              </w:rPr>
              <w:t>UNDERNET DE COLOMBIA SAS</w:t>
            </w:r>
          </w:p>
        </w:tc>
        <w:tc>
          <w:tcPr>
            <w:tcW w:w="1276" w:type="dxa"/>
            <w:vAlign w:val="center"/>
          </w:tcPr>
          <w:p w14:paraId="7D25C54F" w14:textId="77777777" w:rsidR="00815A12" w:rsidRPr="000876AA" w:rsidRDefault="00815A12" w:rsidP="007B6EB5">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iCs/>
                <w:sz w:val="18"/>
                <w:szCs w:val="18"/>
              </w:rPr>
              <w:t>5.00</w:t>
            </w:r>
          </w:p>
        </w:tc>
        <w:tc>
          <w:tcPr>
            <w:tcW w:w="851" w:type="dxa"/>
            <w:vAlign w:val="center"/>
          </w:tcPr>
          <w:p w14:paraId="2D0F5792" w14:textId="77777777" w:rsidR="00815A12" w:rsidRPr="000876AA" w:rsidRDefault="00815A12" w:rsidP="007B6EB5">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iCs/>
                <w:sz w:val="18"/>
                <w:szCs w:val="18"/>
              </w:rPr>
              <w:t>5.00</w:t>
            </w:r>
          </w:p>
        </w:tc>
        <w:tc>
          <w:tcPr>
            <w:tcW w:w="992" w:type="dxa"/>
            <w:vAlign w:val="center"/>
          </w:tcPr>
          <w:p w14:paraId="409F36DC" w14:textId="77777777" w:rsidR="00815A12" w:rsidRPr="000876AA" w:rsidRDefault="00815A12" w:rsidP="007B6EB5">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iCs/>
                <w:sz w:val="18"/>
                <w:szCs w:val="18"/>
              </w:rPr>
              <w:t>4.83</w:t>
            </w:r>
          </w:p>
        </w:tc>
        <w:tc>
          <w:tcPr>
            <w:tcW w:w="1134" w:type="dxa"/>
            <w:vAlign w:val="center"/>
          </w:tcPr>
          <w:p w14:paraId="37085FF4" w14:textId="77777777" w:rsidR="00815A12" w:rsidRPr="000876AA" w:rsidRDefault="00815A12" w:rsidP="007B6EB5">
            <w:pPr>
              <w:jc w:val="center"/>
              <w:cnfStyle w:val="000000000000" w:firstRow="0" w:lastRow="0" w:firstColumn="0" w:lastColumn="0" w:oddVBand="0" w:evenVBand="0" w:oddHBand="0" w:evenHBand="0" w:firstRowFirstColumn="0" w:firstRowLastColumn="0" w:lastRowFirstColumn="0" w:lastRowLastColumn="0"/>
              <w:rPr>
                <w:rFonts w:ascii="Arial" w:hAnsi="Arial" w:cs="Arial"/>
                <w:iCs/>
                <w:sz w:val="18"/>
                <w:szCs w:val="18"/>
              </w:rPr>
            </w:pPr>
            <w:r w:rsidRPr="000876AA">
              <w:rPr>
                <w:rFonts w:ascii="Arial" w:hAnsi="Arial" w:cs="Arial"/>
                <w:iCs/>
                <w:sz w:val="18"/>
                <w:szCs w:val="18"/>
              </w:rPr>
              <w:t>4.94</w:t>
            </w:r>
          </w:p>
        </w:tc>
      </w:tr>
    </w:tbl>
    <w:p w14:paraId="136AFD0D" w14:textId="77777777" w:rsidR="00815A12" w:rsidRPr="000876AA" w:rsidRDefault="00815A12" w:rsidP="00815A12">
      <w:pPr>
        <w:jc w:val="both"/>
        <w:rPr>
          <w:rFonts w:ascii="Arial" w:hAnsi="Arial" w:cs="Arial"/>
          <w:iCs/>
          <w:sz w:val="18"/>
          <w:szCs w:val="18"/>
        </w:rPr>
      </w:pPr>
    </w:p>
    <w:p w14:paraId="1E366E53" w14:textId="68A901B2" w:rsidR="006A6138" w:rsidRPr="009D39C7" w:rsidRDefault="00815A12" w:rsidP="00815A12">
      <w:pPr>
        <w:jc w:val="both"/>
        <w:rPr>
          <w:rFonts w:ascii="Arial" w:hAnsi="Arial" w:cs="Arial"/>
          <w:iCs/>
          <w:sz w:val="20"/>
        </w:rPr>
      </w:pPr>
      <w:r w:rsidRPr="009D39C7">
        <w:rPr>
          <w:rFonts w:ascii="Arial" w:hAnsi="Arial" w:cs="Arial"/>
          <w:iCs/>
          <w:sz w:val="20"/>
        </w:rPr>
        <w:t>Los anteriores resultados demuestran que el desempeño de los proveedores externos para los contratos relacionados la implementación y el mantenimiento del SIGCMA en la vigencia 2022, estuvo en los niveles bueno y excelente.</w:t>
      </w:r>
    </w:p>
    <w:p w14:paraId="27DC8602" w14:textId="77777777" w:rsidR="00845C23" w:rsidRPr="000876AA" w:rsidRDefault="00845C23" w:rsidP="009236EA">
      <w:pPr>
        <w:tabs>
          <w:tab w:val="left" w:pos="6770"/>
        </w:tabs>
        <w:jc w:val="both"/>
        <w:rPr>
          <w:rFonts w:ascii="Arial" w:hAnsi="Arial" w:cs="Arial"/>
          <w:bCs/>
          <w:sz w:val="22"/>
          <w:szCs w:val="22"/>
        </w:rPr>
      </w:pPr>
    </w:p>
    <w:bookmarkEnd w:id="13"/>
    <w:p w14:paraId="5D140403" w14:textId="77777777" w:rsidR="009D6C25" w:rsidRPr="000876AA" w:rsidRDefault="009D6C25" w:rsidP="00AD15F9">
      <w:pPr>
        <w:numPr>
          <w:ilvl w:val="0"/>
          <w:numId w:val="31"/>
        </w:numPr>
        <w:jc w:val="both"/>
        <w:rPr>
          <w:rFonts w:ascii="Arial" w:eastAsia="Calibri" w:hAnsi="Arial" w:cs="Arial"/>
          <w:b/>
          <w:sz w:val="22"/>
          <w:szCs w:val="22"/>
        </w:rPr>
      </w:pPr>
      <w:r w:rsidRPr="000876AA">
        <w:rPr>
          <w:rFonts w:ascii="Arial" w:eastAsia="Calibri" w:hAnsi="Arial" w:cs="Arial"/>
          <w:b/>
          <w:sz w:val="22"/>
          <w:szCs w:val="22"/>
        </w:rPr>
        <w:t xml:space="preserve">LA </w:t>
      </w:r>
      <w:r w:rsidR="009236EA" w:rsidRPr="000876AA">
        <w:rPr>
          <w:rFonts w:ascii="Arial" w:eastAsia="Calibri" w:hAnsi="Arial" w:cs="Arial"/>
          <w:b/>
          <w:sz w:val="22"/>
          <w:szCs w:val="22"/>
        </w:rPr>
        <w:t>ADECUACIÓN</w:t>
      </w:r>
      <w:r w:rsidRPr="000876AA">
        <w:rPr>
          <w:rFonts w:ascii="Arial" w:eastAsia="Calibri" w:hAnsi="Arial" w:cs="Arial"/>
          <w:b/>
          <w:sz w:val="22"/>
          <w:szCs w:val="22"/>
        </w:rPr>
        <w:t xml:space="preserve"> DE LOS RECURSOS</w:t>
      </w:r>
    </w:p>
    <w:p w14:paraId="63EAD77B" w14:textId="134650F9" w:rsidR="009236EA" w:rsidRPr="000876AA" w:rsidRDefault="009236EA" w:rsidP="00263296">
      <w:pPr>
        <w:rPr>
          <w:rFonts w:ascii="Arial" w:hAnsi="Arial" w:cs="Arial"/>
          <w:iCs/>
          <w:sz w:val="18"/>
          <w:szCs w:val="18"/>
        </w:rPr>
      </w:pPr>
    </w:p>
    <w:p w14:paraId="2A2DBA2F" w14:textId="77777777" w:rsidR="00263296" w:rsidRPr="009D39C7" w:rsidRDefault="00263296" w:rsidP="00263296">
      <w:pPr>
        <w:rPr>
          <w:rFonts w:ascii="Arial" w:hAnsi="Arial" w:cs="Arial"/>
          <w:iCs/>
          <w:sz w:val="20"/>
          <w:u w:val="single"/>
        </w:rPr>
      </w:pPr>
      <w:r w:rsidRPr="009D39C7">
        <w:rPr>
          <w:rFonts w:ascii="Arial" w:hAnsi="Arial" w:cs="Arial"/>
          <w:iCs/>
          <w:sz w:val="20"/>
          <w:u w:val="single"/>
        </w:rPr>
        <w:t>IMPLEMENTACIÓN MANTENIMIENTO, EVALUACIÓN Y MEJORA DE LOS SISTEMAS DE GESTIÓN INTEGRADOS DE LA RAMA JUDICIAL A NIVEL NACIONAL</w:t>
      </w:r>
    </w:p>
    <w:p w14:paraId="1CF62673" w14:textId="77777777" w:rsidR="00263296" w:rsidRPr="009D39C7" w:rsidRDefault="00263296" w:rsidP="00263296">
      <w:pPr>
        <w:rPr>
          <w:rFonts w:ascii="Arial" w:hAnsi="Arial" w:cs="Arial"/>
          <w:iCs/>
          <w:sz w:val="20"/>
        </w:rPr>
      </w:pPr>
    </w:p>
    <w:p w14:paraId="0A9C014B" w14:textId="19901221" w:rsidR="00793D09" w:rsidRPr="009D39C7" w:rsidRDefault="00793D09" w:rsidP="00263296">
      <w:pPr>
        <w:jc w:val="both"/>
        <w:rPr>
          <w:rFonts w:ascii="Arial" w:hAnsi="Arial" w:cs="Arial"/>
          <w:iCs/>
          <w:sz w:val="20"/>
        </w:rPr>
      </w:pPr>
      <w:r w:rsidRPr="009D39C7">
        <w:rPr>
          <w:rFonts w:ascii="Arial" w:hAnsi="Arial" w:cs="Arial"/>
          <w:iCs/>
          <w:sz w:val="20"/>
        </w:rPr>
        <w:t xml:space="preserve">Los principales compromisos fueron formación y capacitación en gestión y normas ambientales y de calidad, realización de auditorías externas de calidad, y acompañamiento en la implementación de la norma técnica para la Rama Judicial, cuyo detalle se presentan en la siguiente gráfica:  </w:t>
      </w:r>
    </w:p>
    <w:p w14:paraId="47142905" w14:textId="77777777" w:rsidR="00793D09" w:rsidRPr="009D39C7" w:rsidRDefault="00793D09" w:rsidP="00793D09">
      <w:pPr>
        <w:rPr>
          <w:rFonts w:ascii="Arial" w:hAnsi="Arial" w:cs="Arial"/>
          <w:iCs/>
          <w:sz w:val="20"/>
        </w:rPr>
      </w:pPr>
    </w:p>
    <w:p w14:paraId="1DEA59DD" w14:textId="1030C6B3" w:rsidR="00793D09" w:rsidRPr="000876AA" w:rsidRDefault="00793D09" w:rsidP="00793D09">
      <w:pPr>
        <w:jc w:val="center"/>
        <w:rPr>
          <w:rFonts w:ascii="Arial" w:hAnsi="Arial" w:cs="Arial"/>
          <w:i/>
          <w:sz w:val="18"/>
          <w:szCs w:val="18"/>
        </w:rPr>
      </w:pPr>
      <w:bookmarkStart w:id="14" w:name="_Toc127962570"/>
      <w:r w:rsidRPr="000876AA">
        <w:rPr>
          <w:rFonts w:ascii="Arial" w:hAnsi="Arial" w:cs="Arial"/>
          <w:b/>
          <w:i/>
          <w:sz w:val="18"/>
          <w:szCs w:val="18"/>
        </w:rPr>
        <w:t xml:space="preserve">Gráfico </w:t>
      </w:r>
      <w:r w:rsidR="006203B8" w:rsidRPr="000876AA">
        <w:rPr>
          <w:rFonts w:ascii="Arial" w:hAnsi="Arial" w:cs="Arial"/>
          <w:b/>
          <w:i/>
          <w:sz w:val="18"/>
          <w:szCs w:val="18"/>
        </w:rPr>
        <w:t>4</w:t>
      </w:r>
      <w:r w:rsidRPr="000876AA">
        <w:rPr>
          <w:rFonts w:ascii="Arial" w:hAnsi="Arial" w:cs="Arial"/>
          <w:i/>
          <w:sz w:val="18"/>
          <w:szCs w:val="18"/>
        </w:rPr>
        <w:t>. Principales compromisos implementación mantenimiento, evaluación y mejora de los sistemas de gestión integrados de la Rama Judicial a nivel nacional</w:t>
      </w:r>
      <w:bookmarkEnd w:id="14"/>
    </w:p>
    <w:p w14:paraId="5612A16F" w14:textId="77777777" w:rsidR="00793D09" w:rsidRPr="000876AA" w:rsidRDefault="00793D09" w:rsidP="00793D09">
      <w:pPr>
        <w:jc w:val="center"/>
        <w:rPr>
          <w:rFonts w:ascii="Arial" w:hAnsi="Arial" w:cs="Arial"/>
          <w:iCs/>
          <w:sz w:val="18"/>
          <w:szCs w:val="18"/>
        </w:rPr>
      </w:pPr>
    </w:p>
    <w:p w14:paraId="42862EEE" w14:textId="77777777" w:rsidR="00793D09" w:rsidRPr="000876AA" w:rsidRDefault="00793D09" w:rsidP="00793D09">
      <w:pPr>
        <w:jc w:val="center"/>
        <w:rPr>
          <w:rFonts w:ascii="Arial" w:hAnsi="Arial" w:cs="Arial"/>
          <w:bCs/>
          <w:sz w:val="18"/>
          <w:szCs w:val="18"/>
        </w:rPr>
      </w:pPr>
      <w:r w:rsidRPr="000876AA">
        <w:rPr>
          <w:rFonts w:ascii="Arial" w:hAnsi="Arial" w:cs="Arial"/>
          <w:bCs/>
          <w:noProof/>
          <w:sz w:val="18"/>
          <w:szCs w:val="18"/>
          <w:lang w:val="es-ES"/>
        </w:rPr>
        <w:drawing>
          <wp:inline distT="0" distB="0" distL="0" distR="0" wp14:anchorId="4A3F0910" wp14:editId="6F4B7B82">
            <wp:extent cx="5173980" cy="2019300"/>
            <wp:effectExtent l="0" t="0" r="7620" b="0"/>
            <wp:docPr id="30" name="Gráfico 30">
              <a:extLst xmlns:a="http://schemas.openxmlformats.org/drawingml/2006/main">
                <a:ext uri="{FF2B5EF4-FFF2-40B4-BE49-F238E27FC236}">
                  <a16:creationId xmlns:a16="http://schemas.microsoft.com/office/drawing/2014/main" id="{BA74AC2F-0748-6033-22DB-F7074CFD4F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0C32A6B" w14:textId="77777777" w:rsidR="00793D09" w:rsidRPr="000876AA" w:rsidRDefault="00793D09" w:rsidP="00793D09">
      <w:pPr>
        <w:ind w:left="708" w:firstLine="708"/>
        <w:rPr>
          <w:rFonts w:ascii="Arial" w:hAnsi="Arial" w:cs="Arial"/>
          <w:iCs/>
          <w:sz w:val="16"/>
          <w:szCs w:val="16"/>
        </w:rPr>
      </w:pPr>
      <w:r w:rsidRPr="000876AA">
        <w:rPr>
          <w:rFonts w:ascii="Arial" w:hAnsi="Arial" w:cs="Arial"/>
          <w:iCs/>
          <w:sz w:val="16"/>
          <w:szCs w:val="16"/>
        </w:rPr>
        <w:t>Fuente: Unidad de Planeación</w:t>
      </w:r>
    </w:p>
    <w:p w14:paraId="142688A7" w14:textId="77777777" w:rsidR="006A6138" w:rsidRPr="000876AA" w:rsidRDefault="006A6138" w:rsidP="00F728EB">
      <w:pPr>
        <w:jc w:val="both"/>
        <w:rPr>
          <w:rFonts w:ascii="Arial" w:eastAsia="Calibri" w:hAnsi="Arial" w:cs="Arial"/>
          <w:b/>
          <w:sz w:val="22"/>
          <w:szCs w:val="22"/>
        </w:rPr>
      </w:pPr>
    </w:p>
    <w:p w14:paraId="592B2F78" w14:textId="77777777" w:rsidR="000E4C9E" w:rsidRPr="000876AA" w:rsidRDefault="000E4C9E" w:rsidP="00AD15F9">
      <w:pPr>
        <w:numPr>
          <w:ilvl w:val="0"/>
          <w:numId w:val="31"/>
        </w:numPr>
        <w:jc w:val="both"/>
        <w:rPr>
          <w:rFonts w:ascii="Arial" w:hAnsi="Arial" w:cs="Arial"/>
          <w:b/>
          <w:sz w:val="22"/>
          <w:szCs w:val="22"/>
        </w:rPr>
      </w:pPr>
      <w:r w:rsidRPr="000876AA">
        <w:rPr>
          <w:rFonts w:ascii="Arial" w:hAnsi="Arial" w:cs="Arial"/>
          <w:b/>
          <w:sz w:val="22"/>
          <w:szCs w:val="22"/>
        </w:rPr>
        <w:t xml:space="preserve">EFICACIA DE LAS ACCIONES PARA GESTIONAR LOS RIESGOS </w:t>
      </w:r>
      <w:r w:rsidR="004E1303" w:rsidRPr="000876AA">
        <w:rPr>
          <w:rFonts w:ascii="Arial" w:hAnsi="Arial" w:cs="Arial"/>
          <w:b/>
          <w:sz w:val="22"/>
          <w:szCs w:val="22"/>
        </w:rPr>
        <w:t>Y ABORDAR OPORTUNIDADES</w:t>
      </w:r>
    </w:p>
    <w:p w14:paraId="68C8F9BD" w14:textId="77777777" w:rsidR="00F728EB" w:rsidRPr="000876AA" w:rsidRDefault="00F728EB" w:rsidP="00F728EB">
      <w:pPr>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firstRow="1" w:lastRow="0" w:firstColumn="1" w:lastColumn="0" w:noHBand="0" w:noVBand="1"/>
      </w:tblPr>
      <w:tblGrid>
        <w:gridCol w:w="1154"/>
        <w:gridCol w:w="2537"/>
        <w:gridCol w:w="1688"/>
        <w:gridCol w:w="2395"/>
        <w:gridCol w:w="2190"/>
      </w:tblGrid>
      <w:tr w:rsidR="00804083" w:rsidRPr="000876AA" w14:paraId="02049461" w14:textId="77777777" w:rsidTr="00B136DB">
        <w:trPr>
          <w:trHeight w:val="20"/>
          <w:tblHeader/>
          <w:jc w:val="center"/>
        </w:trPr>
        <w:tc>
          <w:tcPr>
            <w:tcW w:w="579" w:type="pct"/>
            <w:tcBorders>
              <w:top w:val="single" w:sz="4" w:space="0" w:color="000000"/>
              <w:left w:val="single" w:sz="4" w:space="0" w:color="000000"/>
              <w:right w:val="single" w:sz="4" w:space="0" w:color="000000"/>
            </w:tcBorders>
            <w:shd w:val="clear" w:color="auto" w:fill="D9D9D9"/>
            <w:noWrap/>
            <w:vAlign w:val="center"/>
          </w:tcPr>
          <w:p w14:paraId="0121BE20" w14:textId="77777777" w:rsidR="003C795B" w:rsidRPr="000876AA" w:rsidRDefault="003C795B" w:rsidP="00F728EB">
            <w:pPr>
              <w:jc w:val="center"/>
              <w:rPr>
                <w:rFonts w:ascii="Arial" w:eastAsia="Calibri" w:hAnsi="Arial" w:cs="Arial"/>
                <w:sz w:val="18"/>
                <w:szCs w:val="18"/>
                <w:lang w:eastAsia="en-US"/>
              </w:rPr>
            </w:pPr>
            <w:r w:rsidRPr="000876AA">
              <w:rPr>
                <w:rFonts w:ascii="Arial" w:eastAsia="Calibri" w:hAnsi="Arial" w:cs="Arial"/>
                <w:b/>
                <w:bCs/>
                <w:sz w:val="18"/>
                <w:szCs w:val="18"/>
                <w:lang w:eastAsia="en-US"/>
              </w:rPr>
              <w:t>PROCESO</w:t>
            </w:r>
          </w:p>
        </w:tc>
        <w:tc>
          <w:tcPr>
            <w:tcW w:w="1273"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06878BC6" w14:textId="77777777" w:rsidR="003C795B" w:rsidRPr="000876AA" w:rsidRDefault="003C795B" w:rsidP="00F728EB">
            <w:pPr>
              <w:jc w:val="center"/>
              <w:rPr>
                <w:rFonts w:ascii="Arial" w:eastAsia="Calibri" w:hAnsi="Arial" w:cs="Arial"/>
                <w:b/>
                <w:bCs/>
                <w:sz w:val="18"/>
                <w:szCs w:val="18"/>
                <w:lang w:eastAsia="en-US"/>
              </w:rPr>
            </w:pPr>
            <w:r w:rsidRPr="000876AA">
              <w:rPr>
                <w:rFonts w:ascii="Arial" w:eastAsia="Calibri" w:hAnsi="Arial" w:cs="Arial"/>
                <w:b/>
                <w:bCs/>
                <w:sz w:val="18"/>
                <w:szCs w:val="18"/>
                <w:lang w:eastAsia="en-US"/>
              </w:rPr>
              <w:t>RIESGO Y/O OPORTUNIDAD MATERIALIZADOS</w:t>
            </w:r>
            <w:r w:rsidR="00463940" w:rsidRPr="000876AA">
              <w:rPr>
                <w:rFonts w:ascii="Arial" w:eastAsia="Calibri" w:hAnsi="Arial" w:cs="Arial"/>
                <w:b/>
                <w:bCs/>
                <w:sz w:val="18"/>
                <w:szCs w:val="18"/>
                <w:lang w:eastAsia="en-US"/>
              </w:rPr>
              <w:t xml:space="preserve"> O GESTIONADO</w:t>
            </w:r>
          </w:p>
        </w:tc>
        <w:tc>
          <w:tcPr>
            <w:tcW w:w="847"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1909DC9C" w14:textId="05233E8C" w:rsidR="003C795B" w:rsidRPr="000876AA" w:rsidRDefault="003C795B" w:rsidP="00F728EB">
            <w:pPr>
              <w:jc w:val="center"/>
              <w:rPr>
                <w:rFonts w:ascii="Arial" w:eastAsia="Calibri" w:hAnsi="Arial" w:cs="Arial"/>
                <w:b/>
                <w:bCs/>
                <w:sz w:val="18"/>
                <w:szCs w:val="18"/>
                <w:lang w:eastAsia="en-US"/>
              </w:rPr>
            </w:pPr>
            <w:r w:rsidRPr="000876AA">
              <w:rPr>
                <w:rFonts w:ascii="Arial" w:eastAsia="Calibri" w:hAnsi="Arial" w:cs="Arial"/>
                <w:b/>
                <w:bCs/>
                <w:sz w:val="18"/>
                <w:szCs w:val="18"/>
                <w:lang w:eastAsia="en-US"/>
              </w:rPr>
              <w:t>ACCIONES QUE SE</w:t>
            </w:r>
            <w:r w:rsidR="00D22648" w:rsidRPr="000876AA">
              <w:rPr>
                <w:rFonts w:ascii="Arial" w:eastAsia="Calibri" w:hAnsi="Arial" w:cs="Arial"/>
                <w:b/>
                <w:bCs/>
                <w:sz w:val="18"/>
                <w:szCs w:val="18"/>
                <w:lang w:eastAsia="en-US"/>
              </w:rPr>
              <w:t xml:space="preserve"> </w:t>
            </w:r>
            <w:r w:rsidRPr="000876AA">
              <w:rPr>
                <w:rFonts w:ascii="Arial" w:eastAsia="Calibri" w:hAnsi="Arial" w:cs="Arial"/>
                <w:b/>
                <w:bCs/>
                <w:sz w:val="18"/>
                <w:szCs w:val="18"/>
                <w:lang w:eastAsia="en-US"/>
              </w:rPr>
              <w:t>EJECUTARON</w:t>
            </w:r>
          </w:p>
        </w:tc>
        <w:tc>
          <w:tcPr>
            <w:tcW w:w="1202"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2A611C0E" w14:textId="77777777" w:rsidR="003C795B" w:rsidRPr="000876AA" w:rsidRDefault="003C795B" w:rsidP="001D2ECE">
            <w:pPr>
              <w:jc w:val="center"/>
              <w:rPr>
                <w:rFonts w:ascii="Arial" w:eastAsia="Calibri" w:hAnsi="Arial" w:cs="Arial"/>
                <w:b/>
                <w:bCs/>
                <w:sz w:val="18"/>
                <w:szCs w:val="18"/>
                <w:lang w:eastAsia="en-US"/>
              </w:rPr>
            </w:pPr>
            <w:r w:rsidRPr="000876AA">
              <w:rPr>
                <w:rFonts w:ascii="Arial" w:eastAsia="Calibri" w:hAnsi="Arial" w:cs="Arial"/>
                <w:b/>
                <w:bCs/>
                <w:sz w:val="18"/>
                <w:szCs w:val="18"/>
                <w:lang w:eastAsia="en-US"/>
              </w:rPr>
              <w:t xml:space="preserve">SE REQUIERE </w:t>
            </w:r>
            <w:r w:rsidR="002016AA" w:rsidRPr="000876AA">
              <w:rPr>
                <w:rFonts w:ascii="Arial" w:eastAsia="Calibri" w:hAnsi="Arial" w:cs="Arial"/>
                <w:b/>
                <w:bCs/>
                <w:sz w:val="18"/>
                <w:szCs w:val="18"/>
                <w:lang w:eastAsia="en-US"/>
              </w:rPr>
              <w:t>MODIFICAR EL</w:t>
            </w:r>
            <w:r w:rsidRPr="000876AA">
              <w:rPr>
                <w:rFonts w:ascii="Arial" w:eastAsia="Calibri" w:hAnsi="Arial" w:cs="Arial"/>
                <w:b/>
                <w:bCs/>
                <w:sz w:val="18"/>
                <w:szCs w:val="18"/>
                <w:lang w:eastAsia="en-US"/>
              </w:rPr>
              <w:t xml:space="preserve"> MAPA DE RIESGOS, PROBABILIDAD O IMPACTO, POR QUÉ</w:t>
            </w:r>
          </w:p>
        </w:tc>
        <w:tc>
          <w:tcPr>
            <w:tcW w:w="1099" w:type="pct"/>
            <w:tcBorders>
              <w:top w:val="single" w:sz="4" w:space="0" w:color="000000"/>
              <w:left w:val="single" w:sz="4" w:space="0" w:color="000000"/>
              <w:bottom w:val="single" w:sz="4" w:space="0" w:color="000000"/>
              <w:right w:val="single" w:sz="4" w:space="0" w:color="000000"/>
            </w:tcBorders>
            <w:shd w:val="clear" w:color="auto" w:fill="BFBFBF"/>
            <w:vAlign w:val="center"/>
          </w:tcPr>
          <w:p w14:paraId="6A7E1550" w14:textId="77777777" w:rsidR="003C795B" w:rsidRPr="000876AA" w:rsidRDefault="002016AA" w:rsidP="00F728EB">
            <w:pPr>
              <w:jc w:val="center"/>
              <w:rPr>
                <w:rFonts w:ascii="Arial" w:eastAsia="Calibri" w:hAnsi="Arial" w:cs="Arial"/>
                <w:b/>
                <w:bCs/>
                <w:sz w:val="18"/>
                <w:szCs w:val="18"/>
                <w:lang w:eastAsia="en-US"/>
              </w:rPr>
            </w:pPr>
            <w:r w:rsidRPr="000876AA">
              <w:rPr>
                <w:rFonts w:ascii="Arial" w:eastAsia="Calibri" w:hAnsi="Arial" w:cs="Arial"/>
                <w:b/>
                <w:bCs/>
                <w:sz w:val="18"/>
                <w:szCs w:val="18"/>
                <w:lang w:eastAsia="en-US"/>
              </w:rPr>
              <w:t>¿SE HAN IDENTIFICADO NUEVOS RIESGOS?</w:t>
            </w:r>
          </w:p>
        </w:tc>
      </w:tr>
      <w:tr w:rsidR="00804083" w:rsidRPr="000876AA" w14:paraId="0C3EE504" w14:textId="77777777" w:rsidTr="00B136DB">
        <w:trPr>
          <w:trHeight w:val="20"/>
          <w:jc w:val="center"/>
        </w:trPr>
        <w:tc>
          <w:tcPr>
            <w:tcW w:w="579" w:type="pct"/>
            <w:tcBorders>
              <w:left w:val="single" w:sz="4" w:space="0" w:color="000000"/>
              <w:right w:val="single" w:sz="4" w:space="0" w:color="000000"/>
            </w:tcBorders>
            <w:noWrap/>
            <w:vAlign w:val="center"/>
          </w:tcPr>
          <w:p w14:paraId="04BCF973" w14:textId="7DCA08EC" w:rsidR="003C795B" w:rsidRPr="000876AA" w:rsidRDefault="001B2130" w:rsidP="00055600">
            <w:pPr>
              <w:jc w:val="center"/>
              <w:rPr>
                <w:rFonts w:ascii="Arial" w:eastAsia="Calibri" w:hAnsi="Arial" w:cs="Arial"/>
                <w:sz w:val="18"/>
                <w:szCs w:val="18"/>
                <w:lang w:eastAsia="en-US"/>
              </w:rPr>
            </w:pPr>
            <w:r w:rsidRPr="000876AA">
              <w:rPr>
                <w:rFonts w:ascii="Arial" w:hAnsi="Arial" w:cs="Arial"/>
                <w:bCs/>
                <w:sz w:val="18"/>
                <w:szCs w:val="18"/>
              </w:rPr>
              <w:t xml:space="preserve">Gestión </w:t>
            </w:r>
            <w:r w:rsidR="00AF6374" w:rsidRPr="000876AA">
              <w:rPr>
                <w:rFonts w:ascii="Arial" w:hAnsi="Arial" w:cs="Arial"/>
                <w:bCs/>
                <w:sz w:val="18"/>
                <w:szCs w:val="18"/>
              </w:rPr>
              <w:t>Financiera y presupuestal</w:t>
            </w:r>
          </w:p>
        </w:tc>
        <w:tc>
          <w:tcPr>
            <w:tcW w:w="1273" w:type="pct"/>
            <w:tcBorders>
              <w:top w:val="single" w:sz="4" w:space="0" w:color="000000"/>
              <w:left w:val="single" w:sz="4" w:space="0" w:color="000000"/>
              <w:bottom w:val="single" w:sz="4" w:space="0" w:color="000000"/>
              <w:right w:val="single" w:sz="4" w:space="0" w:color="000000"/>
            </w:tcBorders>
            <w:vAlign w:val="center"/>
          </w:tcPr>
          <w:p w14:paraId="60BA6AB3" w14:textId="41B27602" w:rsidR="003C795B" w:rsidRPr="000876AA" w:rsidRDefault="00E4469B" w:rsidP="007D2962">
            <w:pPr>
              <w:jc w:val="both"/>
              <w:rPr>
                <w:rFonts w:ascii="Arial" w:eastAsia="Calibri" w:hAnsi="Arial" w:cs="Arial"/>
                <w:sz w:val="18"/>
                <w:szCs w:val="18"/>
                <w:lang w:eastAsia="en-US"/>
              </w:rPr>
            </w:pPr>
            <w:r w:rsidRPr="000876AA">
              <w:rPr>
                <w:rFonts w:ascii="Arial" w:eastAsia="Calibri" w:hAnsi="Arial" w:cs="Arial"/>
                <w:sz w:val="18"/>
                <w:szCs w:val="18"/>
                <w:lang w:eastAsia="en-US"/>
              </w:rPr>
              <w:t>N</w:t>
            </w:r>
            <w:r w:rsidR="00D64F36" w:rsidRPr="000876AA">
              <w:rPr>
                <w:rFonts w:ascii="Arial" w:eastAsia="Calibri" w:hAnsi="Arial" w:cs="Arial"/>
                <w:sz w:val="18"/>
                <w:szCs w:val="18"/>
                <w:lang w:eastAsia="en-US"/>
              </w:rPr>
              <w:t>o</w:t>
            </w:r>
            <w:r w:rsidRPr="000876AA">
              <w:rPr>
                <w:rFonts w:ascii="Arial" w:eastAsia="Calibri" w:hAnsi="Arial" w:cs="Arial"/>
                <w:sz w:val="18"/>
                <w:szCs w:val="18"/>
                <w:lang w:eastAsia="en-US"/>
              </w:rPr>
              <w:t xml:space="preserve"> se materializó ninguno de los riesgos</w:t>
            </w:r>
            <w:r w:rsidR="0026380D" w:rsidRPr="000876AA">
              <w:rPr>
                <w:rFonts w:ascii="Arial" w:eastAsia="Calibri" w:hAnsi="Arial" w:cs="Arial"/>
                <w:sz w:val="18"/>
                <w:szCs w:val="18"/>
                <w:lang w:eastAsia="en-US"/>
              </w:rPr>
              <w:t xml:space="preserve"> identificados en la vigencia</w:t>
            </w:r>
            <w:r w:rsidR="007D2962" w:rsidRPr="000876AA">
              <w:rPr>
                <w:rFonts w:ascii="Arial" w:eastAsia="Calibri" w:hAnsi="Arial" w:cs="Arial"/>
                <w:sz w:val="18"/>
                <w:szCs w:val="18"/>
                <w:lang w:eastAsia="en-US"/>
              </w:rPr>
              <w:t xml:space="preserve">, contenidos en </w:t>
            </w:r>
            <w:r w:rsidR="00AF6374" w:rsidRPr="000876AA">
              <w:rPr>
                <w:rFonts w:ascii="Arial" w:eastAsia="Calibri" w:hAnsi="Arial" w:cs="Arial"/>
                <w:sz w:val="18"/>
                <w:szCs w:val="18"/>
                <w:lang w:eastAsia="en-US"/>
              </w:rPr>
              <w:t xml:space="preserve">el </w:t>
            </w:r>
            <w:r w:rsidR="007D2962" w:rsidRPr="000876AA">
              <w:rPr>
                <w:rFonts w:ascii="Arial" w:eastAsia="Calibri" w:hAnsi="Arial" w:cs="Arial"/>
                <w:sz w:val="18"/>
                <w:szCs w:val="18"/>
                <w:lang w:eastAsia="en-US"/>
              </w:rPr>
              <w:t>mapa de riesgos del proceso</w:t>
            </w:r>
            <w:r w:rsidR="00055600" w:rsidRPr="000876AA">
              <w:rPr>
                <w:rFonts w:ascii="Arial" w:eastAsia="Calibri" w:hAnsi="Arial" w:cs="Arial"/>
                <w:sz w:val="18"/>
                <w:szCs w:val="18"/>
                <w:lang w:eastAsia="en-US"/>
              </w:rPr>
              <w:t>.</w:t>
            </w:r>
          </w:p>
        </w:tc>
        <w:tc>
          <w:tcPr>
            <w:tcW w:w="847" w:type="pct"/>
            <w:tcBorders>
              <w:top w:val="single" w:sz="4" w:space="0" w:color="000000"/>
              <w:left w:val="single" w:sz="4" w:space="0" w:color="000000"/>
              <w:bottom w:val="single" w:sz="4" w:space="0" w:color="000000"/>
              <w:right w:val="single" w:sz="4" w:space="0" w:color="000000"/>
            </w:tcBorders>
            <w:vAlign w:val="center"/>
          </w:tcPr>
          <w:p w14:paraId="6A9C2F28" w14:textId="2ABDBFF6" w:rsidR="003C795B" w:rsidRPr="000876AA" w:rsidRDefault="00AF6374" w:rsidP="00220D68">
            <w:pPr>
              <w:jc w:val="both"/>
              <w:rPr>
                <w:rFonts w:ascii="Arial" w:eastAsia="Calibri" w:hAnsi="Arial" w:cs="Arial"/>
                <w:sz w:val="18"/>
                <w:szCs w:val="18"/>
                <w:lang w:eastAsia="en-US"/>
              </w:rPr>
            </w:pPr>
            <w:r w:rsidRPr="000876AA">
              <w:rPr>
                <w:rFonts w:ascii="Arial" w:eastAsia="Calibri" w:hAnsi="Arial" w:cs="Arial"/>
                <w:sz w:val="18"/>
                <w:szCs w:val="18"/>
                <w:lang w:eastAsia="en-US"/>
              </w:rPr>
              <w:t>No se identificaron acciones correctivas o de mejora asociadas.</w:t>
            </w:r>
          </w:p>
        </w:tc>
        <w:tc>
          <w:tcPr>
            <w:tcW w:w="1202" w:type="pct"/>
            <w:tcBorders>
              <w:top w:val="single" w:sz="4" w:space="0" w:color="000000"/>
              <w:left w:val="single" w:sz="4" w:space="0" w:color="000000"/>
              <w:bottom w:val="single" w:sz="4" w:space="0" w:color="000000"/>
              <w:right w:val="single" w:sz="4" w:space="0" w:color="000000"/>
            </w:tcBorders>
            <w:vAlign w:val="center"/>
          </w:tcPr>
          <w:p w14:paraId="04C9EFCC" w14:textId="4064444A" w:rsidR="009C5C77" w:rsidRPr="000876AA" w:rsidRDefault="00C85088" w:rsidP="00617A1D">
            <w:pPr>
              <w:jc w:val="both"/>
              <w:rPr>
                <w:rFonts w:ascii="Arial" w:eastAsia="Calibri" w:hAnsi="Arial" w:cs="Arial"/>
                <w:sz w:val="18"/>
                <w:szCs w:val="18"/>
                <w:lang w:eastAsia="en-US"/>
              </w:rPr>
            </w:pPr>
            <w:r w:rsidRPr="000876AA">
              <w:rPr>
                <w:rFonts w:ascii="Arial" w:eastAsia="Calibri" w:hAnsi="Arial" w:cs="Arial"/>
                <w:sz w:val="18"/>
                <w:szCs w:val="18"/>
                <w:lang w:eastAsia="en-US"/>
              </w:rPr>
              <w:t>No</w:t>
            </w:r>
            <w:r w:rsidR="00945C0C" w:rsidRPr="000876AA">
              <w:rPr>
                <w:rFonts w:ascii="Arial" w:eastAsia="Calibri" w:hAnsi="Arial" w:cs="Arial"/>
                <w:sz w:val="18"/>
                <w:szCs w:val="18"/>
                <w:lang w:eastAsia="en-US"/>
              </w:rPr>
              <w:t xml:space="preserve"> se requiere modificar</w:t>
            </w:r>
            <w:r w:rsidR="008D765C" w:rsidRPr="000876AA">
              <w:rPr>
                <w:rFonts w:ascii="Arial" w:eastAsia="Calibri" w:hAnsi="Arial" w:cs="Arial"/>
                <w:sz w:val="18"/>
                <w:szCs w:val="18"/>
                <w:lang w:eastAsia="en-US"/>
              </w:rPr>
              <w:t>, ni la probabilidad, ni el impacto en la valoración de los riesgos inherentes al proceso.</w:t>
            </w:r>
          </w:p>
        </w:tc>
        <w:tc>
          <w:tcPr>
            <w:tcW w:w="1099" w:type="pct"/>
            <w:tcBorders>
              <w:top w:val="single" w:sz="4" w:space="0" w:color="000000"/>
              <w:left w:val="single" w:sz="4" w:space="0" w:color="000000"/>
              <w:bottom w:val="single" w:sz="4" w:space="0" w:color="000000"/>
              <w:right w:val="single" w:sz="4" w:space="0" w:color="000000"/>
            </w:tcBorders>
            <w:vAlign w:val="center"/>
          </w:tcPr>
          <w:p w14:paraId="5201058D" w14:textId="55756E3F" w:rsidR="00475E2F" w:rsidRPr="000876AA" w:rsidRDefault="00617A1D" w:rsidP="00220D68">
            <w:pPr>
              <w:jc w:val="both"/>
              <w:rPr>
                <w:rFonts w:ascii="Arial" w:eastAsia="Calibri" w:hAnsi="Arial" w:cs="Arial"/>
                <w:sz w:val="18"/>
                <w:szCs w:val="18"/>
                <w:lang w:eastAsia="en-US"/>
              </w:rPr>
            </w:pPr>
            <w:r w:rsidRPr="000876AA">
              <w:rPr>
                <w:rFonts w:ascii="Arial" w:eastAsia="Calibri" w:hAnsi="Arial" w:cs="Arial"/>
                <w:sz w:val="18"/>
                <w:szCs w:val="18"/>
                <w:lang w:eastAsia="en-US"/>
              </w:rPr>
              <w:t>No se identificaron nuevos riesgos.</w:t>
            </w:r>
          </w:p>
        </w:tc>
      </w:tr>
    </w:tbl>
    <w:p w14:paraId="04FA88A2" w14:textId="77777777" w:rsidR="000E4C9E" w:rsidRPr="000876AA" w:rsidRDefault="000E4C9E" w:rsidP="001D2ECE">
      <w:pPr>
        <w:tabs>
          <w:tab w:val="left" w:pos="6770"/>
        </w:tabs>
        <w:rPr>
          <w:rFonts w:ascii="Arial" w:hAnsi="Arial" w:cs="Arial"/>
          <w:sz w:val="22"/>
          <w:szCs w:val="22"/>
        </w:rPr>
      </w:pPr>
    </w:p>
    <w:p w14:paraId="1A5861A8" w14:textId="77777777" w:rsidR="000E4C9E" w:rsidRPr="000876AA" w:rsidRDefault="00E430B4" w:rsidP="004A7AE0">
      <w:pPr>
        <w:pStyle w:val="Prrafodelista"/>
        <w:numPr>
          <w:ilvl w:val="1"/>
          <w:numId w:val="10"/>
        </w:numPr>
        <w:spacing w:after="0" w:line="240" w:lineRule="auto"/>
        <w:contextualSpacing w:val="0"/>
        <w:jc w:val="both"/>
        <w:rPr>
          <w:rFonts w:ascii="Arial" w:hAnsi="Arial" w:cs="Arial"/>
        </w:rPr>
      </w:pPr>
      <w:r w:rsidRPr="000876AA">
        <w:rPr>
          <w:rFonts w:ascii="Arial" w:hAnsi="Arial" w:cs="Arial"/>
        </w:rPr>
        <w:t>¿LAS ACCIONES PARA ABORDAR LOS RIESGOS Y OPORTUNIDADES HAN SIDO EFICACES Y POR QUÉ?</w:t>
      </w:r>
    </w:p>
    <w:p w14:paraId="4BA7235A" w14:textId="7190FA13" w:rsidR="009F61AF" w:rsidRPr="000876AA" w:rsidRDefault="009F61AF" w:rsidP="00E430B4">
      <w:pPr>
        <w:pStyle w:val="Prrafodelista"/>
        <w:spacing w:after="0" w:line="240" w:lineRule="auto"/>
        <w:ind w:left="0"/>
        <w:contextualSpacing w:val="0"/>
        <w:jc w:val="both"/>
        <w:rPr>
          <w:rFonts w:ascii="Arial" w:eastAsia="Times New Roman" w:hAnsi="Arial" w:cs="Arial"/>
          <w:lang w:val="es-ES" w:eastAsia="es-ES"/>
        </w:rPr>
      </w:pPr>
    </w:p>
    <w:p w14:paraId="61D69992" w14:textId="16DE7ECB" w:rsidR="004A4D69" w:rsidRPr="000876AA" w:rsidRDefault="00DD0E88" w:rsidP="00E430B4">
      <w:pPr>
        <w:pStyle w:val="Prrafodelista"/>
        <w:spacing w:after="0" w:line="240" w:lineRule="auto"/>
        <w:ind w:left="0"/>
        <w:contextualSpacing w:val="0"/>
        <w:jc w:val="both"/>
        <w:rPr>
          <w:rFonts w:ascii="Arial" w:eastAsia="Times New Roman" w:hAnsi="Arial" w:cs="Arial"/>
          <w:lang w:val="es-ES" w:eastAsia="es-ES"/>
        </w:rPr>
      </w:pPr>
      <w:r w:rsidRPr="000876AA">
        <w:rPr>
          <w:rFonts w:ascii="Arial" w:eastAsia="Times New Roman" w:hAnsi="Arial" w:cs="Arial"/>
          <w:lang w:val="es-ES" w:eastAsia="es-ES"/>
        </w:rPr>
        <w:t xml:space="preserve">Se evidencia la eficacia de las acciones implementadas para abordar los riesgos y oportunidades identificados para el proceso, </w:t>
      </w:r>
      <w:r w:rsidR="00187245" w:rsidRPr="000876AA">
        <w:rPr>
          <w:rFonts w:ascii="Arial" w:eastAsia="Times New Roman" w:hAnsi="Arial" w:cs="Arial"/>
          <w:lang w:val="es-ES" w:eastAsia="es-ES"/>
        </w:rPr>
        <w:t>en virtud de</w:t>
      </w:r>
      <w:r w:rsidRPr="000876AA">
        <w:rPr>
          <w:rFonts w:ascii="Arial" w:eastAsia="Times New Roman" w:hAnsi="Arial" w:cs="Arial"/>
          <w:lang w:val="es-ES" w:eastAsia="es-ES"/>
        </w:rPr>
        <w:t xml:space="preserve"> la pertinencia de los controles que se aplican para el tratamiento de las causas que los originan.</w:t>
      </w:r>
    </w:p>
    <w:p w14:paraId="4C955C1A" w14:textId="77777777" w:rsidR="004A4D69" w:rsidRPr="000876AA" w:rsidRDefault="004A4D69" w:rsidP="00E430B4">
      <w:pPr>
        <w:pStyle w:val="Prrafodelista"/>
        <w:spacing w:after="0" w:line="240" w:lineRule="auto"/>
        <w:ind w:left="0"/>
        <w:contextualSpacing w:val="0"/>
        <w:jc w:val="both"/>
        <w:rPr>
          <w:rFonts w:ascii="Arial" w:eastAsia="Times New Roman" w:hAnsi="Arial" w:cs="Arial"/>
          <w:lang w:val="es-ES" w:eastAsia="es-ES"/>
        </w:rPr>
      </w:pPr>
    </w:p>
    <w:p w14:paraId="66040BCF" w14:textId="77777777" w:rsidR="00E430B4" w:rsidRPr="000876AA" w:rsidRDefault="00E430B4" w:rsidP="004A7AE0">
      <w:pPr>
        <w:pStyle w:val="Prrafodelista"/>
        <w:numPr>
          <w:ilvl w:val="1"/>
          <w:numId w:val="10"/>
        </w:numPr>
        <w:spacing w:after="0" w:line="240" w:lineRule="auto"/>
        <w:contextualSpacing w:val="0"/>
        <w:jc w:val="both"/>
        <w:rPr>
          <w:rFonts w:ascii="Arial" w:hAnsi="Arial" w:cs="Arial"/>
        </w:rPr>
      </w:pPr>
      <w:r w:rsidRPr="000876AA">
        <w:rPr>
          <w:rFonts w:ascii="Arial" w:hAnsi="Arial" w:cs="Arial"/>
        </w:rPr>
        <w:t>ANÁLISIS Y RESULTADOS DE LOS ASPECTOS AMBIENTALES CONFORME AL ACUERDO PSAA14-10160, NTC 6256:2018 Y GTC 286:2018 (Especifique el desarrollo ambiental, buenas prácticas y estrategias ambientales por sede)</w:t>
      </w:r>
    </w:p>
    <w:p w14:paraId="4445F56A" w14:textId="0E23D3F5" w:rsidR="00123DB1" w:rsidRPr="000876AA" w:rsidRDefault="00123DB1" w:rsidP="009F61AF">
      <w:pPr>
        <w:jc w:val="both"/>
        <w:rPr>
          <w:rFonts w:ascii="Arial" w:eastAsia="Calibri" w:hAnsi="Arial" w:cs="Arial"/>
          <w:sz w:val="22"/>
          <w:szCs w:val="22"/>
        </w:rPr>
      </w:pPr>
    </w:p>
    <w:p w14:paraId="7FF973FD" w14:textId="60207299" w:rsidR="00AF0341" w:rsidRPr="000876AA" w:rsidRDefault="00B00022" w:rsidP="00AF0341">
      <w:pPr>
        <w:jc w:val="both"/>
        <w:rPr>
          <w:rFonts w:ascii="Arial" w:eastAsia="Calibri" w:hAnsi="Arial" w:cs="Arial"/>
          <w:sz w:val="22"/>
          <w:szCs w:val="22"/>
        </w:rPr>
      </w:pPr>
      <w:r w:rsidRPr="000876AA">
        <w:rPr>
          <w:rFonts w:ascii="Arial" w:eastAsia="Calibri" w:hAnsi="Arial" w:cs="Arial"/>
          <w:sz w:val="22"/>
          <w:szCs w:val="22"/>
        </w:rPr>
        <w:t>La</w:t>
      </w:r>
      <w:r w:rsidR="00AF6374" w:rsidRPr="000876AA">
        <w:rPr>
          <w:rFonts w:ascii="Arial" w:eastAsia="Calibri" w:hAnsi="Arial" w:cs="Arial"/>
          <w:sz w:val="22"/>
          <w:szCs w:val="22"/>
        </w:rPr>
        <w:t>s</w:t>
      </w:r>
      <w:r w:rsidRPr="000876AA">
        <w:rPr>
          <w:rFonts w:ascii="Arial" w:eastAsia="Calibri" w:hAnsi="Arial" w:cs="Arial"/>
          <w:sz w:val="22"/>
          <w:szCs w:val="22"/>
        </w:rPr>
        <w:t xml:space="preserve"> Unidad</w:t>
      </w:r>
      <w:r w:rsidR="00AF6374" w:rsidRPr="000876AA">
        <w:rPr>
          <w:rFonts w:ascii="Arial" w:eastAsia="Calibri" w:hAnsi="Arial" w:cs="Arial"/>
          <w:sz w:val="22"/>
          <w:szCs w:val="22"/>
        </w:rPr>
        <w:t>es</w:t>
      </w:r>
      <w:r w:rsidRPr="000876AA">
        <w:rPr>
          <w:rFonts w:ascii="Arial" w:eastAsia="Calibri" w:hAnsi="Arial" w:cs="Arial"/>
          <w:sz w:val="22"/>
          <w:szCs w:val="22"/>
        </w:rPr>
        <w:t xml:space="preserve"> de </w:t>
      </w:r>
      <w:r w:rsidR="00AF6374" w:rsidRPr="000876AA">
        <w:rPr>
          <w:rFonts w:ascii="Arial" w:eastAsia="Calibri" w:hAnsi="Arial" w:cs="Arial"/>
          <w:sz w:val="22"/>
          <w:szCs w:val="22"/>
        </w:rPr>
        <w:t>Presupuesto y Planeación</w:t>
      </w:r>
      <w:r w:rsidR="000231B2" w:rsidRPr="000876AA">
        <w:rPr>
          <w:rFonts w:ascii="Arial" w:eastAsia="Calibri" w:hAnsi="Arial" w:cs="Arial"/>
          <w:sz w:val="22"/>
          <w:szCs w:val="22"/>
        </w:rPr>
        <w:t xml:space="preserve">, en la ejecución del </w:t>
      </w:r>
      <w:r w:rsidR="00AF0341" w:rsidRPr="000876AA">
        <w:rPr>
          <w:rFonts w:ascii="Arial" w:eastAsia="Calibri" w:hAnsi="Arial" w:cs="Arial"/>
          <w:sz w:val="22"/>
          <w:szCs w:val="22"/>
        </w:rPr>
        <w:t xml:space="preserve">proceso de Gestión </w:t>
      </w:r>
      <w:r w:rsidR="00AF6374" w:rsidRPr="000876AA">
        <w:rPr>
          <w:rFonts w:ascii="Arial" w:eastAsia="Calibri" w:hAnsi="Arial" w:cs="Arial"/>
          <w:sz w:val="22"/>
          <w:szCs w:val="22"/>
        </w:rPr>
        <w:t>Financiera y Presupuestal</w:t>
      </w:r>
      <w:r w:rsidR="00AF0341" w:rsidRPr="000876AA">
        <w:rPr>
          <w:rFonts w:ascii="Arial" w:eastAsia="Calibri" w:hAnsi="Arial" w:cs="Arial"/>
          <w:sz w:val="22"/>
          <w:szCs w:val="22"/>
        </w:rPr>
        <w:t>,</w:t>
      </w:r>
      <w:r w:rsidR="000231B2" w:rsidRPr="000876AA">
        <w:rPr>
          <w:rFonts w:ascii="Arial" w:eastAsia="Calibri" w:hAnsi="Arial" w:cs="Arial"/>
          <w:sz w:val="22"/>
          <w:szCs w:val="22"/>
        </w:rPr>
        <w:t xml:space="preserve"> viene dando cumplimento a </w:t>
      </w:r>
      <w:r w:rsidR="00AF0341" w:rsidRPr="000876AA">
        <w:rPr>
          <w:rFonts w:ascii="Arial" w:eastAsia="Calibri" w:hAnsi="Arial" w:cs="Arial"/>
          <w:sz w:val="22"/>
          <w:szCs w:val="22"/>
        </w:rPr>
        <w:t>los lineamientos y directrices del Plan de Gestión Ambiental de la Rama Judicial</w:t>
      </w:r>
      <w:r w:rsidR="00B059E7" w:rsidRPr="000876AA">
        <w:rPr>
          <w:rFonts w:ascii="Arial" w:eastAsia="Calibri" w:hAnsi="Arial" w:cs="Arial"/>
          <w:sz w:val="22"/>
          <w:szCs w:val="22"/>
        </w:rPr>
        <w:t xml:space="preserve">, adoptado mediante </w:t>
      </w:r>
      <w:r w:rsidR="00AF0341" w:rsidRPr="000876AA">
        <w:rPr>
          <w:rFonts w:ascii="Arial" w:eastAsia="Calibri" w:hAnsi="Arial" w:cs="Arial"/>
          <w:sz w:val="22"/>
          <w:szCs w:val="22"/>
        </w:rPr>
        <w:t>Acuerdo PSAA14-10160, implementa</w:t>
      </w:r>
      <w:r w:rsidR="00B059E7" w:rsidRPr="000876AA">
        <w:rPr>
          <w:rFonts w:ascii="Arial" w:eastAsia="Calibri" w:hAnsi="Arial" w:cs="Arial"/>
          <w:sz w:val="22"/>
          <w:szCs w:val="22"/>
        </w:rPr>
        <w:t xml:space="preserve">ndo </w:t>
      </w:r>
      <w:r w:rsidR="00AF0341" w:rsidRPr="000876AA">
        <w:rPr>
          <w:rFonts w:ascii="Arial" w:eastAsia="Calibri" w:hAnsi="Arial" w:cs="Arial"/>
          <w:sz w:val="22"/>
          <w:szCs w:val="22"/>
        </w:rPr>
        <w:t>en sus actividades</w:t>
      </w:r>
      <w:r w:rsidR="006C32F9" w:rsidRPr="000876AA">
        <w:rPr>
          <w:rFonts w:ascii="Arial" w:eastAsia="Calibri" w:hAnsi="Arial" w:cs="Arial"/>
          <w:sz w:val="22"/>
          <w:szCs w:val="22"/>
        </w:rPr>
        <w:t xml:space="preserve">: </w:t>
      </w:r>
      <w:r w:rsidR="00AF0341" w:rsidRPr="000876AA">
        <w:rPr>
          <w:rFonts w:ascii="Arial" w:eastAsia="Calibri" w:hAnsi="Arial" w:cs="Arial"/>
          <w:sz w:val="22"/>
          <w:szCs w:val="22"/>
        </w:rPr>
        <w:t>1</w:t>
      </w:r>
      <w:r w:rsidR="006C32F9" w:rsidRPr="000876AA">
        <w:rPr>
          <w:rFonts w:ascii="Arial" w:eastAsia="Calibri" w:hAnsi="Arial" w:cs="Arial"/>
          <w:sz w:val="22"/>
          <w:szCs w:val="22"/>
        </w:rPr>
        <w:t>)</w:t>
      </w:r>
      <w:r w:rsidR="00AF0341" w:rsidRPr="000876AA">
        <w:rPr>
          <w:rFonts w:ascii="Arial" w:eastAsia="Calibri" w:hAnsi="Arial" w:cs="Arial"/>
          <w:sz w:val="22"/>
          <w:szCs w:val="22"/>
        </w:rPr>
        <w:t xml:space="preserve"> Control del consumo de papel;</w:t>
      </w:r>
      <w:r w:rsidR="00BD183F" w:rsidRPr="000876AA">
        <w:rPr>
          <w:rFonts w:ascii="Arial" w:eastAsia="Calibri" w:hAnsi="Arial" w:cs="Arial"/>
          <w:sz w:val="22"/>
          <w:szCs w:val="22"/>
        </w:rPr>
        <w:t xml:space="preserve"> 2</w:t>
      </w:r>
      <w:r w:rsidR="006C32F9" w:rsidRPr="000876AA">
        <w:rPr>
          <w:rFonts w:ascii="Arial" w:eastAsia="Calibri" w:hAnsi="Arial" w:cs="Arial"/>
          <w:sz w:val="22"/>
          <w:szCs w:val="22"/>
        </w:rPr>
        <w:t xml:space="preserve">) </w:t>
      </w:r>
      <w:r w:rsidR="00AF0341" w:rsidRPr="000876AA">
        <w:rPr>
          <w:rFonts w:ascii="Arial" w:eastAsia="Calibri" w:hAnsi="Arial" w:cs="Arial"/>
          <w:sz w:val="22"/>
          <w:szCs w:val="22"/>
        </w:rPr>
        <w:t xml:space="preserve">Ahorro y uso eficiente del agua; </w:t>
      </w:r>
      <w:r w:rsidR="00BD183F" w:rsidRPr="000876AA">
        <w:rPr>
          <w:rFonts w:ascii="Arial" w:eastAsia="Calibri" w:hAnsi="Arial" w:cs="Arial"/>
          <w:sz w:val="22"/>
          <w:szCs w:val="22"/>
        </w:rPr>
        <w:t>3</w:t>
      </w:r>
      <w:r w:rsidR="006C32F9" w:rsidRPr="000876AA">
        <w:rPr>
          <w:rFonts w:ascii="Arial" w:eastAsia="Calibri" w:hAnsi="Arial" w:cs="Arial"/>
          <w:sz w:val="22"/>
          <w:szCs w:val="22"/>
        </w:rPr>
        <w:t xml:space="preserve">) </w:t>
      </w:r>
      <w:r w:rsidR="00AF0341" w:rsidRPr="000876AA">
        <w:rPr>
          <w:rFonts w:ascii="Arial" w:eastAsia="Calibri" w:hAnsi="Arial" w:cs="Arial"/>
          <w:sz w:val="22"/>
          <w:szCs w:val="22"/>
        </w:rPr>
        <w:t>Uso racional y eficiente de la energía</w:t>
      </w:r>
      <w:r w:rsidR="006C32F9" w:rsidRPr="000876AA">
        <w:rPr>
          <w:rFonts w:ascii="Arial" w:eastAsia="Calibri" w:hAnsi="Arial" w:cs="Arial"/>
          <w:sz w:val="22"/>
          <w:szCs w:val="22"/>
        </w:rPr>
        <w:t xml:space="preserve">; </w:t>
      </w:r>
      <w:r w:rsidR="00BD183F" w:rsidRPr="000876AA">
        <w:rPr>
          <w:rFonts w:ascii="Arial" w:eastAsia="Calibri" w:hAnsi="Arial" w:cs="Arial"/>
          <w:sz w:val="22"/>
          <w:szCs w:val="22"/>
        </w:rPr>
        <w:t>4</w:t>
      </w:r>
      <w:r w:rsidR="006C32F9" w:rsidRPr="000876AA">
        <w:rPr>
          <w:rFonts w:ascii="Arial" w:eastAsia="Calibri" w:hAnsi="Arial" w:cs="Arial"/>
          <w:sz w:val="22"/>
          <w:szCs w:val="22"/>
        </w:rPr>
        <w:t xml:space="preserve">) </w:t>
      </w:r>
      <w:r w:rsidR="00AF0341" w:rsidRPr="000876AA">
        <w:rPr>
          <w:rFonts w:ascii="Arial" w:eastAsia="Calibri" w:hAnsi="Arial" w:cs="Arial"/>
          <w:sz w:val="22"/>
          <w:szCs w:val="22"/>
        </w:rPr>
        <w:t>Gestión integral de residuos sólidos.</w:t>
      </w:r>
    </w:p>
    <w:p w14:paraId="76AEE69D" w14:textId="77777777" w:rsidR="006A6138" w:rsidRPr="000876AA" w:rsidRDefault="006A6138" w:rsidP="009F61AF">
      <w:pPr>
        <w:jc w:val="both"/>
        <w:rPr>
          <w:rFonts w:ascii="Arial" w:eastAsia="Calibri" w:hAnsi="Arial" w:cs="Arial"/>
          <w:sz w:val="22"/>
          <w:szCs w:val="22"/>
        </w:rPr>
      </w:pPr>
    </w:p>
    <w:p w14:paraId="4AE4CEF4" w14:textId="77777777" w:rsidR="00123DB1" w:rsidRPr="000876AA" w:rsidRDefault="00123DB1" w:rsidP="00AD15F9">
      <w:pPr>
        <w:numPr>
          <w:ilvl w:val="0"/>
          <w:numId w:val="31"/>
        </w:numPr>
        <w:jc w:val="both"/>
        <w:rPr>
          <w:rFonts w:ascii="Arial" w:hAnsi="Arial" w:cs="Arial"/>
          <w:b/>
          <w:color w:val="000000"/>
          <w:sz w:val="22"/>
          <w:szCs w:val="22"/>
        </w:rPr>
      </w:pPr>
      <w:r w:rsidRPr="000876AA">
        <w:rPr>
          <w:rFonts w:ascii="Arial" w:hAnsi="Arial" w:cs="Arial"/>
          <w:b/>
          <w:color w:val="000000"/>
          <w:sz w:val="22"/>
          <w:szCs w:val="22"/>
        </w:rPr>
        <w:t>ACCIONES DE GESTIÓN</w:t>
      </w:r>
      <w:r w:rsidR="009F61AF" w:rsidRPr="000876AA">
        <w:rPr>
          <w:rFonts w:ascii="Arial" w:hAnsi="Arial" w:cs="Arial"/>
          <w:b/>
          <w:color w:val="000000"/>
          <w:sz w:val="22"/>
          <w:szCs w:val="22"/>
        </w:rPr>
        <w:t xml:space="preserve"> </w:t>
      </w:r>
      <w:r w:rsidRPr="000876AA">
        <w:rPr>
          <w:rFonts w:ascii="Arial" w:hAnsi="Arial" w:cs="Arial"/>
          <w:b/>
          <w:color w:val="000000"/>
          <w:sz w:val="22"/>
          <w:szCs w:val="22"/>
        </w:rPr>
        <w:t>(</w:t>
      </w:r>
      <w:r w:rsidR="009D6C25" w:rsidRPr="000876AA">
        <w:rPr>
          <w:rFonts w:ascii="Arial" w:hAnsi="Arial" w:cs="Arial"/>
          <w:b/>
          <w:color w:val="000000"/>
          <w:sz w:val="22"/>
          <w:szCs w:val="22"/>
        </w:rPr>
        <w:t>Acciones de Mejora y Correctivas)</w:t>
      </w:r>
    </w:p>
    <w:p w14:paraId="46E4529D" w14:textId="77777777" w:rsidR="00123DB1" w:rsidRPr="000876AA" w:rsidRDefault="00123DB1" w:rsidP="009F61AF">
      <w:pPr>
        <w:tabs>
          <w:tab w:val="center" w:pos="4536"/>
        </w:tabs>
        <w:jc w:val="both"/>
        <w:rPr>
          <w:rFonts w:ascii="Arial" w:hAnsi="Arial" w:cs="Arial"/>
          <w:b/>
          <w:color w:val="000000"/>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107"/>
        <w:gridCol w:w="759"/>
        <w:gridCol w:w="849"/>
        <w:gridCol w:w="1382"/>
        <w:gridCol w:w="760"/>
        <w:gridCol w:w="850"/>
        <w:gridCol w:w="1382"/>
        <w:gridCol w:w="2875"/>
      </w:tblGrid>
      <w:tr w:rsidR="00D91AB4" w:rsidRPr="000876AA" w14:paraId="1D4B3A3D" w14:textId="77777777" w:rsidTr="004A7509">
        <w:trPr>
          <w:trHeight w:val="20"/>
          <w:tblHeader/>
          <w:jc w:val="center"/>
        </w:trPr>
        <w:tc>
          <w:tcPr>
            <w:tcW w:w="453" w:type="pct"/>
            <w:vMerge w:val="restart"/>
            <w:tcBorders>
              <w:top w:val="single" w:sz="4" w:space="0" w:color="000000"/>
              <w:left w:val="single" w:sz="4" w:space="0" w:color="000000"/>
              <w:right w:val="single" w:sz="4" w:space="0" w:color="000000"/>
            </w:tcBorders>
            <w:shd w:val="clear" w:color="auto" w:fill="EDEDED"/>
            <w:vAlign w:val="center"/>
          </w:tcPr>
          <w:p w14:paraId="4042210F" w14:textId="77777777" w:rsidR="00D91AB4" w:rsidRPr="000876AA" w:rsidRDefault="00D91AB4" w:rsidP="00AF23AC">
            <w:pPr>
              <w:tabs>
                <w:tab w:val="center" w:pos="4536"/>
              </w:tabs>
              <w:jc w:val="center"/>
              <w:rPr>
                <w:rFonts w:ascii="Arial" w:eastAsia="Calibri" w:hAnsi="Arial" w:cs="Arial"/>
                <w:b/>
                <w:sz w:val="16"/>
                <w:szCs w:val="16"/>
              </w:rPr>
            </w:pPr>
            <w:bookmarkStart w:id="15" w:name="_Hlk57697804"/>
            <w:r w:rsidRPr="000876AA">
              <w:rPr>
                <w:rFonts w:ascii="Arial" w:eastAsia="Calibri" w:hAnsi="Arial" w:cs="Arial"/>
                <w:b/>
                <w:sz w:val="16"/>
                <w:szCs w:val="16"/>
              </w:rPr>
              <w:t>PROCESO</w:t>
            </w:r>
          </w:p>
        </w:tc>
        <w:tc>
          <w:tcPr>
            <w:tcW w:w="1545" w:type="pct"/>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43FB15FD" w14:textId="77777777" w:rsidR="00D91AB4" w:rsidRPr="000876AA" w:rsidRDefault="00D91AB4" w:rsidP="001D2ECE">
            <w:pPr>
              <w:tabs>
                <w:tab w:val="center" w:pos="4536"/>
              </w:tabs>
              <w:jc w:val="center"/>
              <w:rPr>
                <w:rFonts w:ascii="Arial" w:eastAsia="Calibri" w:hAnsi="Arial" w:cs="Arial"/>
                <w:b/>
                <w:sz w:val="16"/>
                <w:szCs w:val="16"/>
              </w:rPr>
            </w:pPr>
            <w:r w:rsidRPr="000876AA">
              <w:rPr>
                <w:rFonts w:ascii="Arial" w:eastAsia="Calibri" w:hAnsi="Arial" w:cs="Arial"/>
                <w:b/>
                <w:sz w:val="16"/>
                <w:szCs w:val="16"/>
              </w:rPr>
              <w:t>TOTAL, DE ACCIONES DE MEJORA DOCUMENTADAS (ACUMULADAS EN EL PERÍODO)</w:t>
            </w:r>
          </w:p>
        </w:tc>
        <w:tc>
          <w:tcPr>
            <w:tcW w:w="1545" w:type="pct"/>
            <w:gridSpan w:val="3"/>
            <w:tcBorders>
              <w:top w:val="single" w:sz="4" w:space="0" w:color="000000"/>
              <w:left w:val="single" w:sz="4" w:space="0" w:color="000000"/>
              <w:bottom w:val="single" w:sz="4" w:space="0" w:color="000000"/>
              <w:right w:val="single" w:sz="4" w:space="0" w:color="000000"/>
            </w:tcBorders>
            <w:shd w:val="clear" w:color="auto" w:fill="EDEDED"/>
            <w:vAlign w:val="center"/>
          </w:tcPr>
          <w:p w14:paraId="12876713" w14:textId="77777777" w:rsidR="00D91AB4" w:rsidRPr="000876AA" w:rsidRDefault="00D91AB4" w:rsidP="001D2ECE">
            <w:pPr>
              <w:tabs>
                <w:tab w:val="center" w:pos="4536"/>
              </w:tabs>
              <w:jc w:val="center"/>
              <w:rPr>
                <w:rFonts w:ascii="Arial" w:eastAsia="Calibri" w:hAnsi="Arial" w:cs="Arial"/>
                <w:b/>
                <w:sz w:val="16"/>
                <w:szCs w:val="16"/>
              </w:rPr>
            </w:pPr>
            <w:r w:rsidRPr="000876AA">
              <w:rPr>
                <w:rFonts w:ascii="Arial" w:eastAsia="Calibri" w:hAnsi="Arial" w:cs="Arial"/>
                <w:b/>
                <w:sz w:val="16"/>
                <w:szCs w:val="16"/>
              </w:rPr>
              <w:t xml:space="preserve">TOTAL, DE ACCIONES CORRECTIVAS DOCUMENTADAS (ACUMULADAS EN EL PERÍODO) </w:t>
            </w:r>
          </w:p>
        </w:tc>
        <w:tc>
          <w:tcPr>
            <w:tcW w:w="1457" w:type="pct"/>
            <w:vMerge w:val="restart"/>
            <w:tcBorders>
              <w:top w:val="single" w:sz="4" w:space="0" w:color="000000"/>
              <w:left w:val="single" w:sz="4" w:space="0" w:color="000000"/>
              <w:right w:val="single" w:sz="4" w:space="0" w:color="000000"/>
            </w:tcBorders>
            <w:shd w:val="clear" w:color="auto" w:fill="EDEDED"/>
            <w:vAlign w:val="center"/>
          </w:tcPr>
          <w:p w14:paraId="6F8A0769" w14:textId="1F5F10EF" w:rsidR="00D91AB4" w:rsidRPr="000876AA" w:rsidRDefault="00D91AB4" w:rsidP="003B5927">
            <w:pPr>
              <w:tabs>
                <w:tab w:val="center" w:pos="4536"/>
              </w:tabs>
              <w:jc w:val="center"/>
              <w:rPr>
                <w:rFonts w:ascii="Arial" w:eastAsia="Calibri" w:hAnsi="Arial" w:cs="Arial"/>
                <w:b/>
                <w:sz w:val="16"/>
                <w:szCs w:val="16"/>
              </w:rPr>
            </w:pPr>
            <w:r w:rsidRPr="000876AA">
              <w:rPr>
                <w:rFonts w:ascii="Arial" w:eastAsia="Calibri" w:hAnsi="Arial" w:cs="Arial"/>
                <w:b/>
                <w:sz w:val="16"/>
                <w:szCs w:val="16"/>
              </w:rPr>
              <w:t>ANÁLISIS</w:t>
            </w:r>
          </w:p>
        </w:tc>
      </w:tr>
      <w:tr w:rsidR="00D91AB4" w:rsidRPr="000876AA" w14:paraId="5E993615" w14:textId="77777777" w:rsidTr="004A7509">
        <w:trPr>
          <w:trHeight w:val="20"/>
          <w:tblHeader/>
          <w:jc w:val="center"/>
        </w:trPr>
        <w:tc>
          <w:tcPr>
            <w:tcW w:w="453" w:type="pct"/>
            <w:vMerge/>
            <w:tcBorders>
              <w:left w:val="single" w:sz="4" w:space="0" w:color="000000"/>
              <w:bottom w:val="single" w:sz="4" w:space="0" w:color="000000"/>
              <w:right w:val="single" w:sz="4" w:space="0" w:color="000000"/>
            </w:tcBorders>
            <w:shd w:val="clear" w:color="auto" w:fill="EDEDED"/>
            <w:vAlign w:val="center"/>
          </w:tcPr>
          <w:p w14:paraId="6A05E9A2" w14:textId="77777777" w:rsidR="00D91AB4" w:rsidRPr="000876AA" w:rsidRDefault="00D91AB4" w:rsidP="00AF23AC">
            <w:pPr>
              <w:tabs>
                <w:tab w:val="center" w:pos="4536"/>
              </w:tabs>
              <w:jc w:val="center"/>
              <w:rPr>
                <w:rFonts w:ascii="Arial" w:eastAsia="Calibri" w:hAnsi="Arial" w:cs="Arial"/>
                <w:b/>
                <w:sz w:val="16"/>
                <w:szCs w:val="16"/>
              </w:rPr>
            </w:pP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FE0E3E2" w14:textId="77777777" w:rsidR="00D91AB4" w:rsidRPr="000876AA" w:rsidRDefault="00D91AB4" w:rsidP="001D2ECE">
            <w:pPr>
              <w:tabs>
                <w:tab w:val="center" w:pos="4536"/>
              </w:tabs>
              <w:jc w:val="center"/>
              <w:rPr>
                <w:rFonts w:ascii="Arial" w:eastAsia="Calibri" w:hAnsi="Arial" w:cs="Arial"/>
                <w:bCs/>
                <w:sz w:val="14"/>
                <w:szCs w:val="14"/>
              </w:rPr>
            </w:pPr>
            <w:r w:rsidRPr="000876AA">
              <w:rPr>
                <w:rFonts w:ascii="Arial" w:eastAsia="Calibri" w:hAnsi="Arial" w:cs="Arial"/>
                <w:bCs/>
                <w:sz w:val="14"/>
                <w:szCs w:val="14"/>
              </w:rPr>
              <w:t xml:space="preserve">No. ABIERTAS </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19354DA" w14:textId="77777777" w:rsidR="00D91AB4" w:rsidRPr="000876AA" w:rsidRDefault="00D91AB4" w:rsidP="001D2ECE">
            <w:pPr>
              <w:tabs>
                <w:tab w:val="center" w:pos="4536"/>
              </w:tabs>
              <w:jc w:val="center"/>
              <w:rPr>
                <w:rFonts w:ascii="Arial" w:eastAsia="Calibri" w:hAnsi="Arial" w:cs="Arial"/>
                <w:bCs/>
                <w:sz w:val="14"/>
                <w:szCs w:val="14"/>
              </w:rPr>
            </w:pPr>
            <w:r w:rsidRPr="000876AA">
              <w:rPr>
                <w:rFonts w:ascii="Arial" w:eastAsia="Calibri" w:hAnsi="Arial" w:cs="Arial"/>
                <w:bCs/>
                <w:sz w:val="14"/>
                <w:szCs w:val="14"/>
              </w:rPr>
              <w:t>No. CERRADAS</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C2B23DC" w14:textId="77777777" w:rsidR="00D91AB4" w:rsidRPr="000876AA" w:rsidRDefault="00D91AB4" w:rsidP="001D2ECE">
            <w:pPr>
              <w:tabs>
                <w:tab w:val="center" w:pos="4536"/>
              </w:tabs>
              <w:jc w:val="center"/>
              <w:rPr>
                <w:rFonts w:ascii="Arial" w:eastAsia="Calibri" w:hAnsi="Arial" w:cs="Arial"/>
                <w:bCs/>
                <w:sz w:val="14"/>
                <w:szCs w:val="14"/>
              </w:rPr>
            </w:pPr>
            <w:r w:rsidRPr="000876AA">
              <w:rPr>
                <w:rFonts w:ascii="Arial" w:eastAsia="Calibri" w:hAnsi="Arial" w:cs="Arial"/>
                <w:bCs/>
                <w:sz w:val="14"/>
                <w:szCs w:val="14"/>
              </w:rPr>
              <w:t>No. CERRADAS OPORTUNAMENTE</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E0B81B7" w14:textId="77777777" w:rsidR="00D91AB4" w:rsidRPr="000876AA" w:rsidRDefault="00D91AB4" w:rsidP="001D2ECE">
            <w:pPr>
              <w:tabs>
                <w:tab w:val="center" w:pos="4536"/>
              </w:tabs>
              <w:jc w:val="center"/>
              <w:rPr>
                <w:rFonts w:ascii="Arial" w:eastAsia="Calibri" w:hAnsi="Arial" w:cs="Arial"/>
                <w:bCs/>
                <w:sz w:val="14"/>
                <w:szCs w:val="14"/>
              </w:rPr>
            </w:pPr>
            <w:r w:rsidRPr="000876AA">
              <w:rPr>
                <w:rFonts w:ascii="Arial" w:eastAsia="Calibri" w:hAnsi="Arial" w:cs="Arial"/>
                <w:bCs/>
                <w:sz w:val="14"/>
                <w:szCs w:val="14"/>
              </w:rPr>
              <w:t>No. ABIERTAS</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A7C3EAA" w14:textId="77777777" w:rsidR="00D91AB4" w:rsidRPr="000876AA" w:rsidRDefault="00D91AB4" w:rsidP="001D2ECE">
            <w:pPr>
              <w:tabs>
                <w:tab w:val="center" w:pos="4536"/>
              </w:tabs>
              <w:jc w:val="center"/>
              <w:rPr>
                <w:rFonts w:ascii="Arial" w:eastAsia="Calibri" w:hAnsi="Arial" w:cs="Arial"/>
                <w:bCs/>
                <w:sz w:val="14"/>
                <w:szCs w:val="14"/>
              </w:rPr>
            </w:pPr>
            <w:r w:rsidRPr="000876AA">
              <w:rPr>
                <w:rFonts w:ascii="Arial" w:eastAsia="Calibri" w:hAnsi="Arial" w:cs="Arial"/>
                <w:bCs/>
                <w:sz w:val="14"/>
                <w:szCs w:val="14"/>
              </w:rPr>
              <w:t>No. CERRADAS</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B7D0343" w14:textId="77777777" w:rsidR="00D91AB4" w:rsidRPr="000876AA" w:rsidRDefault="00D91AB4" w:rsidP="001D2ECE">
            <w:pPr>
              <w:tabs>
                <w:tab w:val="center" w:pos="4536"/>
              </w:tabs>
              <w:jc w:val="center"/>
              <w:rPr>
                <w:rFonts w:ascii="Arial" w:eastAsia="Calibri" w:hAnsi="Arial" w:cs="Arial"/>
                <w:bCs/>
                <w:sz w:val="14"/>
                <w:szCs w:val="14"/>
              </w:rPr>
            </w:pPr>
            <w:r w:rsidRPr="000876AA">
              <w:rPr>
                <w:rFonts w:ascii="Arial" w:eastAsia="Calibri" w:hAnsi="Arial" w:cs="Arial"/>
                <w:bCs/>
                <w:sz w:val="14"/>
                <w:szCs w:val="14"/>
              </w:rPr>
              <w:t>No. CERRADAS OPORTUNAMENTE</w:t>
            </w:r>
          </w:p>
        </w:tc>
        <w:tc>
          <w:tcPr>
            <w:tcW w:w="1457" w:type="pct"/>
            <w:vMerge/>
            <w:tcBorders>
              <w:left w:val="single" w:sz="4" w:space="0" w:color="000000"/>
              <w:bottom w:val="single" w:sz="4" w:space="0" w:color="000000"/>
              <w:right w:val="single" w:sz="4" w:space="0" w:color="000000"/>
            </w:tcBorders>
            <w:shd w:val="clear" w:color="auto" w:fill="FFFFFF"/>
            <w:vAlign w:val="center"/>
          </w:tcPr>
          <w:p w14:paraId="55F2CC6C" w14:textId="77777777" w:rsidR="00D91AB4" w:rsidRPr="000876AA" w:rsidRDefault="00D91AB4" w:rsidP="001D2ECE">
            <w:pPr>
              <w:tabs>
                <w:tab w:val="center" w:pos="4536"/>
              </w:tabs>
              <w:jc w:val="center"/>
              <w:rPr>
                <w:rFonts w:ascii="Arial" w:eastAsia="Calibri" w:hAnsi="Arial" w:cs="Arial"/>
                <w:b/>
                <w:sz w:val="16"/>
                <w:szCs w:val="16"/>
              </w:rPr>
            </w:pPr>
          </w:p>
        </w:tc>
      </w:tr>
      <w:tr w:rsidR="003B5927" w:rsidRPr="000876AA" w14:paraId="024649C8" w14:textId="77777777" w:rsidTr="004A7509">
        <w:trPr>
          <w:trHeight w:val="20"/>
          <w:jc w:val="center"/>
        </w:trPr>
        <w:tc>
          <w:tcPr>
            <w:tcW w:w="453" w:type="pct"/>
            <w:tcBorders>
              <w:left w:val="single" w:sz="4" w:space="0" w:color="000000"/>
              <w:bottom w:val="single" w:sz="4" w:space="0" w:color="000000"/>
              <w:right w:val="single" w:sz="4" w:space="0" w:color="000000"/>
            </w:tcBorders>
            <w:shd w:val="clear" w:color="auto" w:fill="EDEDED"/>
            <w:vAlign w:val="center"/>
          </w:tcPr>
          <w:p w14:paraId="36BC9E38" w14:textId="3F453D72" w:rsidR="00123DB1" w:rsidRPr="000876AA" w:rsidRDefault="00464F1B" w:rsidP="00AF23AC">
            <w:pPr>
              <w:tabs>
                <w:tab w:val="center" w:pos="4536"/>
              </w:tabs>
              <w:jc w:val="center"/>
              <w:rPr>
                <w:rFonts w:ascii="Arial" w:eastAsia="Calibri" w:hAnsi="Arial" w:cs="Arial"/>
                <w:sz w:val="18"/>
                <w:szCs w:val="18"/>
              </w:rPr>
            </w:pPr>
            <w:r w:rsidRPr="000876AA">
              <w:rPr>
                <w:rFonts w:ascii="Arial" w:hAnsi="Arial" w:cs="Arial"/>
                <w:bCs/>
                <w:sz w:val="18"/>
                <w:szCs w:val="18"/>
              </w:rPr>
              <w:t xml:space="preserve">Gestión </w:t>
            </w:r>
            <w:r w:rsidR="00B877B3" w:rsidRPr="000876AA">
              <w:rPr>
                <w:rFonts w:ascii="Arial" w:hAnsi="Arial" w:cs="Arial"/>
                <w:bCs/>
                <w:sz w:val="18"/>
                <w:szCs w:val="18"/>
              </w:rPr>
              <w:t>Financiera y Presupuestal</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D0E94F8" w14:textId="403F565F" w:rsidR="00123DB1" w:rsidRPr="000876AA" w:rsidRDefault="00B877B3" w:rsidP="001D2ECE">
            <w:pPr>
              <w:tabs>
                <w:tab w:val="center" w:pos="4536"/>
              </w:tabs>
              <w:jc w:val="center"/>
              <w:rPr>
                <w:rFonts w:ascii="Arial" w:eastAsia="Calibri" w:hAnsi="Arial" w:cs="Arial"/>
                <w:color w:val="000000"/>
                <w:sz w:val="18"/>
                <w:szCs w:val="18"/>
              </w:rPr>
            </w:pPr>
            <w:r w:rsidRPr="000876AA">
              <w:rPr>
                <w:rFonts w:ascii="Arial" w:eastAsia="Calibri" w:hAnsi="Arial" w:cs="Arial"/>
                <w:color w:val="000000"/>
                <w:sz w:val="18"/>
                <w:szCs w:val="18"/>
              </w:rPr>
              <w:t>1</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3375EB00" w14:textId="28C4CC9A" w:rsidR="00123DB1" w:rsidRPr="000876AA" w:rsidRDefault="004A7509" w:rsidP="001D2ECE">
            <w:pPr>
              <w:tabs>
                <w:tab w:val="center" w:pos="4536"/>
              </w:tabs>
              <w:jc w:val="center"/>
              <w:rPr>
                <w:rFonts w:ascii="Arial" w:eastAsia="Calibri" w:hAnsi="Arial" w:cs="Arial"/>
                <w:color w:val="000000"/>
                <w:sz w:val="18"/>
                <w:szCs w:val="18"/>
              </w:rPr>
            </w:pPr>
            <w:r w:rsidRPr="000876AA">
              <w:rPr>
                <w:rFonts w:ascii="Arial" w:eastAsia="Calibri" w:hAnsi="Arial" w:cs="Arial"/>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DC5310C" w14:textId="4B3EAFF2" w:rsidR="00123DB1" w:rsidRPr="000876AA" w:rsidRDefault="004A7509" w:rsidP="001D2ECE">
            <w:pPr>
              <w:tabs>
                <w:tab w:val="center" w:pos="4536"/>
              </w:tabs>
              <w:jc w:val="center"/>
              <w:rPr>
                <w:rFonts w:ascii="Arial" w:eastAsia="Calibri" w:hAnsi="Arial" w:cs="Arial"/>
                <w:color w:val="000000"/>
                <w:sz w:val="18"/>
                <w:szCs w:val="18"/>
              </w:rPr>
            </w:pPr>
            <w:r w:rsidRPr="000876AA">
              <w:rPr>
                <w:rFonts w:ascii="Arial" w:eastAsia="Calibri" w:hAnsi="Arial" w:cs="Arial"/>
                <w:color w:val="000000"/>
                <w:sz w:val="18"/>
                <w:szCs w:val="18"/>
              </w:rPr>
              <w:t>0</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0F76F3B" w14:textId="7D4ACFD3" w:rsidR="00123DB1" w:rsidRPr="000876AA" w:rsidRDefault="00464F1B" w:rsidP="001D2ECE">
            <w:pPr>
              <w:tabs>
                <w:tab w:val="center" w:pos="4536"/>
              </w:tabs>
              <w:jc w:val="center"/>
              <w:rPr>
                <w:rFonts w:ascii="Arial" w:eastAsia="Calibri" w:hAnsi="Arial" w:cs="Arial"/>
                <w:color w:val="000000"/>
                <w:sz w:val="18"/>
                <w:szCs w:val="18"/>
              </w:rPr>
            </w:pPr>
            <w:r w:rsidRPr="000876AA">
              <w:rPr>
                <w:rFonts w:ascii="Arial" w:eastAsia="Calibri" w:hAnsi="Arial" w:cs="Arial"/>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72E40E" w14:textId="3A13CA83" w:rsidR="00123DB1" w:rsidRPr="000876AA" w:rsidRDefault="00464F1B" w:rsidP="001D2ECE">
            <w:pPr>
              <w:tabs>
                <w:tab w:val="center" w:pos="4536"/>
              </w:tabs>
              <w:jc w:val="center"/>
              <w:rPr>
                <w:rFonts w:ascii="Arial" w:eastAsia="Calibri" w:hAnsi="Arial" w:cs="Arial"/>
                <w:color w:val="000000"/>
                <w:sz w:val="18"/>
                <w:szCs w:val="18"/>
              </w:rPr>
            </w:pPr>
            <w:r w:rsidRPr="000876AA">
              <w:rPr>
                <w:rFonts w:ascii="Arial" w:eastAsia="Calibri" w:hAnsi="Arial" w:cs="Arial"/>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5A3BAB7" w14:textId="6D6B94ED" w:rsidR="00123DB1" w:rsidRPr="000876AA" w:rsidRDefault="000E1ACE" w:rsidP="00464F1B">
            <w:pPr>
              <w:jc w:val="center"/>
              <w:rPr>
                <w:rFonts w:ascii="Arial" w:eastAsia="Calibri" w:hAnsi="Arial" w:cs="Arial"/>
                <w:sz w:val="18"/>
                <w:szCs w:val="18"/>
              </w:rPr>
            </w:pPr>
            <w:r w:rsidRPr="000876AA">
              <w:rPr>
                <w:rFonts w:ascii="Arial" w:eastAsia="Calibri" w:hAnsi="Arial" w:cs="Arial"/>
                <w:sz w:val="18"/>
                <w:szCs w:val="18"/>
              </w:rPr>
              <w:t>0</w:t>
            </w:r>
          </w:p>
        </w:tc>
        <w:tc>
          <w:tcPr>
            <w:tcW w:w="1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53EB8D9" w14:textId="5C44DAE4" w:rsidR="003B5927" w:rsidRPr="000876AA" w:rsidRDefault="00B877B3" w:rsidP="001D2ECE">
            <w:pPr>
              <w:tabs>
                <w:tab w:val="center" w:pos="4536"/>
              </w:tabs>
              <w:jc w:val="both"/>
              <w:rPr>
                <w:rFonts w:ascii="Arial" w:eastAsia="Calibri" w:hAnsi="Arial" w:cs="Arial"/>
                <w:color w:val="000000"/>
                <w:sz w:val="18"/>
                <w:szCs w:val="18"/>
              </w:rPr>
            </w:pPr>
            <w:r w:rsidRPr="000876AA">
              <w:rPr>
                <w:rFonts w:ascii="Arial" w:eastAsia="Calibri" w:hAnsi="Arial" w:cs="Arial"/>
                <w:color w:val="000000"/>
                <w:sz w:val="18"/>
                <w:szCs w:val="18"/>
              </w:rPr>
              <w:t>La acción de mejora No. 1 de 2022 abierta, está relaciona con la creación del proceso de planeación funcional y evaluación.</w:t>
            </w:r>
          </w:p>
        </w:tc>
      </w:tr>
      <w:tr w:rsidR="004A7509" w:rsidRPr="000876AA" w14:paraId="40A515E5" w14:textId="77777777" w:rsidTr="004A7509">
        <w:trPr>
          <w:trHeight w:val="20"/>
          <w:jc w:val="center"/>
        </w:trPr>
        <w:tc>
          <w:tcPr>
            <w:tcW w:w="453" w:type="pct"/>
            <w:tcBorders>
              <w:left w:val="single" w:sz="4" w:space="0" w:color="000000"/>
              <w:bottom w:val="single" w:sz="4" w:space="0" w:color="000000"/>
              <w:right w:val="single" w:sz="4" w:space="0" w:color="000000"/>
            </w:tcBorders>
            <w:shd w:val="clear" w:color="auto" w:fill="EDEDED"/>
            <w:vAlign w:val="center"/>
          </w:tcPr>
          <w:p w14:paraId="6E35E788" w14:textId="77777777" w:rsidR="004A7509" w:rsidRPr="000876AA" w:rsidRDefault="004A7509" w:rsidP="004A7509">
            <w:pPr>
              <w:tabs>
                <w:tab w:val="center" w:pos="4536"/>
              </w:tabs>
              <w:jc w:val="center"/>
              <w:rPr>
                <w:rFonts w:ascii="Arial" w:eastAsia="Calibri" w:hAnsi="Arial" w:cs="Arial"/>
                <w:b/>
                <w:sz w:val="18"/>
                <w:szCs w:val="18"/>
              </w:rPr>
            </w:pPr>
            <w:r w:rsidRPr="000876AA">
              <w:rPr>
                <w:rFonts w:ascii="Arial" w:eastAsia="Calibri" w:hAnsi="Arial" w:cs="Arial"/>
                <w:b/>
                <w:sz w:val="18"/>
                <w:szCs w:val="18"/>
              </w:rPr>
              <w:t>TOTAL</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5004DE2" w14:textId="55CA253F" w:rsidR="004A7509" w:rsidRPr="000876AA" w:rsidRDefault="00B877B3" w:rsidP="004A7509">
            <w:pPr>
              <w:tabs>
                <w:tab w:val="center" w:pos="4536"/>
              </w:tabs>
              <w:jc w:val="center"/>
              <w:rPr>
                <w:rFonts w:ascii="Arial" w:eastAsia="Calibri" w:hAnsi="Arial" w:cs="Arial"/>
                <w:b/>
                <w:color w:val="000000"/>
                <w:sz w:val="18"/>
                <w:szCs w:val="18"/>
              </w:rPr>
            </w:pPr>
            <w:r w:rsidRPr="000876AA">
              <w:rPr>
                <w:rFonts w:ascii="Arial" w:eastAsia="Calibri" w:hAnsi="Arial" w:cs="Arial"/>
                <w:b/>
                <w:color w:val="000000"/>
                <w:sz w:val="18"/>
                <w:szCs w:val="18"/>
              </w:rPr>
              <w:t>1</w:t>
            </w:r>
          </w:p>
        </w:tc>
        <w:tc>
          <w:tcPr>
            <w:tcW w:w="441" w:type="pct"/>
            <w:tcBorders>
              <w:top w:val="single" w:sz="4" w:space="0" w:color="000000"/>
              <w:left w:val="single" w:sz="4" w:space="0" w:color="000000"/>
              <w:bottom w:val="single" w:sz="4" w:space="0" w:color="000000"/>
              <w:right w:val="single" w:sz="4" w:space="0" w:color="000000"/>
            </w:tcBorders>
            <w:shd w:val="clear" w:color="auto" w:fill="FFFFFF"/>
          </w:tcPr>
          <w:p w14:paraId="17B8AC26" w14:textId="181AF4F6" w:rsidR="004A7509" w:rsidRPr="000876AA" w:rsidRDefault="004A7509" w:rsidP="004A7509">
            <w:pPr>
              <w:tabs>
                <w:tab w:val="center" w:pos="4536"/>
              </w:tabs>
              <w:jc w:val="center"/>
              <w:rPr>
                <w:rFonts w:ascii="Arial" w:eastAsia="Calibri" w:hAnsi="Arial" w:cs="Arial"/>
                <w:b/>
                <w:color w:val="000000"/>
                <w:sz w:val="18"/>
                <w:szCs w:val="18"/>
              </w:rPr>
            </w:pPr>
            <w:r w:rsidRPr="000876AA">
              <w:rPr>
                <w:rFonts w:ascii="Arial" w:eastAsia="Calibri" w:hAnsi="Arial" w:cs="Arial"/>
                <w:b/>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tcPr>
          <w:p w14:paraId="22B0E780" w14:textId="35E4DF43" w:rsidR="004A7509" w:rsidRPr="000876AA" w:rsidRDefault="004A7509" w:rsidP="004A7509">
            <w:pPr>
              <w:tabs>
                <w:tab w:val="center" w:pos="4536"/>
              </w:tabs>
              <w:jc w:val="center"/>
              <w:rPr>
                <w:rFonts w:ascii="Arial" w:eastAsia="Calibri" w:hAnsi="Arial" w:cs="Arial"/>
                <w:b/>
                <w:color w:val="000000"/>
                <w:sz w:val="18"/>
                <w:szCs w:val="18"/>
              </w:rPr>
            </w:pPr>
            <w:r w:rsidRPr="000876AA">
              <w:rPr>
                <w:rFonts w:ascii="Arial" w:eastAsia="Calibri" w:hAnsi="Arial" w:cs="Arial"/>
                <w:b/>
                <w:color w:val="000000"/>
                <w:sz w:val="18"/>
                <w:szCs w:val="18"/>
              </w:rPr>
              <w:t>0</w:t>
            </w:r>
          </w:p>
        </w:tc>
        <w:tc>
          <w:tcPr>
            <w:tcW w:w="396"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7ADEE17" w14:textId="2693C53D" w:rsidR="004A7509" w:rsidRPr="000876AA" w:rsidRDefault="004A7509" w:rsidP="004A7509">
            <w:pPr>
              <w:tabs>
                <w:tab w:val="center" w:pos="4536"/>
              </w:tabs>
              <w:jc w:val="center"/>
              <w:rPr>
                <w:rFonts w:ascii="Arial" w:eastAsia="Calibri" w:hAnsi="Arial" w:cs="Arial"/>
                <w:b/>
                <w:color w:val="000000"/>
                <w:sz w:val="18"/>
                <w:szCs w:val="18"/>
              </w:rPr>
            </w:pPr>
            <w:r w:rsidRPr="000876AA">
              <w:rPr>
                <w:rFonts w:ascii="Arial" w:eastAsia="Calibri" w:hAnsi="Arial" w:cs="Arial"/>
                <w:b/>
                <w:color w:val="000000"/>
                <w:sz w:val="18"/>
                <w:szCs w:val="18"/>
              </w:rPr>
              <w:t>0</w:t>
            </w:r>
          </w:p>
        </w:tc>
        <w:tc>
          <w:tcPr>
            <w:tcW w:w="44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93EB54" w14:textId="0E026F88" w:rsidR="004A7509" w:rsidRPr="000876AA" w:rsidRDefault="004A7509" w:rsidP="004A7509">
            <w:pPr>
              <w:tabs>
                <w:tab w:val="center" w:pos="4536"/>
              </w:tabs>
              <w:jc w:val="center"/>
              <w:rPr>
                <w:rFonts w:ascii="Arial" w:eastAsia="Calibri" w:hAnsi="Arial" w:cs="Arial"/>
                <w:b/>
                <w:color w:val="000000"/>
                <w:sz w:val="18"/>
                <w:szCs w:val="18"/>
              </w:rPr>
            </w:pPr>
            <w:r w:rsidRPr="000876AA">
              <w:rPr>
                <w:rFonts w:ascii="Arial" w:eastAsia="Calibri" w:hAnsi="Arial" w:cs="Arial"/>
                <w:b/>
                <w:color w:val="000000"/>
                <w:sz w:val="18"/>
                <w:szCs w:val="18"/>
              </w:rPr>
              <w:t>0</w:t>
            </w:r>
          </w:p>
        </w:tc>
        <w:tc>
          <w:tcPr>
            <w:tcW w:w="708"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3B7E2D6" w14:textId="0E7D7AFE" w:rsidR="004A7509" w:rsidRPr="000876AA" w:rsidRDefault="004A7509" w:rsidP="004A7509">
            <w:pPr>
              <w:tabs>
                <w:tab w:val="center" w:pos="4536"/>
              </w:tabs>
              <w:jc w:val="center"/>
              <w:rPr>
                <w:rFonts w:ascii="Arial" w:eastAsia="Calibri" w:hAnsi="Arial" w:cs="Arial"/>
                <w:b/>
                <w:color w:val="000000"/>
                <w:sz w:val="18"/>
                <w:szCs w:val="18"/>
              </w:rPr>
            </w:pPr>
            <w:r w:rsidRPr="000876AA">
              <w:rPr>
                <w:rFonts w:ascii="Arial" w:eastAsia="Calibri" w:hAnsi="Arial" w:cs="Arial"/>
                <w:b/>
                <w:color w:val="000000"/>
                <w:sz w:val="18"/>
                <w:szCs w:val="18"/>
              </w:rPr>
              <w:t>0</w:t>
            </w:r>
          </w:p>
        </w:tc>
        <w:tc>
          <w:tcPr>
            <w:tcW w:w="145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086061B" w14:textId="77777777" w:rsidR="004A7509" w:rsidRPr="000876AA" w:rsidRDefault="004A7509" w:rsidP="004A7509">
            <w:pPr>
              <w:tabs>
                <w:tab w:val="center" w:pos="4536"/>
              </w:tabs>
              <w:jc w:val="center"/>
              <w:rPr>
                <w:rFonts w:ascii="Arial" w:eastAsia="Calibri" w:hAnsi="Arial" w:cs="Arial"/>
                <w:b/>
                <w:color w:val="000000"/>
                <w:sz w:val="18"/>
                <w:szCs w:val="18"/>
              </w:rPr>
            </w:pPr>
          </w:p>
        </w:tc>
      </w:tr>
      <w:bookmarkEnd w:id="15"/>
    </w:tbl>
    <w:p w14:paraId="1845D519" w14:textId="77777777" w:rsidR="00AF23AC" w:rsidRPr="000876AA" w:rsidRDefault="00AF23AC" w:rsidP="00AF23AC">
      <w:pPr>
        <w:pStyle w:val="Prrafodelista"/>
        <w:spacing w:after="0" w:line="240" w:lineRule="auto"/>
        <w:ind w:left="0"/>
        <w:contextualSpacing w:val="0"/>
        <w:jc w:val="both"/>
        <w:rPr>
          <w:rFonts w:ascii="Arial" w:hAnsi="Arial" w:cs="Arial"/>
        </w:rPr>
      </w:pPr>
    </w:p>
    <w:p w14:paraId="4A0CF0EE" w14:textId="26EE0C3F" w:rsidR="000E4C9E" w:rsidRPr="000876AA" w:rsidRDefault="00D00B58" w:rsidP="005F4E1D">
      <w:pPr>
        <w:jc w:val="center"/>
        <w:rPr>
          <w:rFonts w:ascii="Arial" w:hAnsi="Arial" w:cs="Arial"/>
          <w:b/>
          <w:sz w:val="22"/>
          <w:szCs w:val="22"/>
        </w:rPr>
      </w:pPr>
      <w:r w:rsidRPr="000876AA">
        <w:rPr>
          <w:rFonts w:ascii="Arial" w:hAnsi="Arial" w:cs="Arial"/>
          <w:b/>
          <w:sz w:val="22"/>
          <w:szCs w:val="22"/>
        </w:rPr>
        <w:t>S</w:t>
      </w:r>
      <w:r w:rsidR="000E4C9E" w:rsidRPr="000876AA">
        <w:rPr>
          <w:rFonts w:ascii="Arial" w:hAnsi="Arial" w:cs="Arial"/>
          <w:b/>
          <w:sz w:val="22"/>
          <w:szCs w:val="22"/>
        </w:rPr>
        <w:t xml:space="preserve">ALIDAS DE LA </w:t>
      </w:r>
      <w:r w:rsidR="00B41308" w:rsidRPr="000876AA">
        <w:rPr>
          <w:rFonts w:ascii="Arial" w:hAnsi="Arial" w:cs="Arial"/>
          <w:b/>
          <w:sz w:val="22"/>
          <w:szCs w:val="22"/>
        </w:rPr>
        <w:t>REVISIÓN POR</w:t>
      </w:r>
      <w:r w:rsidR="000E4C9E" w:rsidRPr="000876AA">
        <w:rPr>
          <w:rFonts w:ascii="Arial" w:hAnsi="Arial" w:cs="Arial"/>
          <w:b/>
          <w:sz w:val="22"/>
          <w:szCs w:val="22"/>
        </w:rPr>
        <w:t xml:space="preserve"> LA DIRECCI</w:t>
      </w:r>
      <w:r w:rsidR="0027259D" w:rsidRPr="000876AA">
        <w:rPr>
          <w:rFonts w:ascii="Arial" w:hAnsi="Arial" w:cs="Arial"/>
          <w:b/>
          <w:sz w:val="22"/>
          <w:szCs w:val="22"/>
        </w:rPr>
        <w:t>Ó</w:t>
      </w:r>
      <w:r w:rsidR="000E4C9E" w:rsidRPr="000876AA">
        <w:rPr>
          <w:rFonts w:ascii="Arial" w:hAnsi="Arial" w:cs="Arial"/>
          <w:b/>
          <w:sz w:val="22"/>
          <w:szCs w:val="22"/>
        </w:rPr>
        <w:t>N</w:t>
      </w:r>
    </w:p>
    <w:p w14:paraId="709A604A" w14:textId="77777777" w:rsidR="000E4C9E" w:rsidRPr="000876AA" w:rsidRDefault="000E4C9E" w:rsidP="00AF23AC">
      <w:pPr>
        <w:jc w:val="both"/>
        <w:rPr>
          <w:rFonts w:ascii="Arial" w:hAnsi="Arial" w:cs="Arial"/>
          <w:sz w:val="22"/>
          <w:szCs w:val="22"/>
        </w:rPr>
      </w:pPr>
    </w:p>
    <w:p w14:paraId="6D6CE4F3" w14:textId="77777777" w:rsidR="000E4C9E" w:rsidRPr="000876AA" w:rsidRDefault="002016AA" w:rsidP="00AD15F9">
      <w:pPr>
        <w:numPr>
          <w:ilvl w:val="0"/>
          <w:numId w:val="31"/>
        </w:numPr>
        <w:jc w:val="both"/>
        <w:rPr>
          <w:rFonts w:ascii="Arial" w:hAnsi="Arial" w:cs="Arial"/>
          <w:b/>
          <w:sz w:val="22"/>
          <w:szCs w:val="22"/>
        </w:rPr>
      </w:pPr>
      <w:bookmarkStart w:id="16" w:name="_Hlk57708122"/>
      <w:r w:rsidRPr="000876AA">
        <w:rPr>
          <w:rFonts w:ascii="Arial" w:hAnsi="Arial" w:cs="Arial"/>
          <w:b/>
          <w:sz w:val="22"/>
          <w:szCs w:val="22"/>
        </w:rPr>
        <w:t>RECOMENDACIONES</w:t>
      </w:r>
      <w:r w:rsidR="009E3F19" w:rsidRPr="000876AA">
        <w:rPr>
          <w:rFonts w:ascii="Arial" w:hAnsi="Arial" w:cs="Arial"/>
          <w:b/>
          <w:sz w:val="22"/>
          <w:szCs w:val="22"/>
        </w:rPr>
        <w:t xml:space="preserve"> Y </w:t>
      </w:r>
      <w:r w:rsidR="00FB2B7C" w:rsidRPr="000876AA">
        <w:rPr>
          <w:rFonts w:ascii="Arial" w:hAnsi="Arial" w:cs="Arial"/>
          <w:b/>
          <w:sz w:val="22"/>
          <w:szCs w:val="22"/>
        </w:rPr>
        <w:t>COMPROMISOS PARA</w:t>
      </w:r>
      <w:r w:rsidR="000E4C9E" w:rsidRPr="000876AA">
        <w:rPr>
          <w:rFonts w:ascii="Arial" w:hAnsi="Arial" w:cs="Arial"/>
          <w:b/>
          <w:sz w:val="22"/>
          <w:szCs w:val="22"/>
        </w:rPr>
        <w:t xml:space="preserve"> LA MEJOR</w:t>
      </w:r>
      <w:bookmarkEnd w:id="16"/>
      <w:r w:rsidR="00AF23AC" w:rsidRPr="000876AA">
        <w:rPr>
          <w:rFonts w:ascii="Arial" w:hAnsi="Arial" w:cs="Arial"/>
          <w:b/>
          <w:sz w:val="22"/>
          <w:szCs w:val="22"/>
        </w:rPr>
        <w:t>A</w:t>
      </w:r>
    </w:p>
    <w:p w14:paraId="0598380A" w14:textId="77777777" w:rsidR="000E4C9E" w:rsidRPr="000876AA" w:rsidRDefault="000E4C9E" w:rsidP="00AF23AC">
      <w:pPr>
        <w:rPr>
          <w:rFonts w:ascii="Arial" w:hAnsi="Arial" w:cs="Arial"/>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6799"/>
        <w:gridCol w:w="1969"/>
        <w:gridCol w:w="1196"/>
      </w:tblGrid>
      <w:tr w:rsidR="000E4C9E" w:rsidRPr="000876AA" w14:paraId="50E6C496" w14:textId="77777777" w:rsidTr="008533AE">
        <w:trPr>
          <w:trHeight w:val="20"/>
          <w:tblHeader/>
          <w:jc w:val="center"/>
        </w:trPr>
        <w:tc>
          <w:tcPr>
            <w:tcW w:w="3412" w:type="pct"/>
            <w:tcBorders>
              <w:top w:val="single" w:sz="4" w:space="0" w:color="auto"/>
              <w:left w:val="single" w:sz="4" w:space="0" w:color="000000"/>
              <w:bottom w:val="single" w:sz="4" w:space="0" w:color="auto"/>
              <w:right w:val="single" w:sz="4" w:space="0" w:color="auto"/>
            </w:tcBorders>
            <w:shd w:val="clear" w:color="auto" w:fill="E7E6E6"/>
            <w:vAlign w:val="center"/>
            <w:hideMark/>
          </w:tcPr>
          <w:p w14:paraId="3BAA918E" w14:textId="77777777" w:rsidR="000E4C9E" w:rsidRPr="000876AA" w:rsidRDefault="000E4C9E" w:rsidP="00AF23AC">
            <w:pPr>
              <w:tabs>
                <w:tab w:val="center" w:pos="4536"/>
              </w:tabs>
              <w:jc w:val="center"/>
              <w:rPr>
                <w:rFonts w:ascii="Arial" w:eastAsia="Calibri" w:hAnsi="Arial" w:cs="Arial"/>
                <w:b/>
                <w:sz w:val="18"/>
                <w:szCs w:val="18"/>
              </w:rPr>
            </w:pPr>
            <w:r w:rsidRPr="000876AA">
              <w:rPr>
                <w:rFonts w:ascii="Arial" w:eastAsia="Calibri" w:hAnsi="Arial" w:cs="Arial"/>
                <w:b/>
                <w:sz w:val="18"/>
                <w:szCs w:val="18"/>
              </w:rPr>
              <w:t>ACTIVIDAD</w:t>
            </w:r>
            <w:r w:rsidR="005F06AA" w:rsidRPr="000876AA">
              <w:rPr>
                <w:rFonts w:ascii="Arial" w:eastAsia="Calibri" w:hAnsi="Arial" w:cs="Arial"/>
                <w:b/>
                <w:sz w:val="18"/>
                <w:szCs w:val="18"/>
              </w:rPr>
              <w:t xml:space="preserve"> </w:t>
            </w:r>
          </w:p>
        </w:tc>
        <w:tc>
          <w:tcPr>
            <w:tcW w:w="988" w:type="pct"/>
            <w:tcBorders>
              <w:top w:val="single" w:sz="4" w:space="0" w:color="auto"/>
              <w:left w:val="single" w:sz="4" w:space="0" w:color="auto"/>
              <w:bottom w:val="single" w:sz="4" w:space="0" w:color="auto"/>
              <w:right w:val="single" w:sz="4" w:space="0" w:color="auto"/>
            </w:tcBorders>
            <w:shd w:val="clear" w:color="auto" w:fill="E7E6E6"/>
            <w:vAlign w:val="center"/>
            <w:hideMark/>
          </w:tcPr>
          <w:p w14:paraId="199EB7B9" w14:textId="77777777" w:rsidR="000E4C9E" w:rsidRPr="000876AA" w:rsidRDefault="000E4C9E" w:rsidP="00AF23AC">
            <w:pPr>
              <w:tabs>
                <w:tab w:val="center" w:pos="4536"/>
              </w:tabs>
              <w:jc w:val="center"/>
              <w:rPr>
                <w:rFonts w:ascii="Arial" w:eastAsia="Calibri" w:hAnsi="Arial" w:cs="Arial"/>
                <w:b/>
                <w:sz w:val="18"/>
                <w:szCs w:val="18"/>
              </w:rPr>
            </w:pPr>
            <w:r w:rsidRPr="000876AA">
              <w:rPr>
                <w:rFonts w:ascii="Arial" w:eastAsia="Calibri" w:hAnsi="Arial" w:cs="Arial"/>
                <w:b/>
                <w:sz w:val="18"/>
                <w:szCs w:val="18"/>
              </w:rPr>
              <w:t>RESPONSABLE</w:t>
            </w:r>
          </w:p>
        </w:tc>
        <w:tc>
          <w:tcPr>
            <w:tcW w:w="600" w:type="pct"/>
            <w:tcBorders>
              <w:top w:val="single" w:sz="4" w:space="0" w:color="auto"/>
              <w:left w:val="single" w:sz="4" w:space="0" w:color="auto"/>
              <w:bottom w:val="single" w:sz="4" w:space="0" w:color="auto"/>
              <w:right w:val="single" w:sz="4" w:space="0" w:color="000000"/>
            </w:tcBorders>
            <w:shd w:val="clear" w:color="auto" w:fill="E7E6E6"/>
            <w:vAlign w:val="center"/>
            <w:hideMark/>
          </w:tcPr>
          <w:p w14:paraId="78FB0474" w14:textId="77777777" w:rsidR="000E4C9E" w:rsidRPr="000876AA" w:rsidRDefault="000E4C9E" w:rsidP="00AF23AC">
            <w:pPr>
              <w:tabs>
                <w:tab w:val="center" w:pos="4536"/>
              </w:tabs>
              <w:jc w:val="center"/>
              <w:rPr>
                <w:rFonts w:ascii="Arial" w:eastAsia="Calibri" w:hAnsi="Arial" w:cs="Arial"/>
                <w:b/>
                <w:sz w:val="18"/>
                <w:szCs w:val="18"/>
              </w:rPr>
            </w:pPr>
            <w:r w:rsidRPr="000876AA">
              <w:rPr>
                <w:rFonts w:ascii="Arial" w:eastAsia="Calibri" w:hAnsi="Arial" w:cs="Arial"/>
                <w:b/>
                <w:sz w:val="18"/>
                <w:szCs w:val="18"/>
              </w:rPr>
              <w:t xml:space="preserve">FECHA </w:t>
            </w:r>
          </w:p>
        </w:tc>
      </w:tr>
      <w:tr w:rsidR="000E4C9E" w:rsidRPr="000876AA" w14:paraId="27B7F27F" w14:textId="77777777" w:rsidTr="008533AE">
        <w:trPr>
          <w:trHeight w:val="20"/>
          <w:jc w:val="center"/>
        </w:trPr>
        <w:tc>
          <w:tcPr>
            <w:tcW w:w="3412" w:type="pct"/>
            <w:tcBorders>
              <w:top w:val="single" w:sz="4" w:space="0" w:color="auto"/>
              <w:left w:val="single" w:sz="4" w:space="0" w:color="000000"/>
              <w:bottom w:val="single" w:sz="4" w:space="0" w:color="auto"/>
              <w:right w:val="single" w:sz="4" w:space="0" w:color="auto"/>
            </w:tcBorders>
            <w:vAlign w:val="center"/>
          </w:tcPr>
          <w:p w14:paraId="40107E71" w14:textId="0381AA6A" w:rsidR="000E4C9E" w:rsidRPr="000876AA" w:rsidRDefault="00CB6D58" w:rsidP="00F50EA1">
            <w:pPr>
              <w:tabs>
                <w:tab w:val="center" w:pos="4536"/>
              </w:tabs>
              <w:jc w:val="both"/>
              <w:rPr>
                <w:rFonts w:ascii="Arial" w:hAnsi="Arial" w:cs="Arial"/>
                <w:bCs/>
                <w:sz w:val="20"/>
              </w:rPr>
            </w:pPr>
            <w:r w:rsidRPr="000876AA">
              <w:rPr>
                <w:rFonts w:ascii="Arial" w:hAnsi="Arial" w:cs="Arial"/>
                <w:bCs/>
                <w:sz w:val="20"/>
              </w:rPr>
              <w:t>Identificar y documentar el proceso de planeación funcional y evaluación de la Dirección Ejecutiva de Administración Judicial dentro del SICGMA, diferenciando los procesos de planeación funcional del proceso de gestión financiera y presupuestal.</w:t>
            </w:r>
          </w:p>
        </w:tc>
        <w:tc>
          <w:tcPr>
            <w:tcW w:w="988" w:type="pct"/>
            <w:tcBorders>
              <w:top w:val="single" w:sz="4" w:space="0" w:color="auto"/>
              <w:left w:val="single" w:sz="4" w:space="0" w:color="auto"/>
              <w:bottom w:val="single" w:sz="4" w:space="0" w:color="auto"/>
              <w:right w:val="single" w:sz="4" w:space="0" w:color="auto"/>
            </w:tcBorders>
            <w:vAlign w:val="center"/>
          </w:tcPr>
          <w:p w14:paraId="53CF879F" w14:textId="637E3A11" w:rsidR="00691C63" w:rsidRPr="000876AA" w:rsidRDefault="00CB6D58" w:rsidP="00507D6A">
            <w:pPr>
              <w:tabs>
                <w:tab w:val="center" w:pos="4536"/>
              </w:tabs>
              <w:jc w:val="center"/>
              <w:rPr>
                <w:rFonts w:ascii="Arial" w:eastAsia="Calibri" w:hAnsi="Arial" w:cs="Arial"/>
                <w:bCs/>
                <w:sz w:val="18"/>
                <w:szCs w:val="18"/>
              </w:rPr>
            </w:pPr>
            <w:r w:rsidRPr="000876AA">
              <w:rPr>
                <w:rFonts w:ascii="Arial" w:eastAsia="Calibri" w:hAnsi="Arial" w:cs="Arial"/>
                <w:bCs/>
                <w:sz w:val="18"/>
                <w:szCs w:val="18"/>
              </w:rPr>
              <w:t xml:space="preserve">Unidad de Planeación </w:t>
            </w:r>
          </w:p>
        </w:tc>
        <w:tc>
          <w:tcPr>
            <w:tcW w:w="600" w:type="pct"/>
            <w:tcBorders>
              <w:top w:val="single" w:sz="4" w:space="0" w:color="auto"/>
              <w:left w:val="single" w:sz="4" w:space="0" w:color="auto"/>
              <w:bottom w:val="single" w:sz="4" w:space="0" w:color="auto"/>
              <w:right w:val="single" w:sz="4" w:space="0" w:color="000000"/>
            </w:tcBorders>
            <w:vAlign w:val="center"/>
          </w:tcPr>
          <w:p w14:paraId="5B92BF0B" w14:textId="69FAA09B" w:rsidR="00691C63" w:rsidRPr="000876AA" w:rsidRDefault="00CB6D58" w:rsidP="00507D6A">
            <w:pPr>
              <w:tabs>
                <w:tab w:val="center" w:pos="4536"/>
              </w:tabs>
              <w:jc w:val="center"/>
              <w:rPr>
                <w:rFonts w:ascii="Arial" w:eastAsia="Calibri" w:hAnsi="Arial" w:cs="Arial"/>
                <w:bCs/>
                <w:sz w:val="18"/>
                <w:szCs w:val="18"/>
              </w:rPr>
            </w:pPr>
            <w:r w:rsidRPr="000876AA">
              <w:rPr>
                <w:rFonts w:ascii="Arial" w:eastAsia="Calibri" w:hAnsi="Arial" w:cs="Arial"/>
                <w:bCs/>
                <w:sz w:val="18"/>
                <w:szCs w:val="18"/>
              </w:rPr>
              <w:t>31-12-2023</w:t>
            </w:r>
          </w:p>
        </w:tc>
      </w:tr>
      <w:tr w:rsidR="00CB6D58" w:rsidRPr="000876AA" w14:paraId="3A5298C2" w14:textId="77777777" w:rsidTr="008533AE">
        <w:trPr>
          <w:trHeight w:val="20"/>
          <w:jc w:val="center"/>
        </w:trPr>
        <w:tc>
          <w:tcPr>
            <w:tcW w:w="3412" w:type="pct"/>
            <w:tcBorders>
              <w:top w:val="single" w:sz="4" w:space="0" w:color="auto"/>
              <w:left w:val="single" w:sz="4" w:space="0" w:color="000000"/>
              <w:bottom w:val="single" w:sz="4" w:space="0" w:color="auto"/>
              <w:right w:val="single" w:sz="4" w:space="0" w:color="auto"/>
            </w:tcBorders>
            <w:vAlign w:val="center"/>
          </w:tcPr>
          <w:p w14:paraId="4C1EBC91" w14:textId="2AE7557D" w:rsidR="00CB6D58" w:rsidRPr="000876AA" w:rsidRDefault="00CB6D58" w:rsidP="00CB6D58">
            <w:pPr>
              <w:tabs>
                <w:tab w:val="center" w:pos="4536"/>
              </w:tabs>
              <w:jc w:val="both"/>
              <w:rPr>
                <w:rFonts w:ascii="Arial" w:hAnsi="Arial" w:cs="Arial"/>
                <w:bCs/>
                <w:sz w:val="20"/>
              </w:rPr>
            </w:pPr>
            <w:r w:rsidRPr="000876AA">
              <w:rPr>
                <w:rFonts w:ascii="Arial" w:hAnsi="Arial" w:cs="Arial"/>
                <w:bCs/>
                <w:sz w:val="20"/>
              </w:rPr>
              <w:lastRenderedPageBreak/>
              <w:t xml:space="preserve">Actualizar los manuales, procedimientos </w:t>
            </w:r>
            <w:r w:rsidR="005A6648" w:rsidRPr="000876AA">
              <w:rPr>
                <w:rFonts w:ascii="Arial" w:hAnsi="Arial" w:cs="Arial"/>
                <w:bCs/>
                <w:sz w:val="20"/>
              </w:rPr>
              <w:t>e instructivos asociados al proceso</w:t>
            </w:r>
            <w:r w:rsidRPr="000876AA">
              <w:rPr>
                <w:rFonts w:ascii="Arial" w:hAnsi="Arial" w:cs="Arial"/>
                <w:bCs/>
                <w:sz w:val="20"/>
              </w:rPr>
              <w:t>.</w:t>
            </w:r>
          </w:p>
        </w:tc>
        <w:tc>
          <w:tcPr>
            <w:tcW w:w="988" w:type="pct"/>
            <w:tcBorders>
              <w:top w:val="single" w:sz="4" w:space="0" w:color="auto"/>
              <w:left w:val="single" w:sz="4" w:space="0" w:color="auto"/>
              <w:bottom w:val="single" w:sz="4" w:space="0" w:color="auto"/>
              <w:right w:val="single" w:sz="4" w:space="0" w:color="auto"/>
            </w:tcBorders>
            <w:vAlign w:val="center"/>
          </w:tcPr>
          <w:p w14:paraId="5234EF6D" w14:textId="410F68A4" w:rsidR="00CB6D58" w:rsidRPr="000876AA" w:rsidRDefault="00CB6D58" w:rsidP="00CB6D58">
            <w:pPr>
              <w:tabs>
                <w:tab w:val="center" w:pos="4536"/>
              </w:tabs>
              <w:jc w:val="center"/>
              <w:rPr>
                <w:rFonts w:ascii="Arial" w:eastAsia="Calibri" w:hAnsi="Arial" w:cs="Arial"/>
                <w:bCs/>
                <w:sz w:val="18"/>
                <w:szCs w:val="18"/>
              </w:rPr>
            </w:pPr>
            <w:r w:rsidRPr="000876AA">
              <w:rPr>
                <w:rFonts w:ascii="Arial" w:eastAsia="Calibri" w:hAnsi="Arial" w:cs="Arial"/>
                <w:bCs/>
                <w:sz w:val="18"/>
                <w:szCs w:val="18"/>
              </w:rPr>
              <w:t>Unidad de Presupuesto y Unidad de Planeación</w:t>
            </w:r>
          </w:p>
        </w:tc>
        <w:tc>
          <w:tcPr>
            <w:tcW w:w="600" w:type="pct"/>
            <w:tcBorders>
              <w:top w:val="single" w:sz="4" w:space="0" w:color="auto"/>
              <w:left w:val="single" w:sz="4" w:space="0" w:color="auto"/>
              <w:bottom w:val="single" w:sz="4" w:space="0" w:color="auto"/>
              <w:right w:val="single" w:sz="4" w:space="0" w:color="000000"/>
            </w:tcBorders>
            <w:vAlign w:val="center"/>
          </w:tcPr>
          <w:p w14:paraId="53D1FFE3" w14:textId="16FF45F4" w:rsidR="00CB6D58" w:rsidRPr="000876AA" w:rsidRDefault="00CB6D58" w:rsidP="00CB6D58">
            <w:pPr>
              <w:tabs>
                <w:tab w:val="center" w:pos="4536"/>
              </w:tabs>
              <w:jc w:val="center"/>
              <w:rPr>
                <w:rFonts w:ascii="Arial" w:eastAsia="Calibri" w:hAnsi="Arial" w:cs="Arial"/>
                <w:bCs/>
                <w:sz w:val="18"/>
                <w:szCs w:val="18"/>
              </w:rPr>
            </w:pPr>
            <w:r w:rsidRPr="000876AA">
              <w:rPr>
                <w:rFonts w:ascii="Arial" w:eastAsia="Calibri" w:hAnsi="Arial" w:cs="Arial"/>
                <w:bCs/>
                <w:sz w:val="18"/>
                <w:szCs w:val="18"/>
              </w:rPr>
              <w:t>31-12-2023</w:t>
            </w:r>
          </w:p>
        </w:tc>
      </w:tr>
      <w:tr w:rsidR="009E059B" w:rsidRPr="000876AA" w14:paraId="738DF189" w14:textId="77777777" w:rsidTr="008533AE">
        <w:trPr>
          <w:trHeight w:val="20"/>
          <w:jc w:val="center"/>
        </w:trPr>
        <w:tc>
          <w:tcPr>
            <w:tcW w:w="3412" w:type="pct"/>
            <w:tcBorders>
              <w:top w:val="single" w:sz="4" w:space="0" w:color="auto"/>
              <w:left w:val="single" w:sz="4" w:space="0" w:color="000000"/>
              <w:bottom w:val="single" w:sz="4" w:space="0" w:color="auto"/>
              <w:right w:val="single" w:sz="4" w:space="0" w:color="auto"/>
            </w:tcBorders>
            <w:vAlign w:val="center"/>
          </w:tcPr>
          <w:p w14:paraId="328A1EDB" w14:textId="112FE742" w:rsidR="009E059B" w:rsidRPr="000876AA" w:rsidRDefault="009E059B" w:rsidP="00CB6D58">
            <w:pPr>
              <w:tabs>
                <w:tab w:val="center" w:pos="4536"/>
              </w:tabs>
              <w:jc w:val="both"/>
              <w:rPr>
                <w:rFonts w:ascii="Arial" w:hAnsi="Arial" w:cs="Arial"/>
                <w:bCs/>
                <w:sz w:val="20"/>
              </w:rPr>
            </w:pPr>
            <w:r>
              <w:rPr>
                <w:rFonts w:ascii="Arial" w:hAnsi="Arial" w:cs="Arial"/>
                <w:bCs/>
                <w:sz w:val="20"/>
              </w:rPr>
              <w:t>Desarrollar reunión para el análisis de las recomendaciones de mejora realizadas por el ICONTEC, y la toma de decisiones al respecto.</w:t>
            </w:r>
          </w:p>
        </w:tc>
        <w:tc>
          <w:tcPr>
            <w:tcW w:w="988" w:type="pct"/>
            <w:tcBorders>
              <w:top w:val="single" w:sz="4" w:space="0" w:color="auto"/>
              <w:left w:val="single" w:sz="4" w:space="0" w:color="auto"/>
              <w:bottom w:val="single" w:sz="4" w:space="0" w:color="auto"/>
              <w:right w:val="single" w:sz="4" w:space="0" w:color="auto"/>
            </w:tcBorders>
            <w:vAlign w:val="center"/>
          </w:tcPr>
          <w:p w14:paraId="77CE82B5" w14:textId="1C6E7612" w:rsidR="009E059B" w:rsidRPr="000876AA" w:rsidRDefault="009E059B" w:rsidP="00CB6D58">
            <w:pPr>
              <w:tabs>
                <w:tab w:val="center" w:pos="4536"/>
              </w:tabs>
              <w:jc w:val="center"/>
              <w:rPr>
                <w:rFonts w:ascii="Arial" w:eastAsia="Calibri" w:hAnsi="Arial" w:cs="Arial"/>
                <w:bCs/>
                <w:sz w:val="18"/>
                <w:szCs w:val="18"/>
              </w:rPr>
            </w:pPr>
            <w:r w:rsidRPr="000876AA">
              <w:rPr>
                <w:rFonts w:ascii="Arial" w:eastAsia="Calibri" w:hAnsi="Arial" w:cs="Arial"/>
                <w:bCs/>
                <w:sz w:val="18"/>
                <w:szCs w:val="18"/>
              </w:rPr>
              <w:t>Unidad de Presupuesto y Unidad de Planeación</w:t>
            </w:r>
          </w:p>
        </w:tc>
        <w:tc>
          <w:tcPr>
            <w:tcW w:w="600" w:type="pct"/>
            <w:tcBorders>
              <w:top w:val="single" w:sz="4" w:space="0" w:color="auto"/>
              <w:left w:val="single" w:sz="4" w:space="0" w:color="auto"/>
              <w:bottom w:val="single" w:sz="4" w:space="0" w:color="auto"/>
              <w:right w:val="single" w:sz="4" w:space="0" w:color="000000"/>
            </w:tcBorders>
            <w:vAlign w:val="center"/>
          </w:tcPr>
          <w:p w14:paraId="48796113" w14:textId="417E6456" w:rsidR="009E059B" w:rsidRPr="000876AA" w:rsidRDefault="009E059B" w:rsidP="00CB6D58">
            <w:pPr>
              <w:tabs>
                <w:tab w:val="center" w:pos="4536"/>
              </w:tabs>
              <w:jc w:val="center"/>
              <w:rPr>
                <w:rFonts w:ascii="Arial" w:eastAsia="Calibri" w:hAnsi="Arial" w:cs="Arial"/>
                <w:bCs/>
                <w:sz w:val="18"/>
                <w:szCs w:val="18"/>
              </w:rPr>
            </w:pPr>
            <w:r>
              <w:rPr>
                <w:rFonts w:ascii="Arial" w:eastAsia="Calibri" w:hAnsi="Arial" w:cs="Arial"/>
                <w:bCs/>
                <w:sz w:val="18"/>
                <w:szCs w:val="18"/>
              </w:rPr>
              <w:t>30-06-2023</w:t>
            </w:r>
          </w:p>
        </w:tc>
      </w:tr>
    </w:tbl>
    <w:p w14:paraId="795055FD" w14:textId="77777777" w:rsidR="006A6138" w:rsidRPr="000876AA" w:rsidRDefault="006A6138" w:rsidP="00AF23AC">
      <w:pPr>
        <w:rPr>
          <w:rFonts w:ascii="Arial" w:hAnsi="Arial" w:cs="Arial"/>
          <w:color w:val="000000"/>
          <w:sz w:val="22"/>
          <w:szCs w:val="22"/>
        </w:rPr>
      </w:pPr>
    </w:p>
    <w:p w14:paraId="38D5F935" w14:textId="77777777" w:rsidR="000E4C9E" w:rsidRPr="000876AA" w:rsidRDefault="002016AA" w:rsidP="00AD15F9">
      <w:pPr>
        <w:numPr>
          <w:ilvl w:val="0"/>
          <w:numId w:val="31"/>
        </w:numPr>
        <w:jc w:val="both"/>
        <w:rPr>
          <w:rFonts w:ascii="Arial" w:hAnsi="Arial" w:cs="Arial"/>
          <w:b/>
          <w:bCs/>
          <w:color w:val="000000"/>
          <w:sz w:val="22"/>
          <w:szCs w:val="22"/>
        </w:rPr>
      </w:pPr>
      <w:bookmarkStart w:id="17" w:name="_Hlk57711915"/>
      <w:r w:rsidRPr="000876AA">
        <w:rPr>
          <w:rFonts w:ascii="Arial" w:hAnsi="Arial" w:cs="Arial"/>
          <w:b/>
          <w:bCs/>
          <w:color w:val="000000"/>
          <w:sz w:val="22"/>
          <w:szCs w:val="22"/>
        </w:rPr>
        <w:t>NECESIDADES IDENTIFICADAS</w:t>
      </w:r>
      <w:r w:rsidR="00F74FB4" w:rsidRPr="000876AA">
        <w:rPr>
          <w:rFonts w:ascii="Arial" w:hAnsi="Arial" w:cs="Arial"/>
          <w:b/>
          <w:bCs/>
          <w:color w:val="000000"/>
          <w:sz w:val="22"/>
          <w:szCs w:val="22"/>
        </w:rPr>
        <w:t xml:space="preserve"> PARA EL SIGCMA</w:t>
      </w:r>
      <w:r w:rsidR="00AF23AC" w:rsidRPr="000876AA">
        <w:rPr>
          <w:rFonts w:ascii="Arial" w:hAnsi="Arial" w:cs="Arial"/>
          <w:b/>
          <w:bCs/>
          <w:color w:val="000000"/>
          <w:sz w:val="22"/>
          <w:szCs w:val="22"/>
        </w:rPr>
        <w:t xml:space="preserve"> (</w:t>
      </w:r>
      <w:r w:rsidR="001D2059" w:rsidRPr="000876AA">
        <w:rPr>
          <w:rFonts w:ascii="Arial" w:hAnsi="Arial" w:cs="Arial"/>
          <w:b/>
          <w:bCs/>
          <w:color w:val="000000"/>
          <w:sz w:val="22"/>
          <w:szCs w:val="22"/>
        </w:rPr>
        <w:t>Necesidad de cambio en el sistema y necesidad de recursos</w:t>
      </w:r>
      <w:r w:rsidR="00AF23AC" w:rsidRPr="000876AA">
        <w:rPr>
          <w:rFonts w:ascii="Arial" w:hAnsi="Arial" w:cs="Arial"/>
          <w:b/>
          <w:bCs/>
          <w:color w:val="000000"/>
          <w:sz w:val="22"/>
          <w:szCs w:val="22"/>
        </w:rPr>
        <w:t>)</w:t>
      </w:r>
    </w:p>
    <w:bookmarkEnd w:id="17"/>
    <w:p w14:paraId="03C647BD" w14:textId="04F53C97" w:rsidR="000E4C9E" w:rsidRPr="000876AA" w:rsidRDefault="000E4C9E" w:rsidP="00AF23AC">
      <w:pPr>
        <w:rPr>
          <w:rFonts w:ascii="Arial" w:hAnsi="Arial" w:cs="Arial"/>
          <w:color w:val="FF0000"/>
          <w:sz w:val="22"/>
          <w:szCs w:val="22"/>
        </w:rPr>
      </w:pPr>
    </w:p>
    <w:p w14:paraId="4E88F2EC" w14:textId="6A381A15" w:rsidR="001E6B61" w:rsidRPr="000876AA" w:rsidRDefault="001E6B61" w:rsidP="001E6B61">
      <w:pPr>
        <w:pStyle w:val="ndice"/>
        <w:suppressLineNumbers w:val="0"/>
        <w:tabs>
          <w:tab w:val="left" w:pos="7320"/>
        </w:tabs>
        <w:jc w:val="both"/>
        <w:rPr>
          <w:rFonts w:ascii="Arial" w:hAnsi="Arial" w:cs="Arial"/>
          <w:lang w:val="es-CO" w:eastAsia="es-ES"/>
        </w:rPr>
      </w:pPr>
      <w:r w:rsidRPr="000876AA">
        <w:rPr>
          <w:rFonts w:ascii="Arial" w:hAnsi="Arial" w:cs="Arial"/>
          <w:lang w:val="es-CO" w:eastAsia="es-ES"/>
        </w:rPr>
        <w:t>En las Unidades de Presupuesto y Planeación, s</w:t>
      </w:r>
      <w:r w:rsidRPr="000876AA">
        <w:rPr>
          <w:rFonts w:ascii="Arial" w:hAnsi="Arial" w:cs="Arial"/>
          <w:lang w:val="es-CO" w:eastAsia="es-ES"/>
        </w:rPr>
        <w:t>e analizaron los siguientes cambios relacionados con:</w:t>
      </w:r>
    </w:p>
    <w:p w14:paraId="77DE009A" w14:textId="77777777" w:rsidR="001E6B61" w:rsidRPr="000876AA" w:rsidRDefault="001E6B61" w:rsidP="001E6B61">
      <w:pPr>
        <w:pStyle w:val="ndice"/>
        <w:numPr>
          <w:ilvl w:val="0"/>
          <w:numId w:val="25"/>
        </w:numPr>
        <w:suppressLineNumbers w:val="0"/>
        <w:tabs>
          <w:tab w:val="left" w:pos="7320"/>
        </w:tabs>
        <w:jc w:val="both"/>
        <w:rPr>
          <w:rFonts w:ascii="Arial" w:hAnsi="Arial" w:cs="Arial"/>
          <w:bCs/>
          <w:lang w:val="es-CO" w:eastAsia="es-ES"/>
        </w:rPr>
      </w:pPr>
      <w:r w:rsidRPr="000876AA">
        <w:rPr>
          <w:rFonts w:ascii="Arial" w:hAnsi="Arial" w:cs="Arial"/>
          <w:bCs/>
          <w:lang w:val="es-CO" w:eastAsia="es-ES"/>
        </w:rPr>
        <w:t>Cambios en la Legislación</w:t>
      </w:r>
    </w:p>
    <w:p w14:paraId="1ACA1A25" w14:textId="77777777" w:rsidR="001E6B61" w:rsidRPr="000876AA" w:rsidRDefault="001E6B61" w:rsidP="001E6B61">
      <w:pPr>
        <w:pStyle w:val="ndice"/>
        <w:numPr>
          <w:ilvl w:val="0"/>
          <w:numId w:val="25"/>
        </w:numPr>
        <w:suppressLineNumbers w:val="0"/>
        <w:tabs>
          <w:tab w:val="left" w:pos="7320"/>
        </w:tabs>
        <w:jc w:val="both"/>
        <w:rPr>
          <w:rFonts w:ascii="Arial" w:hAnsi="Arial" w:cs="Arial"/>
          <w:bCs/>
          <w:lang w:val="es-CO" w:eastAsia="es-ES"/>
        </w:rPr>
      </w:pPr>
      <w:r w:rsidRPr="000876AA">
        <w:rPr>
          <w:rFonts w:ascii="Arial" w:hAnsi="Arial" w:cs="Arial"/>
          <w:bCs/>
          <w:lang w:val="es-CO" w:eastAsia="es-ES"/>
        </w:rPr>
        <w:t>Cambios en las normas técnicas</w:t>
      </w:r>
    </w:p>
    <w:p w14:paraId="5659BD34" w14:textId="77777777" w:rsidR="001E6B61" w:rsidRPr="000876AA" w:rsidRDefault="001E6B61" w:rsidP="001E6B61">
      <w:pPr>
        <w:pStyle w:val="ndice"/>
        <w:numPr>
          <w:ilvl w:val="0"/>
          <w:numId w:val="25"/>
        </w:numPr>
        <w:suppressLineNumbers w:val="0"/>
        <w:tabs>
          <w:tab w:val="left" w:pos="7320"/>
        </w:tabs>
        <w:jc w:val="both"/>
        <w:rPr>
          <w:rFonts w:ascii="Arial" w:hAnsi="Arial" w:cs="Arial"/>
          <w:bCs/>
          <w:lang w:val="es-CO" w:eastAsia="es-ES"/>
        </w:rPr>
      </w:pPr>
      <w:r w:rsidRPr="000876AA">
        <w:rPr>
          <w:rFonts w:ascii="Arial" w:hAnsi="Arial" w:cs="Arial"/>
          <w:bCs/>
          <w:lang w:val="es-CO" w:eastAsia="es-ES"/>
        </w:rPr>
        <w:t>Cambios en la Estructura</w:t>
      </w:r>
    </w:p>
    <w:p w14:paraId="4BBC63D5" w14:textId="77777777" w:rsidR="001E6B61" w:rsidRPr="000876AA" w:rsidRDefault="001E6B61" w:rsidP="001E6B61">
      <w:pPr>
        <w:pStyle w:val="ndice"/>
        <w:numPr>
          <w:ilvl w:val="0"/>
          <w:numId w:val="25"/>
        </w:numPr>
        <w:suppressLineNumbers w:val="0"/>
        <w:tabs>
          <w:tab w:val="left" w:pos="7320"/>
        </w:tabs>
        <w:jc w:val="both"/>
        <w:rPr>
          <w:rFonts w:ascii="Arial" w:hAnsi="Arial" w:cs="Arial"/>
          <w:bCs/>
          <w:lang w:val="es-CO" w:eastAsia="es-ES"/>
        </w:rPr>
      </w:pPr>
      <w:r w:rsidRPr="000876AA">
        <w:rPr>
          <w:rFonts w:ascii="Arial" w:hAnsi="Arial" w:cs="Arial"/>
          <w:bCs/>
          <w:lang w:val="es-CO" w:eastAsia="es-ES"/>
        </w:rPr>
        <w:t>Cambios en la capacidad instalada y/o en la capacidad operativa</w:t>
      </w:r>
    </w:p>
    <w:p w14:paraId="40E80DBC" w14:textId="77777777" w:rsidR="001E6B61" w:rsidRPr="000876AA" w:rsidRDefault="001E6B61" w:rsidP="00AF23AC">
      <w:pPr>
        <w:rPr>
          <w:rFonts w:ascii="Arial" w:hAnsi="Arial" w:cs="Arial"/>
          <w:color w:val="FF0000"/>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2678"/>
        <w:gridCol w:w="7286"/>
      </w:tblGrid>
      <w:tr w:rsidR="000E4C9E" w:rsidRPr="000876AA" w14:paraId="0F4F30C1" w14:textId="77777777" w:rsidTr="00B136DB">
        <w:trPr>
          <w:tblHeader/>
          <w:jc w:val="center"/>
        </w:trPr>
        <w:tc>
          <w:tcPr>
            <w:tcW w:w="1344" w:type="pct"/>
            <w:shd w:val="clear" w:color="auto" w:fill="D9D9D9"/>
            <w:vAlign w:val="center"/>
          </w:tcPr>
          <w:p w14:paraId="68BADD32" w14:textId="77777777" w:rsidR="000E4C9E" w:rsidRPr="000876AA" w:rsidRDefault="000E4C9E" w:rsidP="001D2ECE">
            <w:pPr>
              <w:jc w:val="center"/>
              <w:rPr>
                <w:rFonts w:ascii="Arial" w:hAnsi="Arial" w:cs="Arial"/>
                <w:b/>
                <w:sz w:val="18"/>
                <w:szCs w:val="18"/>
              </w:rPr>
            </w:pPr>
            <w:bookmarkStart w:id="18" w:name="_Hlk57708278"/>
            <w:r w:rsidRPr="000876AA">
              <w:rPr>
                <w:rFonts w:ascii="Arial" w:hAnsi="Arial" w:cs="Arial"/>
                <w:b/>
                <w:sz w:val="18"/>
                <w:szCs w:val="18"/>
              </w:rPr>
              <w:t>ÍTEM</w:t>
            </w:r>
          </w:p>
        </w:tc>
        <w:tc>
          <w:tcPr>
            <w:tcW w:w="3656" w:type="pct"/>
            <w:shd w:val="clear" w:color="auto" w:fill="D9D9D9"/>
            <w:vAlign w:val="center"/>
          </w:tcPr>
          <w:p w14:paraId="63C4C890" w14:textId="77777777" w:rsidR="000E4C9E" w:rsidRPr="000876AA" w:rsidRDefault="000E4C9E" w:rsidP="001D2ECE">
            <w:pPr>
              <w:jc w:val="center"/>
              <w:rPr>
                <w:rFonts w:ascii="Arial" w:hAnsi="Arial" w:cs="Arial"/>
                <w:b/>
                <w:sz w:val="18"/>
                <w:szCs w:val="18"/>
              </w:rPr>
            </w:pPr>
            <w:r w:rsidRPr="000876AA">
              <w:rPr>
                <w:rFonts w:ascii="Arial" w:hAnsi="Arial" w:cs="Arial"/>
                <w:b/>
                <w:sz w:val="18"/>
                <w:szCs w:val="18"/>
              </w:rPr>
              <w:t xml:space="preserve">EXPLICACIÓN – DESCRIPCIÓN </w:t>
            </w:r>
          </w:p>
        </w:tc>
      </w:tr>
      <w:tr w:rsidR="000E4C9E" w:rsidRPr="000876AA" w14:paraId="14FF5A59" w14:textId="77777777" w:rsidTr="00245F2A">
        <w:trPr>
          <w:jc w:val="center"/>
        </w:trPr>
        <w:tc>
          <w:tcPr>
            <w:tcW w:w="1344" w:type="pct"/>
            <w:shd w:val="clear" w:color="auto" w:fill="auto"/>
            <w:vAlign w:val="center"/>
          </w:tcPr>
          <w:p w14:paraId="6C0E19ED" w14:textId="77777777" w:rsidR="000E4C9E" w:rsidRPr="000876AA" w:rsidRDefault="000E4C9E" w:rsidP="00AF23AC">
            <w:pPr>
              <w:tabs>
                <w:tab w:val="center" w:pos="4536"/>
              </w:tabs>
              <w:jc w:val="both"/>
              <w:rPr>
                <w:rFonts w:ascii="Arial" w:eastAsia="Calibri" w:hAnsi="Arial" w:cs="Arial"/>
                <w:bCs/>
                <w:sz w:val="18"/>
                <w:szCs w:val="18"/>
              </w:rPr>
            </w:pPr>
            <w:r w:rsidRPr="000876AA">
              <w:rPr>
                <w:rFonts w:ascii="Arial" w:eastAsia="Calibri" w:hAnsi="Arial" w:cs="Arial"/>
                <w:bCs/>
                <w:sz w:val="18"/>
                <w:szCs w:val="18"/>
              </w:rPr>
              <w:t>¿Se requiere efectuar cambios en el sistema?</w:t>
            </w:r>
          </w:p>
        </w:tc>
        <w:tc>
          <w:tcPr>
            <w:tcW w:w="3656" w:type="pct"/>
            <w:shd w:val="clear" w:color="auto" w:fill="auto"/>
            <w:vAlign w:val="center"/>
          </w:tcPr>
          <w:p w14:paraId="740593AD" w14:textId="6C255B15" w:rsidR="00A843C9" w:rsidRPr="000876AA" w:rsidRDefault="001E6B61" w:rsidP="00AF23AC">
            <w:pPr>
              <w:jc w:val="both"/>
              <w:rPr>
                <w:rFonts w:ascii="Arial" w:hAnsi="Arial" w:cs="Arial"/>
                <w:sz w:val="18"/>
                <w:szCs w:val="18"/>
              </w:rPr>
            </w:pPr>
            <w:r w:rsidRPr="000876AA">
              <w:rPr>
                <w:rFonts w:ascii="Arial" w:hAnsi="Arial" w:cs="Arial"/>
                <w:sz w:val="18"/>
                <w:szCs w:val="18"/>
              </w:rPr>
              <w:t>Si. Teniendo en cuenta la r</w:t>
            </w:r>
            <w:r w:rsidR="002516C5" w:rsidRPr="000876AA">
              <w:rPr>
                <w:rFonts w:ascii="Arial" w:hAnsi="Arial" w:cs="Arial"/>
                <w:sz w:val="18"/>
                <w:szCs w:val="18"/>
              </w:rPr>
              <w:t>eestructuración DEAJ y ampliaciones de planta</w:t>
            </w:r>
            <w:r w:rsidRPr="000876AA">
              <w:rPr>
                <w:rFonts w:ascii="Arial" w:hAnsi="Arial" w:cs="Arial"/>
                <w:sz w:val="18"/>
                <w:szCs w:val="18"/>
              </w:rPr>
              <w:t>, planificadas por la Directora Ejecutiva para el año 2023.</w:t>
            </w:r>
          </w:p>
        </w:tc>
      </w:tr>
      <w:tr w:rsidR="00E8630A" w:rsidRPr="000876AA" w14:paraId="4D498749" w14:textId="77777777" w:rsidTr="00245F2A">
        <w:trPr>
          <w:jc w:val="center"/>
        </w:trPr>
        <w:tc>
          <w:tcPr>
            <w:tcW w:w="1344" w:type="pct"/>
            <w:shd w:val="clear" w:color="auto" w:fill="auto"/>
            <w:vAlign w:val="center"/>
          </w:tcPr>
          <w:p w14:paraId="6FCC2395" w14:textId="77777777" w:rsidR="00E8630A" w:rsidRPr="000876AA" w:rsidRDefault="00E8630A" w:rsidP="00AF23AC">
            <w:pPr>
              <w:jc w:val="both"/>
              <w:rPr>
                <w:rFonts w:ascii="Arial" w:hAnsi="Arial" w:cs="Arial"/>
                <w:sz w:val="18"/>
                <w:szCs w:val="18"/>
              </w:rPr>
            </w:pPr>
            <w:bookmarkStart w:id="19" w:name="_Hlk57708098"/>
            <w:r w:rsidRPr="000876AA">
              <w:rPr>
                <w:rFonts w:ascii="Arial" w:hAnsi="Arial" w:cs="Arial"/>
                <w:sz w:val="18"/>
                <w:szCs w:val="18"/>
              </w:rPr>
              <w:t>¿Se requiere necesidad de recursos</w:t>
            </w:r>
            <w:r w:rsidRPr="000876AA">
              <w:rPr>
                <w:rFonts w:ascii="Arial" w:eastAsia="Calibri" w:hAnsi="Arial" w:cs="Arial"/>
                <w:bCs/>
                <w:sz w:val="18"/>
                <w:szCs w:val="18"/>
              </w:rPr>
              <w:t>?</w:t>
            </w:r>
          </w:p>
        </w:tc>
        <w:tc>
          <w:tcPr>
            <w:tcW w:w="3656" w:type="pct"/>
            <w:shd w:val="clear" w:color="auto" w:fill="auto"/>
            <w:vAlign w:val="center"/>
          </w:tcPr>
          <w:p w14:paraId="057DFC6D" w14:textId="515199AF" w:rsidR="00E8630A" w:rsidRPr="000876AA" w:rsidRDefault="002516C5" w:rsidP="00AF23AC">
            <w:pPr>
              <w:jc w:val="both"/>
              <w:rPr>
                <w:rFonts w:ascii="Arial" w:hAnsi="Arial" w:cs="Arial"/>
                <w:sz w:val="18"/>
                <w:szCs w:val="18"/>
              </w:rPr>
            </w:pPr>
            <w:r w:rsidRPr="000876AA">
              <w:rPr>
                <w:rFonts w:ascii="Arial" w:hAnsi="Arial" w:cs="Arial"/>
                <w:sz w:val="18"/>
                <w:szCs w:val="18"/>
              </w:rPr>
              <w:t xml:space="preserve">Si. </w:t>
            </w:r>
            <w:r w:rsidR="001E6B61" w:rsidRPr="000876AA">
              <w:rPr>
                <w:rFonts w:ascii="Arial" w:hAnsi="Arial" w:cs="Arial"/>
                <w:sz w:val="18"/>
                <w:szCs w:val="18"/>
              </w:rPr>
              <w:t xml:space="preserve">Con el fin de sensibilizar, capacitar y realizar </w:t>
            </w:r>
            <w:proofErr w:type="spellStart"/>
            <w:r w:rsidR="001E6B61" w:rsidRPr="000876AA">
              <w:rPr>
                <w:rFonts w:ascii="Arial" w:hAnsi="Arial" w:cs="Arial"/>
                <w:sz w:val="18"/>
                <w:szCs w:val="18"/>
              </w:rPr>
              <w:t>re-inducción</w:t>
            </w:r>
            <w:proofErr w:type="spellEnd"/>
            <w:r w:rsidR="001E6B61" w:rsidRPr="000876AA">
              <w:rPr>
                <w:rFonts w:ascii="Arial" w:hAnsi="Arial" w:cs="Arial"/>
                <w:sz w:val="18"/>
                <w:szCs w:val="18"/>
              </w:rPr>
              <w:t xml:space="preserve"> al personal de las unidades, conforme los cambios en la estructura.</w:t>
            </w:r>
          </w:p>
        </w:tc>
      </w:tr>
      <w:bookmarkEnd w:id="18"/>
      <w:bookmarkEnd w:id="19"/>
    </w:tbl>
    <w:p w14:paraId="03AFF9D7" w14:textId="77777777" w:rsidR="006A6138" w:rsidRPr="000876AA" w:rsidRDefault="006A6138" w:rsidP="00AF23AC">
      <w:pPr>
        <w:jc w:val="both"/>
        <w:rPr>
          <w:rFonts w:ascii="Arial" w:hAnsi="Arial" w:cs="Arial"/>
          <w:b/>
          <w:sz w:val="22"/>
          <w:szCs w:val="22"/>
        </w:rPr>
      </w:pPr>
    </w:p>
    <w:p w14:paraId="2D3A83E9" w14:textId="77777777" w:rsidR="000E4C9E" w:rsidRPr="000876AA" w:rsidRDefault="004177D3" w:rsidP="00AD15F9">
      <w:pPr>
        <w:numPr>
          <w:ilvl w:val="0"/>
          <w:numId w:val="31"/>
        </w:numPr>
        <w:jc w:val="both"/>
        <w:rPr>
          <w:rFonts w:ascii="Arial" w:hAnsi="Arial" w:cs="Arial"/>
          <w:b/>
          <w:bCs/>
          <w:sz w:val="22"/>
          <w:szCs w:val="22"/>
        </w:rPr>
      </w:pPr>
      <w:r w:rsidRPr="000876AA">
        <w:rPr>
          <w:rFonts w:ascii="Arial" w:hAnsi="Arial" w:cs="Arial"/>
          <w:b/>
          <w:bCs/>
          <w:sz w:val="22"/>
          <w:szCs w:val="22"/>
        </w:rPr>
        <w:t xml:space="preserve"> </w:t>
      </w:r>
      <w:r w:rsidR="000E4C9E" w:rsidRPr="000876AA">
        <w:rPr>
          <w:rFonts w:ascii="Arial" w:hAnsi="Arial" w:cs="Arial"/>
          <w:b/>
          <w:bCs/>
          <w:sz w:val="22"/>
          <w:szCs w:val="22"/>
        </w:rPr>
        <w:t xml:space="preserve">CONCLUSIONES </w:t>
      </w:r>
    </w:p>
    <w:p w14:paraId="38E357AA" w14:textId="77777777" w:rsidR="000E4C9E" w:rsidRPr="000876AA" w:rsidRDefault="000E4C9E" w:rsidP="00AF23AC">
      <w:pPr>
        <w:jc w:val="both"/>
        <w:rPr>
          <w:rFonts w:ascii="Arial" w:hAnsi="Arial" w:cs="Arial"/>
          <w:b/>
          <w:sz w:val="22"/>
          <w:szCs w:val="22"/>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28" w:type="dxa"/>
          <w:left w:w="28" w:type="dxa"/>
          <w:bottom w:w="28" w:type="dxa"/>
          <w:right w:w="28" w:type="dxa"/>
        </w:tblCellMar>
        <w:tblLook w:val="04A0" w:firstRow="1" w:lastRow="0" w:firstColumn="1" w:lastColumn="0" w:noHBand="0" w:noVBand="1"/>
      </w:tblPr>
      <w:tblGrid>
        <w:gridCol w:w="1718"/>
        <w:gridCol w:w="8246"/>
      </w:tblGrid>
      <w:tr w:rsidR="000E4C9E" w:rsidRPr="000876AA" w14:paraId="2116EAAF" w14:textId="77777777" w:rsidTr="00FC2A7B">
        <w:trPr>
          <w:trHeight w:val="20"/>
          <w:tblHeader/>
          <w:jc w:val="center"/>
        </w:trPr>
        <w:tc>
          <w:tcPr>
            <w:tcW w:w="862" w:type="pct"/>
            <w:shd w:val="clear" w:color="auto" w:fill="D9D9D9"/>
            <w:vAlign w:val="center"/>
          </w:tcPr>
          <w:p w14:paraId="04A6DC51" w14:textId="77777777" w:rsidR="000E4C9E" w:rsidRPr="000876AA" w:rsidRDefault="000E4C9E" w:rsidP="001D2ECE">
            <w:pPr>
              <w:jc w:val="center"/>
              <w:rPr>
                <w:rFonts w:ascii="Arial" w:hAnsi="Arial" w:cs="Arial"/>
                <w:b/>
                <w:sz w:val="18"/>
                <w:szCs w:val="18"/>
              </w:rPr>
            </w:pPr>
            <w:bookmarkStart w:id="20" w:name="_Hlk57712575"/>
            <w:r w:rsidRPr="000876AA">
              <w:rPr>
                <w:rFonts w:ascii="Arial" w:hAnsi="Arial" w:cs="Arial"/>
                <w:b/>
                <w:sz w:val="18"/>
                <w:szCs w:val="18"/>
              </w:rPr>
              <w:t xml:space="preserve">CONDICIÓN </w:t>
            </w:r>
          </w:p>
        </w:tc>
        <w:tc>
          <w:tcPr>
            <w:tcW w:w="4138" w:type="pct"/>
            <w:shd w:val="clear" w:color="auto" w:fill="D9D9D9"/>
            <w:vAlign w:val="center"/>
          </w:tcPr>
          <w:p w14:paraId="105ED4D0" w14:textId="77777777" w:rsidR="000E4C9E" w:rsidRPr="000876AA" w:rsidRDefault="000E4C9E" w:rsidP="001D2ECE">
            <w:pPr>
              <w:jc w:val="center"/>
              <w:rPr>
                <w:rFonts w:ascii="Arial" w:hAnsi="Arial" w:cs="Arial"/>
                <w:b/>
                <w:sz w:val="18"/>
                <w:szCs w:val="18"/>
              </w:rPr>
            </w:pPr>
            <w:r w:rsidRPr="000876AA">
              <w:rPr>
                <w:rFonts w:ascii="Arial" w:hAnsi="Arial" w:cs="Arial"/>
                <w:b/>
                <w:sz w:val="18"/>
                <w:szCs w:val="18"/>
              </w:rPr>
              <w:t xml:space="preserve">PARA LOS </w:t>
            </w:r>
            <w:r w:rsidR="00845571" w:rsidRPr="000876AA">
              <w:rPr>
                <w:rFonts w:ascii="Arial" w:hAnsi="Arial" w:cs="Arial"/>
                <w:b/>
                <w:sz w:val="18"/>
                <w:szCs w:val="18"/>
              </w:rPr>
              <w:t>PROPÓSITOS</w:t>
            </w:r>
            <w:r w:rsidRPr="000876AA">
              <w:rPr>
                <w:rFonts w:ascii="Arial" w:hAnsi="Arial" w:cs="Arial"/>
                <w:b/>
                <w:sz w:val="18"/>
                <w:szCs w:val="18"/>
              </w:rPr>
              <w:t xml:space="preserve"> </w:t>
            </w:r>
            <w:r w:rsidR="002016AA" w:rsidRPr="000876AA">
              <w:rPr>
                <w:rFonts w:ascii="Arial" w:hAnsi="Arial" w:cs="Arial"/>
                <w:b/>
                <w:sz w:val="18"/>
                <w:szCs w:val="18"/>
              </w:rPr>
              <w:t>CSJ,</w:t>
            </w:r>
            <w:r w:rsidRPr="000876AA">
              <w:rPr>
                <w:rFonts w:ascii="Arial" w:hAnsi="Arial" w:cs="Arial"/>
                <w:b/>
                <w:sz w:val="18"/>
                <w:szCs w:val="18"/>
              </w:rPr>
              <w:t xml:space="preserve"> EL SISTEMA</w:t>
            </w:r>
          </w:p>
        </w:tc>
      </w:tr>
      <w:tr w:rsidR="000E4C9E" w:rsidRPr="000876AA" w14:paraId="46A56F7A" w14:textId="77777777" w:rsidTr="00FC2A7B">
        <w:trPr>
          <w:trHeight w:val="20"/>
          <w:jc w:val="center"/>
        </w:trPr>
        <w:tc>
          <w:tcPr>
            <w:tcW w:w="862" w:type="pct"/>
            <w:shd w:val="clear" w:color="auto" w:fill="auto"/>
            <w:vAlign w:val="center"/>
          </w:tcPr>
          <w:p w14:paraId="0735FB1E" w14:textId="404712EE" w:rsidR="000E4C9E" w:rsidRPr="000876AA" w:rsidRDefault="004177D3" w:rsidP="00620C7A">
            <w:pPr>
              <w:pStyle w:val="Prrafodelista"/>
              <w:tabs>
                <w:tab w:val="center" w:pos="4536"/>
              </w:tabs>
              <w:spacing w:after="0" w:line="240" w:lineRule="auto"/>
              <w:ind w:left="0"/>
              <w:contextualSpacing w:val="0"/>
              <w:rPr>
                <w:rFonts w:ascii="Arial" w:hAnsi="Arial" w:cs="Arial"/>
                <w:bCs/>
                <w:sz w:val="18"/>
                <w:szCs w:val="18"/>
              </w:rPr>
            </w:pPr>
            <w:r w:rsidRPr="000876AA">
              <w:rPr>
                <w:rFonts w:ascii="Arial" w:hAnsi="Arial" w:cs="Arial"/>
                <w:bCs/>
                <w:sz w:val="18"/>
                <w:szCs w:val="18"/>
              </w:rPr>
              <w:t xml:space="preserve">a) </w:t>
            </w:r>
            <w:r w:rsidR="000E4C9E" w:rsidRPr="000876AA">
              <w:rPr>
                <w:rFonts w:ascii="Arial" w:hAnsi="Arial" w:cs="Arial"/>
                <w:bCs/>
                <w:sz w:val="18"/>
                <w:szCs w:val="18"/>
              </w:rPr>
              <w:t>¿Sigue siendo suficiente?</w:t>
            </w:r>
            <w:r w:rsidR="00620C7A" w:rsidRPr="000876AA">
              <w:rPr>
                <w:rFonts w:ascii="Arial" w:hAnsi="Arial" w:cs="Arial"/>
                <w:bCs/>
                <w:sz w:val="18"/>
                <w:szCs w:val="18"/>
              </w:rPr>
              <w:t xml:space="preserve"> </w:t>
            </w:r>
            <w:r w:rsidR="000E4C9E" w:rsidRPr="000876AA">
              <w:rPr>
                <w:rFonts w:ascii="Arial" w:hAnsi="Arial" w:cs="Arial"/>
                <w:bCs/>
                <w:sz w:val="18"/>
                <w:szCs w:val="18"/>
              </w:rPr>
              <w:t>ADECUADO.</w:t>
            </w:r>
          </w:p>
        </w:tc>
        <w:tc>
          <w:tcPr>
            <w:tcW w:w="4138" w:type="pct"/>
            <w:shd w:val="clear" w:color="auto" w:fill="auto"/>
            <w:vAlign w:val="center"/>
          </w:tcPr>
          <w:p w14:paraId="3CEF6293" w14:textId="48A96E50" w:rsidR="000E4C9E" w:rsidRPr="000876AA" w:rsidRDefault="00445B38" w:rsidP="00A6416B">
            <w:pPr>
              <w:jc w:val="both"/>
              <w:rPr>
                <w:rFonts w:ascii="Arial" w:hAnsi="Arial" w:cs="Arial"/>
                <w:color w:val="000000"/>
                <w:sz w:val="18"/>
                <w:szCs w:val="18"/>
              </w:rPr>
            </w:pPr>
            <w:r w:rsidRPr="000876AA">
              <w:rPr>
                <w:rFonts w:ascii="Arial" w:hAnsi="Arial" w:cs="Arial"/>
                <w:color w:val="000000"/>
                <w:sz w:val="18"/>
                <w:szCs w:val="18"/>
              </w:rPr>
              <w:t>Sí</w:t>
            </w:r>
            <w:r w:rsidR="00A05DB4" w:rsidRPr="000876AA">
              <w:rPr>
                <w:rFonts w:ascii="Arial" w:hAnsi="Arial" w:cs="Arial"/>
                <w:color w:val="000000"/>
                <w:sz w:val="18"/>
                <w:szCs w:val="18"/>
              </w:rPr>
              <w:t>. El</w:t>
            </w:r>
            <w:r w:rsidRPr="000876AA">
              <w:rPr>
                <w:rFonts w:ascii="Arial" w:hAnsi="Arial" w:cs="Arial"/>
                <w:color w:val="000000"/>
                <w:sz w:val="18"/>
                <w:szCs w:val="18"/>
              </w:rPr>
              <w:t xml:space="preserve"> proceso</w:t>
            </w:r>
            <w:r w:rsidR="00A05DB4" w:rsidRPr="000876AA">
              <w:rPr>
                <w:rFonts w:ascii="Arial" w:hAnsi="Arial" w:cs="Arial"/>
                <w:color w:val="000000"/>
                <w:sz w:val="18"/>
                <w:szCs w:val="18"/>
              </w:rPr>
              <w:t xml:space="preserve"> </w:t>
            </w:r>
            <w:r w:rsidR="00965178" w:rsidRPr="000876AA">
              <w:rPr>
                <w:rFonts w:ascii="Arial" w:hAnsi="Arial" w:cs="Arial"/>
                <w:color w:val="000000"/>
                <w:sz w:val="18"/>
                <w:szCs w:val="18"/>
              </w:rPr>
              <w:t xml:space="preserve">de </w:t>
            </w:r>
            <w:r w:rsidRPr="000876AA">
              <w:rPr>
                <w:rFonts w:ascii="Arial" w:hAnsi="Arial" w:cs="Arial"/>
                <w:color w:val="000000"/>
                <w:sz w:val="18"/>
                <w:szCs w:val="18"/>
              </w:rPr>
              <w:t xml:space="preserve">Gestión </w:t>
            </w:r>
            <w:r w:rsidR="00965178" w:rsidRPr="000876AA">
              <w:rPr>
                <w:rFonts w:ascii="Arial" w:hAnsi="Arial" w:cs="Arial"/>
                <w:color w:val="000000"/>
                <w:sz w:val="18"/>
                <w:szCs w:val="18"/>
              </w:rPr>
              <w:t xml:space="preserve">Financiera y Presupuestal </w:t>
            </w:r>
            <w:r w:rsidR="000C5886" w:rsidRPr="000876AA">
              <w:rPr>
                <w:rFonts w:ascii="Arial" w:hAnsi="Arial" w:cs="Arial"/>
                <w:color w:val="000000"/>
                <w:sz w:val="18"/>
                <w:szCs w:val="18"/>
              </w:rPr>
              <w:t xml:space="preserve">es </w:t>
            </w:r>
            <w:r w:rsidR="00226F45" w:rsidRPr="000876AA">
              <w:rPr>
                <w:rFonts w:ascii="Arial" w:hAnsi="Arial" w:cs="Arial"/>
                <w:color w:val="000000"/>
                <w:sz w:val="18"/>
                <w:szCs w:val="18"/>
              </w:rPr>
              <w:t>adecuado</w:t>
            </w:r>
            <w:r w:rsidRPr="000876AA">
              <w:rPr>
                <w:rFonts w:ascii="Arial" w:hAnsi="Arial" w:cs="Arial"/>
                <w:color w:val="000000"/>
                <w:sz w:val="18"/>
                <w:szCs w:val="18"/>
              </w:rPr>
              <w:t>, porque</w:t>
            </w:r>
            <w:r w:rsidR="000C5886" w:rsidRPr="000876AA">
              <w:rPr>
                <w:rFonts w:ascii="Arial" w:hAnsi="Arial" w:cs="Arial"/>
                <w:color w:val="000000"/>
                <w:sz w:val="18"/>
                <w:szCs w:val="18"/>
              </w:rPr>
              <w:t xml:space="preserve"> </w:t>
            </w:r>
            <w:r w:rsidR="00226F45" w:rsidRPr="000876AA">
              <w:rPr>
                <w:rFonts w:ascii="Arial" w:hAnsi="Arial" w:cs="Arial"/>
                <w:color w:val="000000"/>
                <w:sz w:val="18"/>
                <w:szCs w:val="18"/>
              </w:rPr>
              <w:t xml:space="preserve">permite </w:t>
            </w:r>
            <w:r w:rsidRPr="000876AA">
              <w:rPr>
                <w:rFonts w:ascii="Arial" w:hAnsi="Arial" w:cs="Arial"/>
                <w:color w:val="000000"/>
                <w:sz w:val="18"/>
                <w:szCs w:val="18"/>
              </w:rPr>
              <w:t>aporta</w:t>
            </w:r>
            <w:r w:rsidR="00226F45" w:rsidRPr="000876AA">
              <w:rPr>
                <w:rFonts w:ascii="Arial" w:hAnsi="Arial" w:cs="Arial"/>
                <w:color w:val="000000"/>
                <w:sz w:val="18"/>
                <w:szCs w:val="18"/>
              </w:rPr>
              <w:t>r</w:t>
            </w:r>
            <w:r w:rsidRPr="000876AA">
              <w:rPr>
                <w:rFonts w:ascii="Arial" w:hAnsi="Arial" w:cs="Arial"/>
                <w:color w:val="000000"/>
                <w:sz w:val="18"/>
                <w:szCs w:val="18"/>
              </w:rPr>
              <w:t xml:space="preserve"> al cumplimiento de la</w:t>
            </w:r>
            <w:r w:rsidR="000C5886" w:rsidRPr="000876AA">
              <w:rPr>
                <w:rFonts w:ascii="Arial" w:hAnsi="Arial" w:cs="Arial"/>
                <w:color w:val="000000"/>
                <w:sz w:val="18"/>
                <w:szCs w:val="18"/>
              </w:rPr>
              <w:t xml:space="preserve"> </w:t>
            </w:r>
            <w:r w:rsidRPr="000876AA">
              <w:rPr>
                <w:rFonts w:ascii="Arial" w:hAnsi="Arial" w:cs="Arial"/>
                <w:color w:val="000000"/>
                <w:sz w:val="18"/>
                <w:szCs w:val="18"/>
              </w:rPr>
              <w:t>misional</w:t>
            </w:r>
            <w:r w:rsidR="000C5886" w:rsidRPr="000876AA">
              <w:rPr>
                <w:rFonts w:ascii="Arial" w:hAnsi="Arial" w:cs="Arial"/>
                <w:color w:val="000000"/>
                <w:sz w:val="18"/>
                <w:szCs w:val="18"/>
              </w:rPr>
              <w:t xml:space="preserve"> institucional y la satisfacción de </w:t>
            </w:r>
            <w:r w:rsidR="00965178" w:rsidRPr="000876AA">
              <w:rPr>
                <w:rFonts w:ascii="Arial" w:hAnsi="Arial" w:cs="Arial"/>
                <w:color w:val="000000"/>
                <w:sz w:val="18"/>
                <w:szCs w:val="18"/>
              </w:rPr>
              <w:t>las partes interesadas</w:t>
            </w:r>
            <w:r w:rsidR="000C5886" w:rsidRPr="000876AA">
              <w:rPr>
                <w:rFonts w:ascii="Arial" w:hAnsi="Arial" w:cs="Arial"/>
                <w:color w:val="000000"/>
                <w:sz w:val="18"/>
                <w:szCs w:val="18"/>
              </w:rPr>
              <w:t>, ade</w:t>
            </w:r>
            <w:r w:rsidR="000049D9" w:rsidRPr="000876AA">
              <w:rPr>
                <w:rFonts w:ascii="Arial" w:hAnsi="Arial" w:cs="Arial"/>
                <w:color w:val="000000"/>
                <w:sz w:val="18"/>
                <w:szCs w:val="18"/>
              </w:rPr>
              <w:t xml:space="preserve">más de que con este se cumplen las disposiciones constitucionales, legales y reglamentarias en materia de </w:t>
            </w:r>
            <w:r w:rsidR="00965178" w:rsidRPr="000876AA">
              <w:rPr>
                <w:rFonts w:ascii="Arial" w:hAnsi="Arial" w:cs="Arial"/>
                <w:color w:val="000000"/>
                <w:sz w:val="18"/>
                <w:szCs w:val="18"/>
              </w:rPr>
              <w:t>presupuesto y planeación</w:t>
            </w:r>
            <w:r w:rsidR="00A9714D" w:rsidRPr="000876AA">
              <w:rPr>
                <w:rFonts w:ascii="Arial" w:hAnsi="Arial" w:cs="Arial"/>
                <w:color w:val="000000"/>
                <w:sz w:val="18"/>
                <w:szCs w:val="18"/>
              </w:rPr>
              <w:t xml:space="preserve">, así como </w:t>
            </w:r>
            <w:r w:rsidR="001A5FD9" w:rsidRPr="000876AA">
              <w:rPr>
                <w:rFonts w:ascii="Arial" w:hAnsi="Arial" w:cs="Arial"/>
                <w:color w:val="000000"/>
                <w:sz w:val="18"/>
                <w:szCs w:val="18"/>
              </w:rPr>
              <w:t xml:space="preserve">las políticas y lineamientos </w:t>
            </w:r>
            <w:r w:rsidR="005E539E" w:rsidRPr="000876AA">
              <w:rPr>
                <w:rFonts w:ascii="Arial" w:hAnsi="Arial" w:cs="Arial"/>
                <w:color w:val="000000"/>
                <w:sz w:val="18"/>
                <w:szCs w:val="18"/>
              </w:rPr>
              <w:t xml:space="preserve">establecidos por la </w:t>
            </w:r>
            <w:r w:rsidR="001A5FD9" w:rsidRPr="000876AA">
              <w:rPr>
                <w:rFonts w:ascii="Arial" w:hAnsi="Arial" w:cs="Arial"/>
                <w:color w:val="000000"/>
                <w:sz w:val="18"/>
                <w:szCs w:val="18"/>
              </w:rPr>
              <w:t xml:space="preserve">Dirección para el </w:t>
            </w:r>
            <w:r w:rsidR="005E539E" w:rsidRPr="000876AA">
              <w:rPr>
                <w:rFonts w:ascii="Arial" w:hAnsi="Arial" w:cs="Arial"/>
                <w:color w:val="000000"/>
                <w:sz w:val="18"/>
                <w:szCs w:val="18"/>
              </w:rPr>
              <w:t xml:space="preserve">mantenimiento y mejora continua del </w:t>
            </w:r>
            <w:r w:rsidR="001A5FD9" w:rsidRPr="000876AA">
              <w:rPr>
                <w:rFonts w:ascii="Arial" w:hAnsi="Arial" w:cs="Arial"/>
                <w:color w:val="000000"/>
                <w:sz w:val="18"/>
                <w:szCs w:val="18"/>
              </w:rPr>
              <w:t>SIGCMA</w:t>
            </w:r>
            <w:r w:rsidR="005E539E" w:rsidRPr="000876AA">
              <w:rPr>
                <w:rFonts w:ascii="Arial" w:hAnsi="Arial" w:cs="Arial"/>
                <w:color w:val="000000"/>
                <w:sz w:val="18"/>
                <w:szCs w:val="18"/>
              </w:rPr>
              <w:t>.</w:t>
            </w:r>
          </w:p>
        </w:tc>
      </w:tr>
      <w:tr w:rsidR="000E4C9E" w:rsidRPr="000876AA" w14:paraId="75FDE3F9" w14:textId="77777777" w:rsidTr="00FC2A7B">
        <w:trPr>
          <w:trHeight w:val="20"/>
          <w:jc w:val="center"/>
        </w:trPr>
        <w:tc>
          <w:tcPr>
            <w:tcW w:w="862" w:type="pct"/>
            <w:shd w:val="clear" w:color="auto" w:fill="auto"/>
            <w:vAlign w:val="center"/>
          </w:tcPr>
          <w:p w14:paraId="53B27F80" w14:textId="1A8B8204" w:rsidR="000E4C9E" w:rsidRPr="000876AA" w:rsidRDefault="004177D3" w:rsidP="00620C7A">
            <w:pPr>
              <w:pStyle w:val="Prrafodelista"/>
              <w:spacing w:after="0" w:line="240" w:lineRule="auto"/>
              <w:ind w:left="0"/>
              <w:contextualSpacing w:val="0"/>
              <w:rPr>
                <w:rFonts w:ascii="Arial" w:hAnsi="Arial" w:cs="Arial"/>
                <w:bCs/>
                <w:sz w:val="18"/>
                <w:szCs w:val="18"/>
              </w:rPr>
            </w:pPr>
            <w:r w:rsidRPr="000876AA">
              <w:rPr>
                <w:rFonts w:ascii="Arial" w:hAnsi="Arial" w:cs="Arial"/>
                <w:bCs/>
                <w:sz w:val="18"/>
                <w:szCs w:val="18"/>
              </w:rPr>
              <w:t xml:space="preserve">b) </w:t>
            </w:r>
            <w:r w:rsidR="000E4C9E" w:rsidRPr="000876AA">
              <w:rPr>
                <w:rFonts w:ascii="Arial" w:hAnsi="Arial" w:cs="Arial"/>
                <w:bCs/>
                <w:sz w:val="18"/>
                <w:szCs w:val="18"/>
              </w:rPr>
              <w:t>¿</w:t>
            </w:r>
            <w:r w:rsidR="003B482F" w:rsidRPr="000876AA">
              <w:rPr>
                <w:rFonts w:ascii="Arial" w:hAnsi="Arial" w:cs="Arial"/>
                <w:bCs/>
                <w:sz w:val="18"/>
                <w:szCs w:val="18"/>
              </w:rPr>
              <w:t>S</w:t>
            </w:r>
            <w:r w:rsidR="000E4C9E" w:rsidRPr="000876AA">
              <w:rPr>
                <w:rFonts w:ascii="Arial" w:hAnsi="Arial" w:cs="Arial"/>
                <w:bCs/>
                <w:sz w:val="18"/>
                <w:szCs w:val="18"/>
              </w:rPr>
              <w:t>igue siendo apto para su propósito</w:t>
            </w:r>
            <w:r w:rsidR="00A4500B" w:rsidRPr="000876AA">
              <w:rPr>
                <w:rFonts w:ascii="Arial" w:hAnsi="Arial" w:cs="Arial"/>
                <w:bCs/>
                <w:sz w:val="18"/>
                <w:szCs w:val="18"/>
              </w:rPr>
              <w:t>?</w:t>
            </w:r>
            <w:r w:rsidR="00620C7A" w:rsidRPr="000876AA">
              <w:rPr>
                <w:rFonts w:ascii="Arial" w:hAnsi="Arial" w:cs="Arial"/>
                <w:bCs/>
                <w:sz w:val="18"/>
                <w:szCs w:val="18"/>
              </w:rPr>
              <w:t xml:space="preserve"> </w:t>
            </w:r>
            <w:r w:rsidR="000E4C9E" w:rsidRPr="000876AA">
              <w:rPr>
                <w:rFonts w:ascii="Arial" w:hAnsi="Arial" w:cs="Arial"/>
                <w:bCs/>
                <w:sz w:val="18"/>
                <w:szCs w:val="18"/>
              </w:rPr>
              <w:t>CONVENIENTE</w:t>
            </w:r>
            <w:r w:rsidR="00AF23AC" w:rsidRPr="000876AA">
              <w:rPr>
                <w:rFonts w:ascii="Arial" w:hAnsi="Arial" w:cs="Arial"/>
                <w:bCs/>
                <w:sz w:val="18"/>
                <w:szCs w:val="18"/>
              </w:rPr>
              <w:t>.</w:t>
            </w:r>
          </w:p>
        </w:tc>
        <w:tc>
          <w:tcPr>
            <w:tcW w:w="4138" w:type="pct"/>
            <w:shd w:val="clear" w:color="auto" w:fill="auto"/>
            <w:vAlign w:val="center"/>
          </w:tcPr>
          <w:p w14:paraId="01D225B9" w14:textId="576A582C" w:rsidR="0036221F" w:rsidRPr="000876AA" w:rsidRDefault="00A05DB4" w:rsidP="00255EAE">
            <w:pPr>
              <w:jc w:val="both"/>
              <w:rPr>
                <w:rFonts w:ascii="Arial" w:hAnsi="Arial" w:cs="Arial"/>
                <w:color w:val="FF0000"/>
                <w:sz w:val="18"/>
                <w:szCs w:val="18"/>
              </w:rPr>
            </w:pPr>
            <w:r w:rsidRPr="000876AA">
              <w:rPr>
                <w:rFonts w:ascii="Arial" w:hAnsi="Arial" w:cs="Arial"/>
                <w:sz w:val="18"/>
                <w:szCs w:val="18"/>
              </w:rPr>
              <w:t>S</w:t>
            </w:r>
            <w:r w:rsidR="00180948" w:rsidRPr="000876AA">
              <w:rPr>
                <w:rFonts w:ascii="Arial" w:hAnsi="Arial" w:cs="Arial"/>
                <w:sz w:val="18"/>
                <w:szCs w:val="18"/>
              </w:rPr>
              <w:t xml:space="preserve">í. El </w:t>
            </w:r>
            <w:r w:rsidRPr="000876AA">
              <w:rPr>
                <w:rFonts w:ascii="Arial" w:hAnsi="Arial" w:cs="Arial"/>
                <w:sz w:val="18"/>
                <w:szCs w:val="18"/>
              </w:rPr>
              <w:t>proceso</w:t>
            </w:r>
            <w:r w:rsidR="00180948" w:rsidRPr="000876AA">
              <w:rPr>
                <w:rFonts w:ascii="Arial" w:hAnsi="Arial" w:cs="Arial"/>
                <w:sz w:val="18"/>
                <w:szCs w:val="18"/>
              </w:rPr>
              <w:t xml:space="preserve"> </w:t>
            </w:r>
            <w:r w:rsidR="00965178" w:rsidRPr="000876AA">
              <w:rPr>
                <w:rFonts w:ascii="Arial" w:hAnsi="Arial" w:cs="Arial"/>
                <w:color w:val="000000"/>
                <w:sz w:val="18"/>
                <w:szCs w:val="18"/>
              </w:rPr>
              <w:t>de Gestión Financiera y Presupuestal</w:t>
            </w:r>
            <w:r w:rsidR="00965178" w:rsidRPr="000876AA">
              <w:rPr>
                <w:rFonts w:ascii="Arial" w:hAnsi="Arial" w:cs="Arial"/>
                <w:sz w:val="18"/>
                <w:szCs w:val="18"/>
              </w:rPr>
              <w:t xml:space="preserve"> es conveniente dado que permite garantizar el adecuado manejo de los recursos públicos asignados a la Rama Judicial</w:t>
            </w:r>
            <w:r w:rsidR="005B2A31" w:rsidRPr="000876AA">
              <w:rPr>
                <w:rFonts w:ascii="Arial" w:hAnsi="Arial" w:cs="Arial"/>
                <w:sz w:val="18"/>
                <w:szCs w:val="18"/>
              </w:rPr>
              <w:t>.</w:t>
            </w:r>
            <w:r w:rsidR="00255EAE" w:rsidRPr="000876AA">
              <w:rPr>
                <w:rFonts w:ascii="Arial" w:hAnsi="Arial" w:cs="Arial"/>
                <w:sz w:val="18"/>
                <w:szCs w:val="18"/>
              </w:rPr>
              <w:t xml:space="preserve"> Todo esto con el objeto coadyuvar </w:t>
            </w:r>
            <w:r w:rsidR="00B342F3" w:rsidRPr="000876AA">
              <w:rPr>
                <w:rFonts w:ascii="Arial" w:hAnsi="Arial" w:cs="Arial"/>
                <w:sz w:val="18"/>
                <w:szCs w:val="18"/>
              </w:rPr>
              <w:t xml:space="preserve">con el </w:t>
            </w:r>
            <w:r w:rsidR="00255EAE" w:rsidRPr="000876AA">
              <w:rPr>
                <w:rFonts w:ascii="Arial" w:hAnsi="Arial" w:cs="Arial"/>
                <w:sz w:val="18"/>
                <w:szCs w:val="18"/>
              </w:rPr>
              <w:t xml:space="preserve">cumplimiento la </w:t>
            </w:r>
            <w:r w:rsidR="00B342F3" w:rsidRPr="000876AA">
              <w:rPr>
                <w:rFonts w:ascii="Arial" w:hAnsi="Arial" w:cs="Arial"/>
                <w:sz w:val="18"/>
                <w:szCs w:val="18"/>
              </w:rPr>
              <w:t>política de</w:t>
            </w:r>
            <w:r w:rsidR="00965178" w:rsidRPr="000876AA">
              <w:rPr>
                <w:rFonts w:ascii="Arial" w:hAnsi="Arial" w:cs="Arial"/>
                <w:sz w:val="18"/>
                <w:szCs w:val="18"/>
              </w:rPr>
              <w:t>l</w:t>
            </w:r>
            <w:r w:rsidR="00B342F3" w:rsidRPr="000876AA">
              <w:rPr>
                <w:rFonts w:ascii="Arial" w:hAnsi="Arial" w:cs="Arial"/>
                <w:sz w:val="18"/>
                <w:szCs w:val="18"/>
              </w:rPr>
              <w:t xml:space="preserve"> </w:t>
            </w:r>
            <w:r w:rsidR="00965178" w:rsidRPr="000876AA">
              <w:rPr>
                <w:rFonts w:ascii="Arial" w:hAnsi="Arial" w:cs="Arial"/>
                <w:sz w:val="18"/>
                <w:szCs w:val="18"/>
              </w:rPr>
              <w:t xml:space="preserve">SIGCMA </w:t>
            </w:r>
            <w:r w:rsidR="00B342F3" w:rsidRPr="000876AA">
              <w:rPr>
                <w:rFonts w:ascii="Arial" w:hAnsi="Arial" w:cs="Arial"/>
                <w:sz w:val="18"/>
                <w:szCs w:val="18"/>
              </w:rPr>
              <w:t>y de los objetivos institucionales y de</w:t>
            </w:r>
            <w:r w:rsidR="00965178" w:rsidRPr="000876AA">
              <w:rPr>
                <w:rFonts w:ascii="Arial" w:hAnsi="Arial" w:cs="Arial"/>
                <w:sz w:val="18"/>
                <w:szCs w:val="18"/>
              </w:rPr>
              <w:t>l</w:t>
            </w:r>
            <w:r w:rsidR="00B342F3" w:rsidRPr="000876AA">
              <w:rPr>
                <w:rFonts w:ascii="Arial" w:hAnsi="Arial" w:cs="Arial"/>
                <w:sz w:val="18"/>
                <w:szCs w:val="18"/>
              </w:rPr>
              <w:t xml:space="preserve"> </w:t>
            </w:r>
            <w:r w:rsidR="00965178" w:rsidRPr="000876AA">
              <w:rPr>
                <w:rFonts w:ascii="Arial" w:hAnsi="Arial" w:cs="Arial"/>
                <w:sz w:val="18"/>
                <w:szCs w:val="18"/>
              </w:rPr>
              <w:t xml:space="preserve">SIGCMA </w:t>
            </w:r>
            <w:r w:rsidR="00B342F3" w:rsidRPr="000876AA">
              <w:rPr>
                <w:rFonts w:ascii="Arial" w:hAnsi="Arial" w:cs="Arial"/>
                <w:sz w:val="18"/>
                <w:szCs w:val="18"/>
              </w:rPr>
              <w:t>definidos por la Rama Judicial.</w:t>
            </w:r>
          </w:p>
        </w:tc>
      </w:tr>
      <w:tr w:rsidR="000E4C9E" w:rsidRPr="000876AA" w14:paraId="7D0FF137" w14:textId="77777777" w:rsidTr="00FC2A7B">
        <w:trPr>
          <w:trHeight w:val="20"/>
          <w:jc w:val="center"/>
        </w:trPr>
        <w:tc>
          <w:tcPr>
            <w:tcW w:w="862" w:type="pct"/>
            <w:shd w:val="clear" w:color="auto" w:fill="auto"/>
            <w:vAlign w:val="center"/>
          </w:tcPr>
          <w:p w14:paraId="281FC963" w14:textId="49470910" w:rsidR="000E4C9E" w:rsidRPr="000876AA" w:rsidRDefault="004177D3" w:rsidP="00620C7A">
            <w:pPr>
              <w:pStyle w:val="Prrafodelista"/>
              <w:spacing w:after="0" w:line="240" w:lineRule="auto"/>
              <w:ind w:left="0"/>
              <w:contextualSpacing w:val="0"/>
              <w:rPr>
                <w:rFonts w:ascii="Arial" w:hAnsi="Arial" w:cs="Arial"/>
                <w:bCs/>
                <w:sz w:val="18"/>
                <w:szCs w:val="18"/>
              </w:rPr>
            </w:pPr>
            <w:r w:rsidRPr="000876AA">
              <w:rPr>
                <w:rFonts w:ascii="Arial" w:hAnsi="Arial" w:cs="Arial"/>
                <w:bCs/>
                <w:sz w:val="18"/>
                <w:szCs w:val="18"/>
              </w:rPr>
              <w:t xml:space="preserve">c) </w:t>
            </w:r>
            <w:r w:rsidR="000E4C9E" w:rsidRPr="000876AA">
              <w:rPr>
                <w:rFonts w:ascii="Arial" w:hAnsi="Arial" w:cs="Arial"/>
                <w:bCs/>
                <w:sz w:val="18"/>
                <w:szCs w:val="18"/>
              </w:rPr>
              <w:t>¿</w:t>
            </w:r>
            <w:r w:rsidR="003B482F" w:rsidRPr="000876AA">
              <w:rPr>
                <w:rFonts w:ascii="Arial" w:hAnsi="Arial" w:cs="Arial"/>
                <w:bCs/>
                <w:sz w:val="18"/>
                <w:szCs w:val="18"/>
              </w:rPr>
              <w:t>E</w:t>
            </w:r>
            <w:r w:rsidR="000E4C9E" w:rsidRPr="000876AA">
              <w:rPr>
                <w:rFonts w:ascii="Arial" w:hAnsi="Arial" w:cs="Arial"/>
                <w:bCs/>
                <w:sz w:val="18"/>
                <w:szCs w:val="18"/>
              </w:rPr>
              <w:t xml:space="preserve">stá alineado con la dirección </w:t>
            </w:r>
            <w:r w:rsidR="002016AA" w:rsidRPr="000876AA">
              <w:rPr>
                <w:rFonts w:ascii="Arial" w:hAnsi="Arial" w:cs="Arial"/>
                <w:bCs/>
                <w:sz w:val="18"/>
                <w:szCs w:val="18"/>
              </w:rPr>
              <w:t>estratégica?</w:t>
            </w:r>
            <w:r w:rsidR="00620C7A" w:rsidRPr="000876AA">
              <w:rPr>
                <w:rFonts w:ascii="Arial" w:hAnsi="Arial" w:cs="Arial"/>
                <w:bCs/>
                <w:sz w:val="18"/>
                <w:szCs w:val="18"/>
              </w:rPr>
              <w:t xml:space="preserve"> </w:t>
            </w:r>
            <w:r w:rsidR="000E4C9E" w:rsidRPr="000876AA">
              <w:rPr>
                <w:rFonts w:ascii="Arial" w:hAnsi="Arial" w:cs="Arial"/>
                <w:bCs/>
                <w:sz w:val="18"/>
                <w:szCs w:val="18"/>
              </w:rPr>
              <w:t>ALINEADO</w:t>
            </w:r>
            <w:r w:rsidR="00AF23AC" w:rsidRPr="000876AA">
              <w:rPr>
                <w:rFonts w:ascii="Arial" w:hAnsi="Arial" w:cs="Arial"/>
                <w:bCs/>
                <w:sz w:val="18"/>
                <w:szCs w:val="18"/>
              </w:rPr>
              <w:t>.</w:t>
            </w:r>
          </w:p>
        </w:tc>
        <w:tc>
          <w:tcPr>
            <w:tcW w:w="4138" w:type="pct"/>
            <w:shd w:val="clear" w:color="auto" w:fill="auto"/>
            <w:vAlign w:val="center"/>
          </w:tcPr>
          <w:p w14:paraId="667DA42B" w14:textId="7226C7FA" w:rsidR="000E4C9E" w:rsidRPr="000876AA" w:rsidRDefault="00DF65B3" w:rsidP="00DF65B3">
            <w:pPr>
              <w:jc w:val="both"/>
              <w:rPr>
                <w:rFonts w:ascii="Arial" w:hAnsi="Arial" w:cs="Arial"/>
                <w:color w:val="000000"/>
                <w:sz w:val="18"/>
                <w:szCs w:val="18"/>
              </w:rPr>
            </w:pPr>
            <w:r w:rsidRPr="000876AA">
              <w:rPr>
                <w:rFonts w:ascii="Arial" w:hAnsi="Arial" w:cs="Arial"/>
                <w:color w:val="000000"/>
                <w:sz w:val="18"/>
                <w:szCs w:val="18"/>
              </w:rPr>
              <w:t xml:space="preserve">Sí. </w:t>
            </w:r>
            <w:r w:rsidR="00422243" w:rsidRPr="000876AA">
              <w:rPr>
                <w:rFonts w:ascii="Arial" w:hAnsi="Arial" w:cs="Arial"/>
                <w:color w:val="000000"/>
                <w:sz w:val="18"/>
                <w:szCs w:val="18"/>
              </w:rPr>
              <w:t>E</w:t>
            </w:r>
            <w:r w:rsidRPr="000876AA">
              <w:rPr>
                <w:rFonts w:ascii="Arial" w:hAnsi="Arial" w:cs="Arial"/>
                <w:color w:val="000000"/>
                <w:sz w:val="18"/>
                <w:szCs w:val="18"/>
              </w:rPr>
              <w:t xml:space="preserve">l </w:t>
            </w:r>
            <w:r w:rsidR="00965178" w:rsidRPr="000876AA">
              <w:rPr>
                <w:rFonts w:ascii="Arial" w:hAnsi="Arial" w:cs="Arial"/>
                <w:sz w:val="18"/>
                <w:szCs w:val="18"/>
              </w:rPr>
              <w:t xml:space="preserve">proceso </w:t>
            </w:r>
            <w:r w:rsidR="00965178" w:rsidRPr="000876AA">
              <w:rPr>
                <w:rFonts w:ascii="Arial" w:hAnsi="Arial" w:cs="Arial"/>
                <w:color w:val="000000"/>
                <w:sz w:val="18"/>
                <w:szCs w:val="18"/>
              </w:rPr>
              <w:t>de Gestión Financiera y Presupuestal</w:t>
            </w:r>
            <w:r w:rsidRPr="000876AA">
              <w:rPr>
                <w:rFonts w:ascii="Arial" w:hAnsi="Arial" w:cs="Arial"/>
                <w:color w:val="000000"/>
                <w:sz w:val="18"/>
                <w:szCs w:val="18"/>
              </w:rPr>
              <w:t xml:space="preserve">, se encuentra alineado con los principios de la administración de justicia establecidos en la Constitución y la Ley, así como con la misión y visión definidas en la plataforma estratégica. La ejecución de sus actividades apunta al cumplimiento del </w:t>
            </w:r>
            <w:r w:rsidR="00965178" w:rsidRPr="000876AA">
              <w:rPr>
                <w:rFonts w:ascii="Arial" w:hAnsi="Arial" w:cs="Arial"/>
                <w:color w:val="000000"/>
                <w:sz w:val="18"/>
                <w:szCs w:val="18"/>
              </w:rPr>
              <w:t xml:space="preserve">objetivo </w:t>
            </w:r>
            <w:r w:rsidRPr="000876AA">
              <w:rPr>
                <w:rFonts w:ascii="Arial" w:hAnsi="Arial" w:cs="Arial"/>
                <w:color w:val="000000"/>
                <w:sz w:val="18"/>
                <w:szCs w:val="18"/>
              </w:rPr>
              <w:t xml:space="preserve">estratégico de </w:t>
            </w:r>
            <w:r w:rsidR="00965178" w:rsidRPr="000876AA">
              <w:rPr>
                <w:rFonts w:ascii="Arial" w:hAnsi="Arial" w:cs="Arial"/>
                <w:color w:val="000000"/>
                <w:sz w:val="18"/>
                <w:szCs w:val="18"/>
              </w:rPr>
              <w:t>Gobernanza</w:t>
            </w:r>
            <w:r w:rsidRPr="000876AA">
              <w:rPr>
                <w:rFonts w:ascii="Arial" w:hAnsi="Arial" w:cs="Arial"/>
                <w:color w:val="000000"/>
                <w:sz w:val="18"/>
                <w:szCs w:val="18"/>
              </w:rPr>
              <w:t>,</w:t>
            </w:r>
            <w:r w:rsidR="00965178" w:rsidRPr="000876AA">
              <w:rPr>
                <w:rFonts w:ascii="Arial" w:hAnsi="Arial" w:cs="Arial"/>
                <w:color w:val="000000"/>
                <w:sz w:val="18"/>
                <w:szCs w:val="18"/>
              </w:rPr>
              <w:t xml:space="preserve"> planeación estratégica y toma de </w:t>
            </w:r>
            <w:r w:rsidR="00D22D15" w:rsidRPr="000876AA">
              <w:rPr>
                <w:rFonts w:ascii="Arial" w:hAnsi="Arial" w:cs="Arial"/>
                <w:color w:val="000000"/>
                <w:sz w:val="18"/>
                <w:szCs w:val="18"/>
              </w:rPr>
              <w:t>decisiones</w:t>
            </w:r>
            <w:r w:rsidR="00965178" w:rsidRPr="000876AA">
              <w:rPr>
                <w:rFonts w:ascii="Arial" w:hAnsi="Arial" w:cs="Arial"/>
                <w:color w:val="000000"/>
                <w:sz w:val="18"/>
                <w:szCs w:val="18"/>
              </w:rPr>
              <w:t>,</w:t>
            </w:r>
            <w:r w:rsidRPr="000876AA">
              <w:rPr>
                <w:rFonts w:ascii="Arial" w:hAnsi="Arial" w:cs="Arial"/>
                <w:color w:val="000000"/>
                <w:sz w:val="18"/>
                <w:szCs w:val="18"/>
              </w:rPr>
              <w:t xml:space="preserve"> establecido en el Plan Sectorial de Desarrollo de la Rama Judicial</w:t>
            </w:r>
            <w:r w:rsidR="00965178" w:rsidRPr="000876AA">
              <w:rPr>
                <w:rFonts w:ascii="Arial" w:hAnsi="Arial" w:cs="Arial"/>
                <w:color w:val="000000"/>
                <w:sz w:val="18"/>
                <w:szCs w:val="18"/>
              </w:rPr>
              <w:t xml:space="preserve"> 2023-2026</w:t>
            </w:r>
          </w:p>
        </w:tc>
      </w:tr>
      <w:tr w:rsidR="000E4C9E" w:rsidRPr="000876AA" w14:paraId="71FBE8D4" w14:textId="77777777" w:rsidTr="00FC2A7B">
        <w:tblPrEx>
          <w:tblLook w:val="0000" w:firstRow="0" w:lastRow="0" w:firstColumn="0" w:lastColumn="0" w:noHBand="0" w:noVBand="0"/>
        </w:tblPrEx>
        <w:trPr>
          <w:trHeight w:val="20"/>
          <w:jc w:val="center"/>
        </w:trPr>
        <w:tc>
          <w:tcPr>
            <w:tcW w:w="862" w:type="pct"/>
            <w:shd w:val="clear" w:color="auto" w:fill="auto"/>
            <w:vAlign w:val="center"/>
          </w:tcPr>
          <w:p w14:paraId="67A5C4E3" w14:textId="6E557EBA" w:rsidR="000E4C9E" w:rsidRPr="000876AA" w:rsidRDefault="004177D3" w:rsidP="00620C7A">
            <w:pPr>
              <w:pStyle w:val="Prrafodelista"/>
              <w:spacing w:after="0" w:line="240" w:lineRule="auto"/>
              <w:ind w:left="0"/>
              <w:contextualSpacing w:val="0"/>
              <w:rPr>
                <w:rFonts w:ascii="Arial" w:hAnsi="Arial" w:cs="Arial"/>
                <w:bCs/>
                <w:sz w:val="18"/>
                <w:szCs w:val="18"/>
              </w:rPr>
            </w:pPr>
            <w:r w:rsidRPr="000876AA">
              <w:rPr>
                <w:rFonts w:ascii="Arial" w:hAnsi="Arial" w:cs="Arial"/>
                <w:bCs/>
                <w:sz w:val="18"/>
                <w:szCs w:val="18"/>
              </w:rPr>
              <w:t xml:space="preserve">d. </w:t>
            </w:r>
            <w:r w:rsidR="000E4C9E" w:rsidRPr="000876AA">
              <w:rPr>
                <w:rFonts w:ascii="Arial" w:hAnsi="Arial" w:cs="Arial"/>
                <w:bCs/>
                <w:sz w:val="18"/>
                <w:szCs w:val="18"/>
              </w:rPr>
              <w:t>¿</w:t>
            </w:r>
            <w:r w:rsidR="003B482F" w:rsidRPr="000876AA">
              <w:rPr>
                <w:rFonts w:ascii="Arial" w:hAnsi="Arial" w:cs="Arial"/>
                <w:bCs/>
                <w:sz w:val="18"/>
                <w:szCs w:val="18"/>
              </w:rPr>
              <w:t>S</w:t>
            </w:r>
            <w:r w:rsidR="000E4C9E" w:rsidRPr="000876AA">
              <w:rPr>
                <w:rFonts w:ascii="Arial" w:hAnsi="Arial" w:cs="Arial"/>
                <w:bCs/>
                <w:sz w:val="18"/>
                <w:szCs w:val="18"/>
              </w:rPr>
              <w:t xml:space="preserve">igue logrando los resultados </w:t>
            </w:r>
            <w:r w:rsidR="002016AA" w:rsidRPr="000876AA">
              <w:rPr>
                <w:rFonts w:ascii="Arial" w:hAnsi="Arial" w:cs="Arial"/>
                <w:bCs/>
                <w:sz w:val="18"/>
                <w:szCs w:val="18"/>
              </w:rPr>
              <w:t>previstos?</w:t>
            </w:r>
            <w:r w:rsidR="00620C7A" w:rsidRPr="000876AA">
              <w:rPr>
                <w:rFonts w:ascii="Arial" w:hAnsi="Arial" w:cs="Arial"/>
                <w:bCs/>
                <w:sz w:val="18"/>
                <w:szCs w:val="18"/>
              </w:rPr>
              <w:t xml:space="preserve"> </w:t>
            </w:r>
            <w:r w:rsidR="000E4C9E" w:rsidRPr="000876AA">
              <w:rPr>
                <w:rFonts w:ascii="Arial" w:hAnsi="Arial" w:cs="Arial"/>
                <w:bCs/>
                <w:sz w:val="18"/>
                <w:szCs w:val="18"/>
              </w:rPr>
              <w:t>EFICAZ</w:t>
            </w:r>
            <w:r w:rsidR="00AF23AC" w:rsidRPr="000876AA">
              <w:rPr>
                <w:rFonts w:ascii="Arial" w:hAnsi="Arial" w:cs="Arial"/>
                <w:bCs/>
                <w:sz w:val="18"/>
                <w:szCs w:val="18"/>
              </w:rPr>
              <w:t>.</w:t>
            </w:r>
          </w:p>
        </w:tc>
        <w:tc>
          <w:tcPr>
            <w:tcW w:w="4138" w:type="pct"/>
            <w:shd w:val="clear" w:color="auto" w:fill="auto"/>
            <w:vAlign w:val="center"/>
          </w:tcPr>
          <w:p w14:paraId="5D7F26AF" w14:textId="096AB1C1" w:rsidR="000E4C9E" w:rsidRPr="000876AA" w:rsidRDefault="00DB3627" w:rsidP="00422243">
            <w:pPr>
              <w:jc w:val="both"/>
              <w:rPr>
                <w:rFonts w:ascii="Arial" w:hAnsi="Arial" w:cs="Arial"/>
                <w:color w:val="FF0000"/>
                <w:sz w:val="18"/>
                <w:szCs w:val="18"/>
              </w:rPr>
            </w:pPr>
            <w:r w:rsidRPr="000876AA">
              <w:rPr>
                <w:rFonts w:ascii="Arial" w:hAnsi="Arial" w:cs="Arial"/>
                <w:sz w:val="18"/>
                <w:szCs w:val="18"/>
              </w:rPr>
              <w:t>Sí. Las actividades del proceso</w:t>
            </w:r>
            <w:r w:rsidR="00422243" w:rsidRPr="000876AA">
              <w:rPr>
                <w:rFonts w:ascii="Arial" w:hAnsi="Arial" w:cs="Arial"/>
                <w:color w:val="000000"/>
                <w:sz w:val="18"/>
                <w:szCs w:val="18"/>
              </w:rPr>
              <w:t xml:space="preserve"> </w:t>
            </w:r>
            <w:r w:rsidR="00965178" w:rsidRPr="000876AA">
              <w:rPr>
                <w:rFonts w:ascii="Arial" w:hAnsi="Arial" w:cs="Arial"/>
                <w:color w:val="000000"/>
                <w:sz w:val="18"/>
                <w:szCs w:val="18"/>
              </w:rPr>
              <w:t xml:space="preserve">Gestión Financiera y </w:t>
            </w:r>
            <w:r w:rsidR="00D22D15" w:rsidRPr="000876AA">
              <w:rPr>
                <w:rFonts w:ascii="Arial" w:hAnsi="Arial" w:cs="Arial"/>
                <w:color w:val="000000"/>
                <w:sz w:val="18"/>
                <w:szCs w:val="18"/>
              </w:rPr>
              <w:t>Presupuestal</w:t>
            </w:r>
            <w:r w:rsidR="00D22D15" w:rsidRPr="000876AA">
              <w:rPr>
                <w:rFonts w:ascii="Arial" w:hAnsi="Arial" w:cs="Arial"/>
                <w:sz w:val="18"/>
                <w:szCs w:val="18"/>
              </w:rPr>
              <w:t xml:space="preserve"> se</w:t>
            </w:r>
            <w:r w:rsidRPr="000876AA">
              <w:rPr>
                <w:rFonts w:ascii="Arial" w:hAnsi="Arial" w:cs="Arial"/>
                <w:sz w:val="18"/>
                <w:szCs w:val="18"/>
              </w:rPr>
              <w:t xml:space="preserve"> ejecutan conforme a lo planeado, cumpliendo con los requisitos </w:t>
            </w:r>
            <w:r w:rsidR="00E85EF9" w:rsidRPr="000876AA">
              <w:rPr>
                <w:rFonts w:ascii="Arial" w:hAnsi="Arial" w:cs="Arial"/>
                <w:sz w:val="18"/>
                <w:szCs w:val="18"/>
              </w:rPr>
              <w:t xml:space="preserve">constitucionales, </w:t>
            </w:r>
            <w:r w:rsidRPr="000876AA">
              <w:rPr>
                <w:rFonts w:ascii="Arial" w:hAnsi="Arial" w:cs="Arial"/>
                <w:sz w:val="18"/>
                <w:szCs w:val="18"/>
              </w:rPr>
              <w:t>legales, reglamentarios</w:t>
            </w:r>
            <w:r w:rsidR="00E85EF9" w:rsidRPr="000876AA">
              <w:rPr>
                <w:rFonts w:ascii="Arial" w:hAnsi="Arial" w:cs="Arial"/>
                <w:sz w:val="18"/>
                <w:szCs w:val="18"/>
              </w:rPr>
              <w:t xml:space="preserve">, normativos y </w:t>
            </w:r>
            <w:r w:rsidRPr="000876AA">
              <w:rPr>
                <w:rFonts w:ascii="Arial" w:hAnsi="Arial" w:cs="Arial"/>
                <w:sz w:val="18"/>
                <w:szCs w:val="18"/>
              </w:rPr>
              <w:t>otros</w:t>
            </w:r>
            <w:r w:rsidR="00E85EF9" w:rsidRPr="000876AA">
              <w:rPr>
                <w:rFonts w:ascii="Arial" w:hAnsi="Arial" w:cs="Arial"/>
                <w:sz w:val="18"/>
                <w:szCs w:val="18"/>
              </w:rPr>
              <w:t xml:space="preserve"> </w:t>
            </w:r>
            <w:r w:rsidRPr="000876AA">
              <w:rPr>
                <w:rFonts w:ascii="Arial" w:hAnsi="Arial" w:cs="Arial"/>
                <w:sz w:val="18"/>
                <w:szCs w:val="18"/>
              </w:rPr>
              <w:t>establecidos</w:t>
            </w:r>
            <w:r w:rsidR="008440FC" w:rsidRPr="000876AA">
              <w:rPr>
                <w:rFonts w:ascii="Arial" w:hAnsi="Arial" w:cs="Arial"/>
                <w:sz w:val="18"/>
                <w:szCs w:val="18"/>
              </w:rPr>
              <w:t xml:space="preserve">; </w:t>
            </w:r>
            <w:r w:rsidRPr="000876AA">
              <w:rPr>
                <w:rFonts w:ascii="Arial" w:hAnsi="Arial" w:cs="Arial"/>
                <w:sz w:val="18"/>
                <w:szCs w:val="18"/>
              </w:rPr>
              <w:t>en concordancia con la política de</w:t>
            </w:r>
            <w:r w:rsidR="00965178" w:rsidRPr="000876AA">
              <w:rPr>
                <w:rFonts w:ascii="Arial" w:hAnsi="Arial" w:cs="Arial"/>
                <w:sz w:val="18"/>
                <w:szCs w:val="18"/>
              </w:rPr>
              <w:t>l</w:t>
            </w:r>
            <w:r w:rsidRPr="000876AA">
              <w:rPr>
                <w:rFonts w:ascii="Arial" w:hAnsi="Arial" w:cs="Arial"/>
                <w:sz w:val="18"/>
                <w:szCs w:val="18"/>
              </w:rPr>
              <w:t xml:space="preserve"> </w:t>
            </w:r>
            <w:r w:rsidR="00965178" w:rsidRPr="000876AA">
              <w:rPr>
                <w:rFonts w:ascii="Arial" w:hAnsi="Arial" w:cs="Arial"/>
                <w:sz w:val="18"/>
                <w:szCs w:val="18"/>
              </w:rPr>
              <w:t xml:space="preserve">SIGCMA </w:t>
            </w:r>
            <w:r w:rsidR="00983E21" w:rsidRPr="000876AA">
              <w:rPr>
                <w:rFonts w:ascii="Arial" w:hAnsi="Arial" w:cs="Arial"/>
                <w:sz w:val="18"/>
                <w:szCs w:val="18"/>
              </w:rPr>
              <w:t xml:space="preserve">y </w:t>
            </w:r>
            <w:r w:rsidR="008440FC" w:rsidRPr="000876AA">
              <w:rPr>
                <w:rFonts w:ascii="Arial" w:hAnsi="Arial" w:cs="Arial"/>
                <w:sz w:val="18"/>
                <w:szCs w:val="18"/>
              </w:rPr>
              <w:t xml:space="preserve">los principios y objetivos del </w:t>
            </w:r>
            <w:r w:rsidR="00965178" w:rsidRPr="000876AA">
              <w:rPr>
                <w:rFonts w:ascii="Arial" w:hAnsi="Arial" w:cs="Arial"/>
                <w:sz w:val="18"/>
                <w:szCs w:val="18"/>
              </w:rPr>
              <w:t>mismo</w:t>
            </w:r>
            <w:r w:rsidR="00952470" w:rsidRPr="000876AA">
              <w:rPr>
                <w:rFonts w:ascii="Arial" w:hAnsi="Arial" w:cs="Arial"/>
                <w:sz w:val="18"/>
                <w:szCs w:val="18"/>
              </w:rPr>
              <w:t>.</w:t>
            </w:r>
          </w:p>
        </w:tc>
      </w:tr>
      <w:bookmarkEnd w:id="20"/>
    </w:tbl>
    <w:p w14:paraId="04C0FBA7" w14:textId="77777777" w:rsidR="006A6138" w:rsidRPr="000876AA" w:rsidRDefault="006A6138" w:rsidP="00AF23AC">
      <w:pPr>
        <w:tabs>
          <w:tab w:val="center" w:pos="4536"/>
        </w:tabs>
        <w:jc w:val="both"/>
        <w:rPr>
          <w:rFonts w:ascii="Arial" w:eastAsia="Calibri" w:hAnsi="Arial" w:cs="Arial"/>
          <w:b/>
          <w:sz w:val="22"/>
          <w:szCs w:val="22"/>
        </w:rPr>
      </w:pPr>
    </w:p>
    <w:p w14:paraId="2F54BE5A" w14:textId="77777777" w:rsidR="000E4C9E" w:rsidRPr="000876AA" w:rsidRDefault="000E4C9E" w:rsidP="00AD15F9">
      <w:pPr>
        <w:numPr>
          <w:ilvl w:val="0"/>
          <w:numId w:val="31"/>
        </w:numPr>
        <w:jc w:val="both"/>
        <w:rPr>
          <w:rFonts w:ascii="Arial" w:hAnsi="Arial" w:cs="Arial"/>
          <w:b/>
          <w:bCs/>
          <w:sz w:val="22"/>
          <w:szCs w:val="22"/>
        </w:rPr>
      </w:pPr>
      <w:r w:rsidRPr="000876AA">
        <w:rPr>
          <w:rFonts w:ascii="Arial" w:hAnsi="Arial" w:cs="Arial"/>
          <w:b/>
          <w:bCs/>
          <w:sz w:val="22"/>
          <w:szCs w:val="22"/>
        </w:rPr>
        <w:t>OTRAS CONCLUSIONES O COMENTARIOS</w:t>
      </w:r>
    </w:p>
    <w:p w14:paraId="6117569D" w14:textId="4D133796" w:rsidR="00AF23AC" w:rsidRPr="000876AA" w:rsidRDefault="00AF23AC" w:rsidP="00AF23AC">
      <w:pPr>
        <w:jc w:val="both"/>
        <w:rPr>
          <w:rFonts w:ascii="Arial" w:hAnsi="Arial" w:cs="Arial"/>
          <w:bCs/>
          <w:sz w:val="22"/>
          <w:szCs w:val="22"/>
        </w:rPr>
      </w:pPr>
    </w:p>
    <w:p w14:paraId="40398C2B" w14:textId="1900FAA8" w:rsidR="007B6EB5" w:rsidRPr="000876AA" w:rsidRDefault="007B6EB5" w:rsidP="007B6EB5">
      <w:pPr>
        <w:jc w:val="both"/>
        <w:rPr>
          <w:rFonts w:ascii="Arial" w:hAnsi="Arial" w:cs="Arial"/>
          <w:bCs/>
          <w:sz w:val="22"/>
          <w:szCs w:val="22"/>
        </w:rPr>
      </w:pPr>
      <w:r w:rsidRPr="000876AA">
        <w:rPr>
          <w:rFonts w:ascii="Arial" w:hAnsi="Arial" w:cs="Arial"/>
          <w:bCs/>
          <w:sz w:val="22"/>
          <w:szCs w:val="22"/>
        </w:rPr>
        <w:t xml:space="preserve">De acuerdo con los resultados obtenidos, se pudo determinar que existe compromiso por parte de la Dirección de las Unidades de Presupuesto y Planeación para el mantenimiento del Sistema Integrado de Gestión de Calidad y Medio Ambiente </w:t>
      </w:r>
      <w:r w:rsidR="001E6B61" w:rsidRPr="000876AA">
        <w:rPr>
          <w:rFonts w:ascii="Arial" w:hAnsi="Arial" w:cs="Arial"/>
          <w:bCs/>
          <w:sz w:val="22"/>
          <w:szCs w:val="22"/>
        </w:rPr>
        <w:t xml:space="preserve">SIGCMA </w:t>
      </w:r>
      <w:r w:rsidRPr="000876AA">
        <w:rPr>
          <w:rFonts w:ascii="Arial" w:hAnsi="Arial" w:cs="Arial"/>
          <w:bCs/>
          <w:sz w:val="22"/>
          <w:szCs w:val="22"/>
        </w:rPr>
        <w:t>frente a las Normas NTC ISO 9001:2015, NTC  6256:2021 y GTC 286:2021.</w:t>
      </w:r>
    </w:p>
    <w:p w14:paraId="7AC3329F" w14:textId="77777777" w:rsidR="007B6EB5" w:rsidRPr="000876AA" w:rsidRDefault="007B6EB5" w:rsidP="007B6EB5">
      <w:pPr>
        <w:jc w:val="both"/>
        <w:rPr>
          <w:rFonts w:ascii="Arial" w:hAnsi="Arial" w:cs="Arial"/>
          <w:bCs/>
          <w:sz w:val="22"/>
          <w:szCs w:val="22"/>
        </w:rPr>
      </w:pPr>
    </w:p>
    <w:p w14:paraId="2D79F845" w14:textId="7E8ECBFE" w:rsidR="007B6EB5" w:rsidRPr="000876AA" w:rsidRDefault="007B6EB5" w:rsidP="007B6EB5">
      <w:pPr>
        <w:jc w:val="both"/>
        <w:rPr>
          <w:rFonts w:ascii="Arial" w:hAnsi="Arial" w:cs="Arial"/>
          <w:bCs/>
          <w:sz w:val="22"/>
          <w:szCs w:val="22"/>
        </w:rPr>
      </w:pPr>
      <w:r w:rsidRPr="000876AA">
        <w:rPr>
          <w:rFonts w:ascii="Arial" w:hAnsi="Arial" w:cs="Arial"/>
          <w:bCs/>
          <w:sz w:val="22"/>
          <w:szCs w:val="22"/>
        </w:rPr>
        <w:t xml:space="preserve">Igualmente, se puede establecer el cumplimiento de los objetivos del SIGCMA en el año 2022 que aplican para las Unidades de Presupuesto y Planeación, incluidas sus </w:t>
      </w:r>
      <w:r w:rsidR="00A45B68" w:rsidRPr="000876AA">
        <w:rPr>
          <w:rFonts w:ascii="Arial" w:hAnsi="Arial" w:cs="Arial"/>
          <w:bCs/>
          <w:sz w:val="22"/>
          <w:szCs w:val="22"/>
        </w:rPr>
        <w:t>divisiones</w:t>
      </w:r>
      <w:r w:rsidRPr="000876AA">
        <w:rPr>
          <w:rFonts w:ascii="Arial" w:hAnsi="Arial" w:cs="Arial"/>
          <w:bCs/>
          <w:sz w:val="22"/>
          <w:szCs w:val="22"/>
        </w:rPr>
        <w:t xml:space="preserve">, con base en los resultados descritos en el presente informe y la mejora </w:t>
      </w:r>
      <w:r w:rsidR="00A45B68" w:rsidRPr="000876AA">
        <w:rPr>
          <w:rFonts w:ascii="Arial" w:hAnsi="Arial" w:cs="Arial"/>
          <w:bCs/>
          <w:sz w:val="22"/>
          <w:szCs w:val="22"/>
        </w:rPr>
        <w:t>continúa</w:t>
      </w:r>
      <w:r w:rsidRPr="000876AA">
        <w:rPr>
          <w:rFonts w:ascii="Arial" w:hAnsi="Arial" w:cs="Arial"/>
          <w:bCs/>
          <w:sz w:val="22"/>
          <w:szCs w:val="22"/>
        </w:rPr>
        <w:t xml:space="preserve"> representada en la implementación de</w:t>
      </w:r>
      <w:r w:rsidR="00A45B68" w:rsidRPr="000876AA">
        <w:rPr>
          <w:rFonts w:ascii="Arial" w:hAnsi="Arial" w:cs="Arial"/>
          <w:bCs/>
          <w:sz w:val="22"/>
          <w:szCs w:val="22"/>
        </w:rPr>
        <w:t>l</w:t>
      </w:r>
      <w:r w:rsidR="001E6B61" w:rsidRPr="000876AA">
        <w:rPr>
          <w:rFonts w:ascii="Arial" w:hAnsi="Arial" w:cs="Arial"/>
          <w:bCs/>
          <w:sz w:val="22"/>
          <w:szCs w:val="22"/>
        </w:rPr>
        <w:t xml:space="preserve"> </w:t>
      </w:r>
      <w:r w:rsidR="00A45B68" w:rsidRPr="000876AA">
        <w:rPr>
          <w:rFonts w:ascii="Arial" w:hAnsi="Arial" w:cs="Arial"/>
          <w:bCs/>
          <w:sz w:val="22"/>
          <w:szCs w:val="22"/>
        </w:rPr>
        <w:t>plan de acción y</w:t>
      </w:r>
      <w:r w:rsidR="001E6B61" w:rsidRPr="000876AA">
        <w:rPr>
          <w:rFonts w:ascii="Arial" w:hAnsi="Arial" w:cs="Arial"/>
          <w:bCs/>
          <w:sz w:val="22"/>
          <w:szCs w:val="22"/>
        </w:rPr>
        <w:t xml:space="preserve"> de</w:t>
      </w:r>
      <w:r w:rsidR="00A45B68" w:rsidRPr="000876AA">
        <w:rPr>
          <w:rFonts w:ascii="Arial" w:hAnsi="Arial" w:cs="Arial"/>
          <w:bCs/>
          <w:sz w:val="22"/>
          <w:szCs w:val="22"/>
        </w:rPr>
        <w:t xml:space="preserve"> </w:t>
      </w:r>
      <w:r w:rsidRPr="000876AA">
        <w:rPr>
          <w:rFonts w:ascii="Arial" w:hAnsi="Arial" w:cs="Arial"/>
          <w:bCs/>
          <w:sz w:val="22"/>
          <w:szCs w:val="22"/>
        </w:rPr>
        <w:t xml:space="preserve">las acciones </w:t>
      </w:r>
      <w:r w:rsidR="00A45B68" w:rsidRPr="000876AA">
        <w:rPr>
          <w:rFonts w:ascii="Arial" w:hAnsi="Arial" w:cs="Arial"/>
          <w:bCs/>
          <w:sz w:val="22"/>
          <w:szCs w:val="22"/>
        </w:rPr>
        <w:t>de mejora.</w:t>
      </w:r>
    </w:p>
    <w:p w14:paraId="059AC577" w14:textId="77777777" w:rsidR="00A45B68" w:rsidRPr="000876AA" w:rsidRDefault="00A45B68" w:rsidP="00A45B68">
      <w:pPr>
        <w:jc w:val="both"/>
        <w:rPr>
          <w:rFonts w:ascii="Arial" w:hAnsi="Arial" w:cs="Arial"/>
          <w:bCs/>
          <w:sz w:val="22"/>
          <w:szCs w:val="22"/>
        </w:rPr>
      </w:pPr>
    </w:p>
    <w:p w14:paraId="66D00080" w14:textId="758E5FC0" w:rsidR="00A45B68" w:rsidRPr="000876AA" w:rsidRDefault="00A45B68" w:rsidP="00A45B68">
      <w:pPr>
        <w:jc w:val="both"/>
        <w:rPr>
          <w:rFonts w:ascii="Arial" w:hAnsi="Arial" w:cs="Arial"/>
          <w:bCs/>
          <w:sz w:val="22"/>
          <w:szCs w:val="22"/>
        </w:rPr>
      </w:pPr>
      <w:r w:rsidRPr="000876AA">
        <w:rPr>
          <w:rFonts w:ascii="Arial" w:hAnsi="Arial" w:cs="Arial"/>
          <w:bCs/>
          <w:sz w:val="22"/>
          <w:szCs w:val="22"/>
        </w:rPr>
        <w:t>El proceso de Gestión Financiera y Presupuestal opera de forma adecuada, conveniente, eficaz y está alineado con la estrategia institucional.</w:t>
      </w:r>
      <w:r w:rsidRPr="000876AA">
        <w:rPr>
          <w:rFonts w:ascii="Arial" w:hAnsi="Arial" w:cs="Arial"/>
          <w:bCs/>
          <w:sz w:val="22"/>
          <w:szCs w:val="22"/>
        </w:rPr>
        <w:t xml:space="preserve"> </w:t>
      </w:r>
      <w:r w:rsidRPr="000876AA">
        <w:rPr>
          <w:rFonts w:ascii="Arial" w:hAnsi="Arial" w:cs="Arial"/>
          <w:bCs/>
          <w:sz w:val="22"/>
          <w:szCs w:val="22"/>
        </w:rPr>
        <w:t>Dentro del Proceso de la Gestión Financiera y Presupuestal se impulsó la transformación digital, poniendo a disposición de los Despachos y Dependencias Judiciales y al usuario de la justicia, herramientas tecnológicas con capacitaciones, que le permitieron ser más eficientes en el pago y administración de los depósitos judiciales.</w:t>
      </w:r>
    </w:p>
    <w:p w14:paraId="3B36484E" w14:textId="77777777" w:rsidR="007B6EB5" w:rsidRPr="000876AA" w:rsidRDefault="007B6EB5" w:rsidP="007B6EB5">
      <w:pPr>
        <w:jc w:val="both"/>
        <w:rPr>
          <w:rFonts w:ascii="Arial" w:hAnsi="Arial" w:cs="Arial"/>
          <w:bCs/>
          <w:sz w:val="22"/>
          <w:szCs w:val="22"/>
        </w:rPr>
      </w:pPr>
    </w:p>
    <w:p w14:paraId="1D960BEC" w14:textId="2909C760" w:rsidR="00A45B68" w:rsidRDefault="007B6EB5">
      <w:pPr>
        <w:jc w:val="both"/>
        <w:rPr>
          <w:rFonts w:ascii="Arial" w:hAnsi="Arial" w:cs="Arial"/>
          <w:bCs/>
          <w:sz w:val="22"/>
          <w:szCs w:val="22"/>
        </w:rPr>
      </w:pPr>
      <w:r w:rsidRPr="000876AA">
        <w:rPr>
          <w:rFonts w:ascii="Arial" w:hAnsi="Arial" w:cs="Arial"/>
          <w:bCs/>
          <w:sz w:val="22"/>
          <w:szCs w:val="22"/>
        </w:rPr>
        <w:t xml:space="preserve">En términos generales </w:t>
      </w:r>
      <w:r w:rsidR="00A45B68" w:rsidRPr="000876AA">
        <w:rPr>
          <w:rFonts w:ascii="Arial" w:hAnsi="Arial" w:cs="Arial"/>
          <w:bCs/>
          <w:sz w:val="22"/>
          <w:szCs w:val="22"/>
        </w:rPr>
        <w:t xml:space="preserve">el </w:t>
      </w:r>
      <w:r w:rsidRPr="000876AA">
        <w:rPr>
          <w:rFonts w:ascii="Arial" w:hAnsi="Arial" w:cs="Arial"/>
          <w:bCs/>
          <w:sz w:val="22"/>
          <w:szCs w:val="22"/>
        </w:rPr>
        <w:t xml:space="preserve">proceso se maneja de forma ordenada teniendo en cuenta los parámetros establecidos en las normas </w:t>
      </w:r>
      <w:r w:rsidR="00A45B68" w:rsidRPr="000876AA">
        <w:rPr>
          <w:rFonts w:ascii="Arial" w:hAnsi="Arial" w:cs="Arial"/>
          <w:bCs/>
          <w:sz w:val="22"/>
          <w:szCs w:val="22"/>
        </w:rPr>
        <w:t>NTC ISO 9001:2015, NTC  6256:2021 y GTC 286:2021.</w:t>
      </w:r>
    </w:p>
    <w:sectPr w:rsidR="00A45B68" w:rsidSect="00D50E8E">
      <w:headerReference w:type="first" r:id="rId21"/>
      <w:pgSz w:w="12242" w:h="15842" w:code="1"/>
      <w:pgMar w:top="1418" w:right="1134" w:bottom="1134" w:left="1134" w:header="284" w:footer="28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741FE" w14:textId="77777777" w:rsidR="007B6EB5" w:rsidRDefault="007B6EB5">
      <w:r>
        <w:separator/>
      </w:r>
    </w:p>
  </w:endnote>
  <w:endnote w:type="continuationSeparator" w:id="0">
    <w:p w14:paraId="21AE8B4F" w14:textId="77777777" w:rsidR="007B6EB5" w:rsidRDefault="007B6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ontserrat">
    <w:altName w:val="Calibri"/>
    <w:charset w:val="00"/>
    <w:family w:val="auto"/>
    <w:pitch w:val="variable"/>
    <w:sig w:usb0="2000020F" w:usb1="00000003" w:usb2="00000000" w:usb3="00000000" w:csb0="00000197" w:csb1="00000000"/>
  </w:font>
  <w:font w:name="Montserrat Light">
    <w:altName w:val="Calibri"/>
    <w:charset w:val="00"/>
    <w:family w:val="auto"/>
    <w:pitch w:val="variable"/>
    <w:sig w:usb0="2000020F" w:usb1="00000003" w:usb2="00000000" w:usb3="00000000" w:csb0="00000197" w:csb1="00000000"/>
  </w:font>
  <w:font w:name="Berylium">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1368"/>
      <w:gridCol w:w="2864"/>
      <w:gridCol w:w="2866"/>
      <w:gridCol w:w="2866"/>
    </w:tblGrid>
    <w:tr w:rsidR="007B6EB5" w:rsidRPr="00A068CF" w14:paraId="1943BA4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7E234269" w14:textId="77777777" w:rsidR="007B6EB5" w:rsidRPr="000F498C" w:rsidRDefault="007B6EB5"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CÓDIGO:</w:t>
          </w:r>
          <w:r>
            <w:rPr>
              <w:rFonts w:ascii="Arial" w:hAnsi="Arial" w:cs="Arial"/>
              <w:color w:val="000000"/>
              <w:sz w:val="14"/>
              <w:szCs w:val="14"/>
              <w:lang w:eastAsia="es-CO"/>
            </w:rPr>
            <w:br/>
            <w:t>F-EVSG-7</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29B7BED1" w14:textId="77777777" w:rsidR="007B6EB5" w:rsidRPr="000F498C" w:rsidRDefault="007B6EB5" w:rsidP="00275112">
          <w:pPr>
            <w:autoSpaceDE/>
            <w:autoSpaceDN/>
            <w:jc w:val="center"/>
            <w:rPr>
              <w:rFonts w:ascii="Arial" w:hAnsi="Arial" w:cs="Arial"/>
              <w:sz w:val="14"/>
              <w:szCs w:val="14"/>
              <w:lang w:eastAsia="es-CO"/>
            </w:rPr>
          </w:pPr>
          <w:r w:rsidRPr="000F498C">
            <w:rPr>
              <w:rFonts w:ascii="Arial" w:hAnsi="Arial" w:cs="Arial"/>
              <w:sz w:val="14"/>
              <w:szCs w:val="14"/>
              <w:lang w:eastAsia="es-CO"/>
            </w:rPr>
            <w:t>ELABORÓ</w:t>
          </w:r>
          <w:r w:rsidRPr="000F498C">
            <w:rPr>
              <w:rFonts w:ascii="Arial" w:hAnsi="Arial" w:cs="Arial"/>
              <w:sz w:val="14"/>
              <w:szCs w:val="14"/>
              <w:lang w:eastAsia="es-CO"/>
            </w:rPr>
            <w:br/>
            <w:t>LÍDER DEL PROCESO</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9201765" w14:textId="77777777" w:rsidR="007B6EB5" w:rsidRPr="000F498C" w:rsidRDefault="007B6EB5" w:rsidP="00275112">
          <w:pPr>
            <w:autoSpaceDE/>
            <w:autoSpaceDN/>
            <w:jc w:val="center"/>
            <w:rPr>
              <w:rFonts w:ascii="Arial" w:hAnsi="Arial" w:cs="Arial"/>
              <w:sz w:val="14"/>
              <w:szCs w:val="14"/>
              <w:lang w:eastAsia="es-CO"/>
            </w:rPr>
          </w:pPr>
          <w:r w:rsidRPr="000F498C">
            <w:rPr>
              <w:rFonts w:ascii="Arial" w:hAnsi="Arial" w:cs="Arial"/>
              <w:sz w:val="14"/>
              <w:szCs w:val="14"/>
              <w:lang w:eastAsia="es-CO"/>
            </w:rPr>
            <w:t>REVISÓ</w:t>
          </w:r>
          <w:r w:rsidRPr="000F498C">
            <w:rPr>
              <w:rFonts w:ascii="Arial" w:hAnsi="Arial" w:cs="Arial"/>
              <w:sz w:val="14"/>
              <w:szCs w:val="14"/>
              <w:lang w:eastAsia="es-CO"/>
            </w:rPr>
            <w:br/>
            <w:t>SIGCMA - CENDOJ</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2F2E2B66" w14:textId="77777777" w:rsidR="007B6EB5" w:rsidRPr="000F498C" w:rsidRDefault="007B6EB5" w:rsidP="00275112">
          <w:pPr>
            <w:autoSpaceDE/>
            <w:autoSpaceDN/>
            <w:jc w:val="center"/>
            <w:rPr>
              <w:rFonts w:ascii="Arial" w:hAnsi="Arial" w:cs="Arial"/>
              <w:sz w:val="14"/>
              <w:szCs w:val="14"/>
              <w:lang w:eastAsia="es-CO"/>
            </w:rPr>
          </w:pPr>
          <w:r w:rsidRPr="000F498C">
            <w:rPr>
              <w:rFonts w:ascii="Arial" w:hAnsi="Arial" w:cs="Arial"/>
              <w:sz w:val="14"/>
              <w:szCs w:val="14"/>
              <w:lang w:eastAsia="es-CO"/>
            </w:rPr>
            <w:t>APROBÓ</w:t>
          </w:r>
          <w:r w:rsidRPr="000F498C">
            <w:rPr>
              <w:rFonts w:ascii="Arial" w:hAnsi="Arial" w:cs="Arial"/>
              <w:sz w:val="14"/>
              <w:szCs w:val="14"/>
              <w:lang w:eastAsia="es-CO"/>
            </w:rPr>
            <w:br/>
            <w:t>COMITÉ DE LIDERES DEL SIGCMA</w:t>
          </w:r>
        </w:p>
      </w:tc>
    </w:tr>
    <w:tr w:rsidR="007B6EB5" w:rsidRPr="00A068CF" w14:paraId="1961F9A1" w14:textId="77777777" w:rsidTr="00EB7BBF">
      <w:trPr>
        <w:trHeight w:val="20"/>
        <w:jc w:val="center"/>
      </w:trPr>
      <w:tc>
        <w:tcPr>
          <w:tcW w:w="687" w:type="pct"/>
          <w:tcBorders>
            <w:top w:val="single" w:sz="4" w:space="0" w:color="auto"/>
            <w:left w:val="single" w:sz="4" w:space="0" w:color="auto"/>
            <w:bottom w:val="single" w:sz="4" w:space="0" w:color="auto"/>
            <w:right w:val="single" w:sz="4" w:space="0" w:color="auto"/>
          </w:tcBorders>
          <w:shd w:val="clear" w:color="auto" w:fill="auto"/>
          <w:vAlign w:val="center"/>
        </w:tcPr>
        <w:p w14:paraId="564D0D0E" w14:textId="77777777" w:rsidR="007B6EB5" w:rsidRPr="000F498C" w:rsidRDefault="007B6EB5" w:rsidP="00275112">
          <w:pPr>
            <w:autoSpaceDE/>
            <w:autoSpaceDN/>
            <w:jc w:val="center"/>
            <w:rPr>
              <w:rFonts w:ascii="Arial" w:hAnsi="Arial" w:cs="Arial"/>
              <w:color w:val="000000"/>
              <w:sz w:val="14"/>
              <w:szCs w:val="14"/>
              <w:lang w:eastAsia="es-CO"/>
            </w:rPr>
          </w:pPr>
          <w:r w:rsidRPr="000F498C">
            <w:rPr>
              <w:rFonts w:ascii="Arial" w:hAnsi="Arial" w:cs="Arial"/>
              <w:color w:val="000000"/>
              <w:sz w:val="14"/>
              <w:szCs w:val="14"/>
              <w:lang w:eastAsia="es-CO"/>
            </w:rPr>
            <w:t>VERS</w:t>
          </w:r>
          <w:r>
            <w:rPr>
              <w:rFonts w:ascii="Arial" w:hAnsi="Arial" w:cs="Arial"/>
              <w:color w:val="000000"/>
              <w:sz w:val="14"/>
              <w:szCs w:val="14"/>
              <w:lang w:eastAsia="es-CO"/>
            </w:rPr>
            <w:t>IÓN:</w:t>
          </w:r>
          <w:r>
            <w:rPr>
              <w:rFonts w:ascii="Arial" w:hAnsi="Arial" w:cs="Arial"/>
              <w:color w:val="000000"/>
              <w:sz w:val="14"/>
              <w:szCs w:val="14"/>
              <w:lang w:eastAsia="es-CO"/>
            </w:rPr>
            <w:br/>
            <w:t>01</w:t>
          </w:r>
        </w:p>
      </w:tc>
      <w:tc>
        <w:tcPr>
          <w:tcW w:w="1437" w:type="pct"/>
          <w:tcBorders>
            <w:top w:val="single" w:sz="4" w:space="0" w:color="auto"/>
            <w:left w:val="single" w:sz="4" w:space="0" w:color="auto"/>
            <w:bottom w:val="single" w:sz="4" w:space="0" w:color="auto"/>
            <w:right w:val="single" w:sz="4" w:space="0" w:color="auto"/>
          </w:tcBorders>
          <w:shd w:val="clear" w:color="auto" w:fill="auto"/>
          <w:vAlign w:val="center"/>
        </w:tcPr>
        <w:p w14:paraId="64FAA9D3" w14:textId="77777777" w:rsidR="007B6EB5" w:rsidRPr="000F498C" w:rsidRDefault="007B6EB5"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29/03/2021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7F51F863" w14:textId="77777777" w:rsidR="007B6EB5" w:rsidRPr="000F498C" w:rsidRDefault="007B6EB5" w:rsidP="00275112">
          <w:pPr>
            <w:autoSpaceDE/>
            <w:autoSpaceDN/>
            <w:jc w:val="center"/>
            <w:rPr>
              <w:rFonts w:ascii="Arial" w:hAnsi="Arial" w:cs="Arial"/>
              <w:color w:val="000000"/>
              <w:sz w:val="14"/>
              <w:szCs w:val="14"/>
              <w:lang w:eastAsia="es-CO"/>
            </w:rPr>
          </w:pPr>
          <w:r>
            <w:rPr>
              <w:rFonts w:ascii="Arial" w:hAnsi="Arial" w:cs="Arial"/>
              <w:color w:val="000000"/>
              <w:sz w:val="14"/>
              <w:szCs w:val="14"/>
              <w:lang w:eastAsia="es-CO"/>
            </w:rPr>
            <w:t>FECHA:</w:t>
          </w:r>
          <w:r>
            <w:rPr>
              <w:rFonts w:ascii="Arial" w:hAnsi="Arial" w:cs="Arial"/>
              <w:color w:val="000000"/>
              <w:sz w:val="14"/>
              <w:szCs w:val="14"/>
              <w:lang w:eastAsia="es-CO"/>
            </w:rPr>
            <w:br/>
            <w:t>29/06</w:t>
          </w:r>
          <w:r w:rsidRPr="000F498C">
            <w:rPr>
              <w:rFonts w:ascii="Arial" w:hAnsi="Arial" w:cs="Arial"/>
              <w:color w:val="000000"/>
              <w:sz w:val="14"/>
              <w:szCs w:val="14"/>
              <w:lang w:eastAsia="es-CO"/>
            </w:rPr>
            <w:t>/2021</w:t>
          </w:r>
        </w:p>
      </w:tc>
      <w:tc>
        <w:tcPr>
          <w:tcW w:w="1438" w:type="pct"/>
          <w:tcBorders>
            <w:top w:val="single" w:sz="4" w:space="0" w:color="auto"/>
            <w:left w:val="single" w:sz="4" w:space="0" w:color="auto"/>
            <w:bottom w:val="single" w:sz="4" w:space="0" w:color="auto"/>
            <w:right w:val="single" w:sz="4" w:space="0" w:color="auto"/>
          </w:tcBorders>
          <w:shd w:val="clear" w:color="auto" w:fill="auto"/>
          <w:vAlign w:val="center"/>
        </w:tcPr>
        <w:p w14:paraId="06B2EE05" w14:textId="77777777" w:rsidR="007B6EB5" w:rsidRPr="000F498C" w:rsidRDefault="007B6EB5" w:rsidP="00275112">
          <w:pPr>
            <w:autoSpaceDE/>
            <w:autoSpaceDN/>
            <w:jc w:val="center"/>
            <w:rPr>
              <w:rFonts w:ascii="Arial" w:hAnsi="Arial" w:cs="Arial"/>
              <w:sz w:val="14"/>
              <w:szCs w:val="14"/>
              <w:lang w:eastAsia="es-CO"/>
            </w:rPr>
          </w:pPr>
          <w:r w:rsidRPr="000F498C">
            <w:rPr>
              <w:rFonts w:ascii="Arial" w:hAnsi="Arial" w:cs="Arial"/>
              <w:sz w:val="14"/>
              <w:szCs w:val="14"/>
              <w:lang w:eastAsia="es-CO"/>
            </w:rPr>
            <w:t>FECHA:</w:t>
          </w:r>
          <w:r w:rsidRPr="000F498C">
            <w:rPr>
              <w:rFonts w:ascii="Arial" w:hAnsi="Arial" w:cs="Arial"/>
              <w:sz w:val="14"/>
              <w:szCs w:val="14"/>
              <w:lang w:eastAsia="es-CO"/>
            </w:rPr>
            <w:br/>
            <w:t>29/07/2021</w:t>
          </w:r>
        </w:p>
      </w:tc>
    </w:tr>
  </w:tbl>
  <w:p w14:paraId="5EB257B9" w14:textId="77777777" w:rsidR="007B6EB5" w:rsidRPr="00275112" w:rsidRDefault="007B6EB5" w:rsidP="00275112">
    <w:pPr>
      <w:pStyle w:val="Piedepgina"/>
      <w:jc w:val="both"/>
      <w:rPr>
        <w:rFonts w:ascii="Arial" w:hAnsi="Arial" w:cs="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55E14" w14:textId="77777777" w:rsidR="007B6EB5" w:rsidRPr="0015419E" w:rsidRDefault="007B6EB5" w:rsidP="0015419E">
    <w:pPr>
      <w:pStyle w:val="Piedepgina"/>
      <w:jc w:val="both"/>
      <w:rPr>
        <w:rFonts w:ascii="Arial" w:hAnsi="Arial" w:cs="Arial"/>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2E1892" w14:textId="77777777" w:rsidR="007B6EB5" w:rsidRDefault="007B6EB5">
      <w:r>
        <w:separator/>
      </w:r>
    </w:p>
  </w:footnote>
  <w:footnote w:type="continuationSeparator" w:id="0">
    <w:p w14:paraId="6050F369" w14:textId="77777777" w:rsidR="007B6EB5" w:rsidRDefault="007B6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912"/>
      <w:gridCol w:w="5076"/>
      <w:gridCol w:w="976"/>
    </w:tblGrid>
    <w:tr w:rsidR="007B6EB5" w:rsidRPr="009F20B4" w14:paraId="76A224E6" w14:textId="77777777" w:rsidTr="00AB6499">
      <w:trPr>
        <w:jc w:val="center"/>
      </w:trPr>
      <w:tc>
        <w:tcPr>
          <w:tcW w:w="1963" w:type="pct"/>
          <w:shd w:val="clear" w:color="auto" w:fill="auto"/>
          <w:vAlign w:val="center"/>
        </w:tcPr>
        <w:p w14:paraId="325BD699" w14:textId="7173C58E" w:rsidR="007B6EB5" w:rsidRPr="009F20B4" w:rsidRDefault="007B6EB5" w:rsidP="002633A2">
          <w:pPr>
            <w:pStyle w:val="Encabezado"/>
            <w:rPr>
              <w:rFonts w:ascii="Berylium" w:hAnsi="Berylium"/>
              <w:b/>
              <w:bCs/>
              <w:iCs/>
              <w:sz w:val="20"/>
            </w:rPr>
          </w:pPr>
          <w:r>
            <w:rPr>
              <w:rFonts w:ascii="Berylium" w:hAnsi="Berylium"/>
              <w:b/>
              <w:noProof/>
              <w:sz w:val="20"/>
              <w:lang w:val="es-ES"/>
            </w:rPr>
            <w:drawing>
              <wp:inline distT="0" distB="0" distL="0" distR="0" wp14:anchorId="21A0D6C4" wp14:editId="35C21386">
                <wp:extent cx="2438400" cy="685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t="1167" r="3149" b="2245"/>
                        <a:stretch>
                          <a:fillRect/>
                        </a:stretch>
                      </pic:blipFill>
                      <pic:spPr bwMode="auto">
                        <a:xfrm>
                          <a:off x="0" y="0"/>
                          <a:ext cx="2438400" cy="685800"/>
                        </a:xfrm>
                        <a:prstGeom prst="rect">
                          <a:avLst/>
                        </a:prstGeom>
                        <a:noFill/>
                        <a:ln>
                          <a:noFill/>
                        </a:ln>
                      </pic:spPr>
                    </pic:pic>
                  </a:graphicData>
                </a:graphic>
              </wp:inline>
            </w:drawing>
          </w:r>
        </w:p>
      </w:tc>
      <w:tc>
        <w:tcPr>
          <w:tcW w:w="2547" w:type="pct"/>
          <w:shd w:val="clear" w:color="auto" w:fill="auto"/>
          <w:vAlign w:val="center"/>
        </w:tcPr>
        <w:p w14:paraId="08448AAB" w14:textId="77777777" w:rsidR="007B6EB5" w:rsidRPr="009F20B4" w:rsidRDefault="007B6EB5" w:rsidP="002633A2">
          <w:pPr>
            <w:jc w:val="center"/>
            <w:rPr>
              <w:rFonts w:ascii="Berylium" w:hAnsi="Berylium"/>
              <w:bCs/>
              <w:iCs/>
              <w:sz w:val="20"/>
            </w:rPr>
          </w:pPr>
          <w:r w:rsidRPr="009F20B4">
            <w:rPr>
              <w:rFonts w:ascii="Berylium" w:hAnsi="Berylium"/>
              <w:bCs/>
              <w:iCs/>
              <w:sz w:val="20"/>
            </w:rPr>
            <w:t>COORDINACIÓN NACIONAL DEL SIGCMA</w:t>
          </w:r>
        </w:p>
        <w:p w14:paraId="488888DA" w14:textId="77777777" w:rsidR="007B6EB5" w:rsidRPr="009F20B4" w:rsidRDefault="007B6EB5" w:rsidP="002633A2">
          <w:pPr>
            <w:jc w:val="center"/>
            <w:rPr>
              <w:b/>
              <w:bCs/>
              <w:iCs/>
              <w:sz w:val="20"/>
            </w:rPr>
          </w:pPr>
          <w:r w:rsidRPr="009F20B4">
            <w:rPr>
              <w:rFonts w:ascii="Berylium" w:hAnsi="Berylium"/>
              <w:bCs/>
              <w:iCs/>
              <w:sz w:val="20"/>
            </w:rPr>
            <w:t>INFORME DE REVISIÓN POR LA DIRECCIÓN</w:t>
          </w:r>
        </w:p>
      </w:tc>
      <w:tc>
        <w:tcPr>
          <w:tcW w:w="491" w:type="pct"/>
          <w:vAlign w:val="center"/>
        </w:tcPr>
        <w:p w14:paraId="38F6FF05" w14:textId="77777777" w:rsidR="007B6EB5" w:rsidRPr="009F20B4" w:rsidRDefault="007B6EB5" w:rsidP="002633A2">
          <w:pPr>
            <w:jc w:val="center"/>
            <w:rPr>
              <w:sz w:val="20"/>
            </w:rPr>
          </w:pPr>
          <w:r w:rsidRPr="009F20B4">
            <w:rPr>
              <w:rFonts w:ascii="Berylium" w:hAnsi="Berylium"/>
              <w:bCs/>
              <w:iCs/>
              <w:sz w:val="20"/>
            </w:rPr>
            <w:t>SIGCMA</w:t>
          </w:r>
        </w:p>
      </w:tc>
    </w:tr>
  </w:tbl>
  <w:p w14:paraId="5ACB1E01" w14:textId="77777777" w:rsidR="007B6EB5" w:rsidRDefault="007B6EB5" w:rsidP="00AF594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BCC54" w14:textId="12F37F6C" w:rsidR="007B6EB5" w:rsidRPr="00D946B5" w:rsidRDefault="007B6EB5" w:rsidP="00D946B5">
    <w:pPr>
      <w:pStyle w:val="Encabezado"/>
      <w:rPr>
        <w:rFonts w:ascii="Arial" w:hAnsi="Arial"/>
        <w:b/>
        <w:sz w:val="2"/>
        <w:szCs w:val="18"/>
      </w:rPr>
    </w:pPr>
    <w:r>
      <w:rPr>
        <w:rFonts w:ascii="Berylium" w:hAnsi="Berylium"/>
        <w:b/>
        <w:bCs/>
        <w:iCs/>
        <w:noProof/>
        <w:sz w:val="20"/>
        <w:lang w:val="es-ES"/>
      </w:rPr>
      <w:drawing>
        <wp:anchor distT="0" distB="0" distL="114300" distR="114300" simplePos="0" relativeHeight="251659264" behindDoc="0" locked="0" layoutInCell="1" allowOverlap="1" wp14:anchorId="226C1D8A" wp14:editId="12324E9E">
          <wp:simplePos x="0" y="0"/>
          <wp:positionH relativeFrom="column">
            <wp:posOffset>-721995</wp:posOffset>
          </wp:positionH>
          <wp:positionV relativeFrom="paragraph">
            <wp:posOffset>-192405</wp:posOffset>
          </wp:positionV>
          <wp:extent cx="7788806" cy="1008000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788806" cy="1008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912"/>
      <w:gridCol w:w="5076"/>
      <w:gridCol w:w="976"/>
    </w:tblGrid>
    <w:tr w:rsidR="007B6EB5" w:rsidRPr="009F20B4" w14:paraId="588A8037" w14:textId="77777777" w:rsidTr="00AB6499">
      <w:trPr>
        <w:jc w:val="center"/>
      </w:trPr>
      <w:tc>
        <w:tcPr>
          <w:tcW w:w="1963" w:type="pct"/>
          <w:shd w:val="clear" w:color="auto" w:fill="auto"/>
          <w:vAlign w:val="center"/>
        </w:tcPr>
        <w:p w14:paraId="3BF30371" w14:textId="3C76D810" w:rsidR="007B6EB5" w:rsidRPr="009F20B4" w:rsidRDefault="007B6EB5" w:rsidP="002633A2">
          <w:pPr>
            <w:pStyle w:val="Encabezado"/>
            <w:rPr>
              <w:rFonts w:ascii="Berylium" w:hAnsi="Berylium"/>
              <w:b/>
              <w:bCs/>
              <w:iCs/>
              <w:sz w:val="20"/>
            </w:rPr>
          </w:pPr>
          <w:r>
            <w:rPr>
              <w:rFonts w:ascii="Berylium" w:hAnsi="Berylium"/>
              <w:b/>
              <w:noProof/>
              <w:sz w:val="20"/>
              <w:lang w:val="es-ES"/>
            </w:rPr>
            <w:drawing>
              <wp:inline distT="0" distB="0" distL="0" distR="0" wp14:anchorId="11992A28" wp14:editId="065D1838">
                <wp:extent cx="2438400" cy="685800"/>
                <wp:effectExtent l="0" t="0" r="0" b="0"/>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t="1167" r="3149" b="2245"/>
                        <a:stretch>
                          <a:fillRect/>
                        </a:stretch>
                      </pic:blipFill>
                      <pic:spPr bwMode="auto">
                        <a:xfrm>
                          <a:off x="0" y="0"/>
                          <a:ext cx="2438400" cy="685800"/>
                        </a:xfrm>
                        <a:prstGeom prst="rect">
                          <a:avLst/>
                        </a:prstGeom>
                        <a:noFill/>
                        <a:ln>
                          <a:noFill/>
                        </a:ln>
                      </pic:spPr>
                    </pic:pic>
                  </a:graphicData>
                </a:graphic>
              </wp:inline>
            </w:drawing>
          </w:r>
        </w:p>
      </w:tc>
      <w:tc>
        <w:tcPr>
          <w:tcW w:w="2547" w:type="pct"/>
          <w:shd w:val="clear" w:color="auto" w:fill="auto"/>
          <w:vAlign w:val="center"/>
        </w:tcPr>
        <w:p w14:paraId="74D7E7C1" w14:textId="77777777" w:rsidR="007B6EB5" w:rsidRPr="009F20B4" w:rsidRDefault="007B6EB5" w:rsidP="002633A2">
          <w:pPr>
            <w:jc w:val="center"/>
            <w:rPr>
              <w:rFonts w:ascii="Berylium" w:hAnsi="Berylium"/>
              <w:bCs/>
              <w:iCs/>
              <w:sz w:val="20"/>
            </w:rPr>
          </w:pPr>
          <w:r w:rsidRPr="009F20B4">
            <w:rPr>
              <w:rFonts w:ascii="Berylium" w:hAnsi="Berylium"/>
              <w:bCs/>
              <w:iCs/>
              <w:sz w:val="20"/>
            </w:rPr>
            <w:t>COORDINACIÓN NACIONAL DEL SIGCMA</w:t>
          </w:r>
        </w:p>
        <w:p w14:paraId="19E2D1EC" w14:textId="77777777" w:rsidR="007B6EB5" w:rsidRPr="009F20B4" w:rsidRDefault="007B6EB5" w:rsidP="002633A2">
          <w:pPr>
            <w:jc w:val="center"/>
            <w:rPr>
              <w:b/>
              <w:bCs/>
              <w:iCs/>
              <w:sz w:val="20"/>
            </w:rPr>
          </w:pPr>
          <w:r w:rsidRPr="009F20B4">
            <w:rPr>
              <w:rFonts w:ascii="Berylium" w:hAnsi="Berylium"/>
              <w:bCs/>
              <w:iCs/>
              <w:sz w:val="20"/>
            </w:rPr>
            <w:t>INFORME DE REVISIÓN POR LA DIRECCIÓN</w:t>
          </w:r>
        </w:p>
      </w:tc>
      <w:tc>
        <w:tcPr>
          <w:tcW w:w="491" w:type="pct"/>
          <w:vAlign w:val="center"/>
        </w:tcPr>
        <w:p w14:paraId="2D9C197C" w14:textId="77777777" w:rsidR="007B6EB5" w:rsidRPr="009F20B4" w:rsidRDefault="007B6EB5" w:rsidP="002633A2">
          <w:pPr>
            <w:jc w:val="center"/>
            <w:rPr>
              <w:sz w:val="20"/>
            </w:rPr>
          </w:pPr>
          <w:r w:rsidRPr="009F20B4">
            <w:rPr>
              <w:rFonts w:ascii="Berylium" w:hAnsi="Berylium"/>
              <w:bCs/>
              <w:iCs/>
              <w:sz w:val="20"/>
            </w:rPr>
            <w:t>SIGCMA</w:t>
          </w:r>
        </w:p>
      </w:tc>
    </w:tr>
  </w:tbl>
  <w:p w14:paraId="598AE457" w14:textId="77777777" w:rsidR="007B6EB5" w:rsidRPr="00774697" w:rsidRDefault="007B6EB5" w:rsidP="003D2A7F">
    <w:pPr>
      <w:pStyle w:val="Encabezado"/>
      <w:jc w:val="both"/>
      <w:rPr>
        <w:rFonts w:ascii="Arial" w:hAnsi="Arial"/>
        <w:b/>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55pt;height:11.55pt" o:bullet="t">
        <v:imagedata r:id="rId1" o:title="art63F5"/>
      </v:shape>
    </w:pict>
  </w:numPicBullet>
  <w:abstractNum w:abstractNumId="0" w15:restartNumberingAfterBreak="0">
    <w:nsid w:val="02132EE2"/>
    <w:multiLevelType w:val="hybridMultilevel"/>
    <w:tmpl w:val="E2045470"/>
    <w:lvl w:ilvl="0" w:tplc="240A0005">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89E4D6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2D0C3E"/>
    <w:multiLevelType w:val="hybridMultilevel"/>
    <w:tmpl w:val="11729540"/>
    <w:lvl w:ilvl="0" w:tplc="45925F30">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D6366E"/>
    <w:multiLevelType w:val="hybridMultilevel"/>
    <w:tmpl w:val="52166B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78450DF"/>
    <w:multiLevelType w:val="hybridMultilevel"/>
    <w:tmpl w:val="8248A326"/>
    <w:lvl w:ilvl="0" w:tplc="45A2EC0E">
      <w:start w:val="1"/>
      <w:numFmt w:val="bullet"/>
      <w:lvlText w:val="-"/>
      <w:lvlJc w:val="left"/>
      <w:pPr>
        <w:ind w:left="1068" w:hanging="360"/>
      </w:pPr>
      <w:rPr>
        <w:rFonts w:ascii="Arial" w:hAnsi="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5" w15:restartNumberingAfterBreak="0">
    <w:nsid w:val="1FB4749A"/>
    <w:multiLevelType w:val="hybridMultilevel"/>
    <w:tmpl w:val="13BC89C4"/>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2F30B85"/>
    <w:multiLevelType w:val="hybridMultilevel"/>
    <w:tmpl w:val="5D76E768"/>
    <w:lvl w:ilvl="0" w:tplc="FFFFFFFF">
      <w:start w:val="1"/>
      <w:numFmt w:val="lowerLetter"/>
      <w:lvlText w:val="%1."/>
      <w:lvlJc w:val="left"/>
      <w:pPr>
        <w:ind w:left="144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9F4C2B"/>
    <w:multiLevelType w:val="multilevel"/>
    <w:tmpl w:val="98E28938"/>
    <w:lvl w:ilvl="0">
      <w:start w:val="11"/>
      <w:numFmt w:val="decimal"/>
      <w:lvlText w:val="%1"/>
      <w:lvlJc w:val="left"/>
      <w:pPr>
        <w:ind w:left="438" w:hanging="438"/>
      </w:pPr>
      <w:rPr>
        <w:rFonts w:hint="default"/>
      </w:rPr>
    </w:lvl>
    <w:lvl w:ilvl="1">
      <w:start w:val="1"/>
      <w:numFmt w:val="decimal"/>
      <w:lvlText w:val="%1.%2"/>
      <w:lvlJc w:val="left"/>
      <w:pPr>
        <w:ind w:left="438" w:hanging="43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6D31E8"/>
    <w:multiLevelType w:val="multilevel"/>
    <w:tmpl w:val="B276E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7D81E2D"/>
    <w:multiLevelType w:val="hybridMultilevel"/>
    <w:tmpl w:val="54D85842"/>
    <w:lvl w:ilvl="0" w:tplc="490492EE">
      <w:start w:val="1"/>
      <w:numFmt w:val="decimal"/>
      <w:lvlText w:val="%1."/>
      <w:lvlJc w:val="left"/>
      <w:pPr>
        <w:ind w:left="360" w:hanging="360"/>
      </w:pPr>
      <w:rPr>
        <w:rFonts w:hint="default"/>
        <w:b/>
        <w:color w:val="auto"/>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3A644D9B"/>
    <w:multiLevelType w:val="hybridMultilevel"/>
    <w:tmpl w:val="08E47E1C"/>
    <w:lvl w:ilvl="0" w:tplc="74520C08">
      <w:start w:val="9"/>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D4836E1"/>
    <w:multiLevelType w:val="hybridMultilevel"/>
    <w:tmpl w:val="429E30F0"/>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3DC562EE"/>
    <w:multiLevelType w:val="multilevel"/>
    <w:tmpl w:val="4114EE2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E09286B"/>
    <w:multiLevelType w:val="hybridMultilevel"/>
    <w:tmpl w:val="5126AC8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1B20289"/>
    <w:multiLevelType w:val="multilevel"/>
    <w:tmpl w:val="EC48409E"/>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F1C1DDA"/>
    <w:multiLevelType w:val="hybridMultilevel"/>
    <w:tmpl w:val="BB482D6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FEE272C"/>
    <w:multiLevelType w:val="hybridMultilevel"/>
    <w:tmpl w:val="07CEB4A8"/>
    <w:lvl w:ilvl="0" w:tplc="2BF6093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08078C1"/>
    <w:multiLevelType w:val="hybridMultilevel"/>
    <w:tmpl w:val="10448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6A11B2C"/>
    <w:multiLevelType w:val="hybridMultilevel"/>
    <w:tmpl w:val="57FA96FC"/>
    <w:lvl w:ilvl="0" w:tplc="240A0009">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9" w15:restartNumberingAfterBreak="0">
    <w:nsid w:val="57011595"/>
    <w:multiLevelType w:val="hybridMultilevel"/>
    <w:tmpl w:val="979E29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9DA40FC"/>
    <w:multiLevelType w:val="multilevel"/>
    <w:tmpl w:val="C116017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DD27AD4"/>
    <w:multiLevelType w:val="hybridMultilevel"/>
    <w:tmpl w:val="CF6039D2"/>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2" w15:restartNumberingAfterBreak="0">
    <w:nsid w:val="5FDE1EBF"/>
    <w:multiLevelType w:val="hybridMultilevel"/>
    <w:tmpl w:val="00449A52"/>
    <w:lvl w:ilvl="0" w:tplc="240A000F">
      <w:start w:val="1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6485026F"/>
    <w:multiLevelType w:val="hybridMultilevel"/>
    <w:tmpl w:val="FC5E3CD2"/>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68A0D4F"/>
    <w:multiLevelType w:val="multilevel"/>
    <w:tmpl w:val="8F1A4B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91B10FD"/>
    <w:multiLevelType w:val="multilevel"/>
    <w:tmpl w:val="7E16AB00"/>
    <w:lvl w:ilvl="0">
      <w:start w:val="1"/>
      <w:numFmt w:val="decimal"/>
      <w:lvlText w:val="%1."/>
      <w:lvlJc w:val="left"/>
      <w:pPr>
        <w:ind w:left="360" w:hanging="360"/>
      </w:pPr>
      <w:rPr>
        <w:rFonts w:hint="default"/>
        <w:b/>
        <w:bCs/>
        <w:color w:val="000000"/>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69D850C6"/>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38F7306"/>
    <w:multiLevelType w:val="hybridMultilevel"/>
    <w:tmpl w:val="75EC38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5493FED"/>
    <w:multiLevelType w:val="hybridMultilevel"/>
    <w:tmpl w:val="64B86312"/>
    <w:lvl w:ilvl="0" w:tplc="240A0011">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9" w15:restartNumberingAfterBreak="0">
    <w:nsid w:val="7A697341"/>
    <w:multiLevelType w:val="hybridMultilevel"/>
    <w:tmpl w:val="8E7A480C"/>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15:restartNumberingAfterBreak="0">
    <w:nsid w:val="7AD477E2"/>
    <w:multiLevelType w:val="multilevel"/>
    <w:tmpl w:val="8886E144"/>
    <w:lvl w:ilvl="0">
      <w:start w:val="3"/>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1" w15:restartNumberingAfterBreak="0">
    <w:nsid w:val="7E1D7685"/>
    <w:multiLevelType w:val="hybridMultilevel"/>
    <w:tmpl w:val="B366F5E0"/>
    <w:lvl w:ilvl="0" w:tplc="240A000F">
      <w:start w:val="1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5"/>
  </w:num>
  <w:num w:numId="3">
    <w:abstractNumId w:val="31"/>
  </w:num>
  <w:num w:numId="4">
    <w:abstractNumId w:val="15"/>
  </w:num>
  <w:num w:numId="5">
    <w:abstractNumId w:val="23"/>
  </w:num>
  <w:num w:numId="6">
    <w:abstractNumId w:val="22"/>
  </w:num>
  <w:num w:numId="7">
    <w:abstractNumId w:val="26"/>
  </w:num>
  <w:num w:numId="8">
    <w:abstractNumId w:val="30"/>
  </w:num>
  <w:num w:numId="9">
    <w:abstractNumId w:val="14"/>
  </w:num>
  <w:num w:numId="10">
    <w:abstractNumId w:val="7"/>
  </w:num>
  <w:num w:numId="11">
    <w:abstractNumId w:val="28"/>
  </w:num>
  <w:num w:numId="12">
    <w:abstractNumId w:val="21"/>
  </w:num>
  <w:num w:numId="13">
    <w:abstractNumId w:val="18"/>
  </w:num>
  <w:num w:numId="14">
    <w:abstractNumId w:val="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3"/>
  </w:num>
  <w:num w:numId="18">
    <w:abstractNumId w:val="5"/>
  </w:num>
  <w:num w:numId="19">
    <w:abstractNumId w:val="11"/>
  </w:num>
  <w:num w:numId="20">
    <w:abstractNumId w:val="17"/>
  </w:num>
  <w:num w:numId="21">
    <w:abstractNumId w:val="3"/>
  </w:num>
  <w:num w:numId="22">
    <w:abstractNumId w:val="1"/>
  </w:num>
  <w:num w:numId="23">
    <w:abstractNumId w:val="20"/>
  </w:num>
  <w:num w:numId="24">
    <w:abstractNumId w:val="24"/>
  </w:num>
  <w:num w:numId="25">
    <w:abstractNumId w:val="16"/>
  </w:num>
  <w:num w:numId="26">
    <w:abstractNumId w:val="27"/>
  </w:num>
  <w:num w:numId="27">
    <w:abstractNumId w:val="6"/>
  </w:num>
  <w:num w:numId="28">
    <w:abstractNumId w:val="19"/>
  </w:num>
  <w:num w:numId="29">
    <w:abstractNumId w:val="10"/>
  </w:num>
  <w:num w:numId="30">
    <w:abstractNumId w:val="2"/>
  </w:num>
  <w:num w:numId="31">
    <w:abstractNumId w:val="9"/>
  </w:num>
  <w:num w:numId="3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activeWritingStyle w:appName="MSWord" w:lang="es-CO" w:vendorID="64" w:dllVersion="4096" w:nlCheck="1" w:checkStyle="0"/>
  <w:activeWritingStyle w:appName="MSWord" w:lang="es-ES"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4096" w:nlCheck="1" w:checkStyle="0"/>
  <w:activeWritingStyle w:appName="MSWord" w:lang="es-CO" w:vendorID="64" w:dllVersion="6" w:nlCheck="1" w:checkStyle="0"/>
  <w:activeWritingStyle w:appName="MSWord" w:lang="es-MX" w:vendorID="64" w:dllVersion="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772"/>
    <w:rsid w:val="000033D0"/>
    <w:rsid w:val="000037CB"/>
    <w:rsid w:val="00003B49"/>
    <w:rsid w:val="00003C81"/>
    <w:rsid w:val="0000458F"/>
    <w:rsid w:val="000045AC"/>
    <w:rsid w:val="000049D9"/>
    <w:rsid w:val="00006F1F"/>
    <w:rsid w:val="00007DAE"/>
    <w:rsid w:val="00012404"/>
    <w:rsid w:val="00013DAA"/>
    <w:rsid w:val="000143C0"/>
    <w:rsid w:val="000149A4"/>
    <w:rsid w:val="00015686"/>
    <w:rsid w:val="00015A2A"/>
    <w:rsid w:val="00020906"/>
    <w:rsid w:val="00020DEB"/>
    <w:rsid w:val="00020FD6"/>
    <w:rsid w:val="00022876"/>
    <w:rsid w:val="00023175"/>
    <w:rsid w:val="000231B2"/>
    <w:rsid w:val="00023AB9"/>
    <w:rsid w:val="00023EAB"/>
    <w:rsid w:val="00024153"/>
    <w:rsid w:val="00025449"/>
    <w:rsid w:val="000259C2"/>
    <w:rsid w:val="00026199"/>
    <w:rsid w:val="00027AD7"/>
    <w:rsid w:val="00030089"/>
    <w:rsid w:val="0003088C"/>
    <w:rsid w:val="00031052"/>
    <w:rsid w:val="000322E5"/>
    <w:rsid w:val="0003282D"/>
    <w:rsid w:val="000331BE"/>
    <w:rsid w:val="00033C38"/>
    <w:rsid w:val="000340A9"/>
    <w:rsid w:val="0003663A"/>
    <w:rsid w:val="000376A3"/>
    <w:rsid w:val="0003785F"/>
    <w:rsid w:val="00037E47"/>
    <w:rsid w:val="00037F31"/>
    <w:rsid w:val="00040D1B"/>
    <w:rsid w:val="000416EC"/>
    <w:rsid w:val="00041BE2"/>
    <w:rsid w:val="00041C84"/>
    <w:rsid w:val="00043C1C"/>
    <w:rsid w:val="00043F3A"/>
    <w:rsid w:val="00044A42"/>
    <w:rsid w:val="00045283"/>
    <w:rsid w:val="00045B08"/>
    <w:rsid w:val="00045BBE"/>
    <w:rsid w:val="000470FB"/>
    <w:rsid w:val="00047A46"/>
    <w:rsid w:val="00047ADC"/>
    <w:rsid w:val="0005161F"/>
    <w:rsid w:val="000533CF"/>
    <w:rsid w:val="00053D46"/>
    <w:rsid w:val="00054363"/>
    <w:rsid w:val="0005489C"/>
    <w:rsid w:val="00054E9E"/>
    <w:rsid w:val="00055600"/>
    <w:rsid w:val="00055877"/>
    <w:rsid w:val="000567A5"/>
    <w:rsid w:val="00057F22"/>
    <w:rsid w:val="0006104C"/>
    <w:rsid w:val="0006108D"/>
    <w:rsid w:val="000611CB"/>
    <w:rsid w:val="00063253"/>
    <w:rsid w:val="00067123"/>
    <w:rsid w:val="00067D3E"/>
    <w:rsid w:val="0007056E"/>
    <w:rsid w:val="00072952"/>
    <w:rsid w:val="00072CA7"/>
    <w:rsid w:val="00073711"/>
    <w:rsid w:val="0007379C"/>
    <w:rsid w:val="00073DEC"/>
    <w:rsid w:val="00074718"/>
    <w:rsid w:val="00076465"/>
    <w:rsid w:val="000771D6"/>
    <w:rsid w:val="00080046"/>
    <w:rsid w:val="00080599"/>
    <w:rsid w:val="0008155C"/>
    <w:rsid w:val="000816CC"/>
    <w:rsid w:val="00082050"/>
    <w:rsid w:val="00082CCA"/>
    <w:rsid w:val="00083085"/>
    <w:rsid w:val="00085131"/>
    <w:rsid w:val="00085A68"/>
    <w:rsid w:val="0008637A"/>
    <w:rsid w:val="000876AA"/>
    <w:rsid w:val="00087B4A"/>
    <w:rsid w:val="00090161"/>
    <w:rsid w:val="000903EF"/>
    <w:rsid w:val="0009177F"/>
    <w:rsid w:val="00093760"/>
    <w:rsid w:val="000959B2"/>
    <w:rsid w:val="0009677B"/>
    <w:rsid w:val="000977BF"/>
    <w:rsid w:val="000979BD"/>
    <w:rsid w:val="000A065F"/>
    <w:rsid w:val="000A40AE"/>
    <w:rsid w:val="000A76E0"/>
    <w:rsid w:val="000B0514"/>
    <w:rsid w:val="000B066D"/>
    <w:rsid w:val="000B19EE"/>
    <w:rsid w:val="000B2CE4"/>
    <w:rsid w:val="000B47F6"/>
    <w:rsid w:val="000B5681"/>
    <w:rsid w:val="000C1E6D"/>
    <w:rsid w:val="000C20F9"/>
    <w:rsid w:val="000C2B2B"/>
    <w:rsid w:val="000C2E07"/>
    <w:rsid w:val="000C3A0D"/>
    <w:rsid w:val="000C3BC9"/>
    <w:rsid w:val="000C5886"/>
    <w:rsid w:val="000C5C7E"/>
    <w:rsid w:val="000C5DCB"/>
    <w:rsid w:val="000C62DD"/>
    <w:rsid w:val="000D0364"/>
    <w:rsid w:val="000D2A56"/>
    <w:rsid w:val="000D2F2D"/>
    <w:rsid w:val="000D3EDA"/>
    <w:rsid w:val="000D58FB"/>
    <w:rsid w:val="000D63E6"/>
    <w:rsid w:val="000D6CBE"/>
    <w:rsid w:val="000E02D3"/>
    <w:rsid w:val="000E1220"/>
    <w:rsid w:val="000E1541"/>
    <w:rsid w:val="000E1ACE"/>
    <w:rsid w:val="000E27C5"/>
    <w:rsid w:val="000E28AD"/>
    <w:rsid w:val="000E3028"/>
    <w:rsid w:val="000E3C39"/>
    <w:rsid w:val="000E423F"/>
    <w:rsid w:val="000E4614"/>
    <w:rsid w:val="000E4790"/>
    <w:rsid w:val="000E4C9E"/>
    <w:rsid w:val="000E5CC6"/>
    <w:rsid w:val="000E798C"/>
    <w:rsid w:val="000F04FC"/>
    <w:rsid w:val="000F0E84"/>
    <w:rsid w:val="000F102E"/>
    <w:rsid w:val="000F11F9"/>
    <w:rsid w:val="000F1EFD"/>
    <w:rsid w:val="000F3105"/>
    <w:rsid w:val="000F3393"/>
    <w:rsid w:val="000F4219"/>
    <w:rsid w:val="000F43E7"/>
    <w:rsid w:val="000F5365"/>
    <w:rsid w:val="000F5645"/>
    <w:rsid w:val="000F5762"/>
    <w:rsid w:val="000F5C4A"/>
    <w:rsid w:val="000F5CD8"/>
    <w:rsid w:val="00101149"/>
    <w:rsid w:val="00102A9F"/>
    <w:rsid w:val="00103E2D"/>
    <w:rsid w:val="0010431B"/>
    <w:rsid w:val="00104E7F"/>
    <w:rsid w:val="00106A4B"/>
    <w:rsid w:val="00107048"/>
    <w:rsid w:val="001074F7"/>
    <w:rsid w:val="00107BCA"/>
    <w:rsid w:val="001102F4"/>
    <w:rsid w:val="00110961"/>
    <w:rsid w:val="001128A0"/>
    <w:rsid w:val="00114D28"/>
    <w:rsid w:val="00115BB5"/>
    <w:rsid w:val="00116891"/>
    <w:rsid w:val="00116A21"/>
    <w:rsid w:val="00116EC1"/>
    <w:rsid w:val="00117D92"/>
    <w:rsid w:val="00117FA1"/>
    <w:rsid w:val="001228B3"/>
    <w:rsid w:val="00123DB1"/>
    <w:rsid w:val="00123F9F"/>
    <w:rsid w:val="00124129"/>
    <w:rsid w:val="0012659A"/>
    <w:rsid w:val="0012716E"/>
    <w:rsid w:val="00127C64"/>
    <w:rsid w:val="001305FE"/>
    <w:rsid w:val="00131003"/>
    <w:rsid w:val="00131481"/>
    <w:rsid w:val="00131BFE"/>
    <w:rsid w:val="001329D4"/>
    <w:rsid w:val="00132B33"/>
    <w:rsid w:val="00135134"/>
    <w:rsid w:val="00135608"/>
    <w:rsid w:val="00143A4D"/>
    <w:rsid w:val="00143ACA"/>
    <w:rsid w:val="00144418"/>
    <w:rsid w:val="00144BEC"/>
    <w:rsid w:val="00145C88"/>
    <w:rsid w:val="001478A2"/>
    <w:rsid w:val="0015004F"/>
    <w:rsid w:val="0015081A"/>
    <w:rsid w:val="00150884"/>
    <w:rsid w:val="001513D4"/>
    <w:rsid w:val="00152CC4"/>
    <w:rsid w:val="001536B7"/>
    <w:rsid w:val="00153C48"/>
    <w:rsid w:val="00153EA0"/>
    <w:rsid w:val="0015419E"/>
    <w:rsid w:val="00155500"/>
    <w:rsid w:val="001555FC"/>
    <w:rsid w:val="00155A27"/>
    <w:rsid w:val="001560A5"/>
    <w:rsid w:val="0015671C"/>
    <w:rsid w:val="00157010"/>
    <w:rsid w:val="00157E8F"/>
    <w:rsid w:val="00160337"/>
    <w:rsid w:val="00160565"/>
    <w:rsid w:val="00160B99"/>
    <w:rsid w:val="00160D21"/>
    <w:rsid w:val="001611EB"/>
    <w:rsid w:val="00163498"/>
    <w:rsid w:val="00163B83"/>
    <w:rsid w:val="001645F1"/>
    <w:rsid w:val="00164615"/>
    <w:rsid w:val="001660AB"/>
    <w:rsid w:val="0016637C"/>
    <w:rsid w:val="001678C1"/>
    <w:rsid w:val="00167B98"/>
    <w:rsid w:val="0017085C"/>
    <w:rsid w:val="00173353"/>
    <w:rsid w:val="00173A59"/>
    <w:rsid w:val="0017459E"/>
    <w:rsid w:val="001752E7"/>
    <w:rsid w:val="001760EF"/>
    <w:rsid w:val="0017610D"/>
    <w:rsid w:val="00177508"/>
    <w:rsid w:val="00177B57"/>
    <w:rsid w:val="00180948"/>
    <w:rsid w:val="001816C7"/>
    <w:rsid w:val="00181A9C"/>
    <w:rsid w:val="00182AE7"/>
    <w:rsid w:val="001836BC"/>
    <w:rsid w:val="0018373C"/>
    <w:rsid w:val="00183B30"/>
    <w:rsid w:val="00184DC7"/>
    <w:rsid w:val="001865FB"/>
    <w:rsid w:val="00186D1D"/>
    <w:rsid w:val="001870C4"/>
    <w:rsid w:val="00187245"/>
    <w:rsid w:val="00187946"/>
    <w:rsid w:val="00187D50"/>
    <w:rsid w:val="00187FBD"/>
    <w:rsid w:val="00191546"/>
    <w:rsid w:val="001927C0"/>
    <w:rsid w:val="00193A4C"/>
    <w:rsid w:val="001946AB"/>
    <w:rsid w:val="00197DF1"/>
    <w:rsid w:val="001A1FE0"/>
    <w:rsid w:val="001A2569"/>
    <w:rsid w:val="001A5903"/>
    <w:rsid w:val="001A5DAC"/>
    <w:rsid w:val="001A5FD9"/>
    <w:rsid w:val="001A71A2"/>
    <w:rsid w:val="001A73BE"/>
    <w:rsid w:val="001A793E"/>
    <w:rsid w:val="001B0793"/>
    <w:rsid w:val="001B139A"/>
    <w:rsid w:val="001B2130"/>
    <w:rsid w:val="001B46DF"/>
    <w:rsid w:val="001B47A9"/>
    <w:rsid w:val="001B5086"/>
    <w:rsid w:val="001B5BC4"/>
    <w:rsid w:val="001B60F2"/>
    <w:rsid w:val="001B6816"/>
    <w:rsid w:val="001B681A"/>
    <w:rsid w:val="001B7D01"/>
    <w:rsid w:val="001C0C8E"/>
    <w:rsid w:val="001C2B0B"/>
    <w:rsid w:val="001C2BD4"/>
    <w:rsid w:val="001C2FD1"/>
    <w:rsid w:val="001C3D23"/>
    <w:rsid w:val="001C4191"/>
    <w:rsid w:val="001C5427"/>
    <w:rsid w:val="001C60DB"/>
    <w:rsid w:val="001C6433"/>
    <w:rsid w:val="001C6670"/>
    <w:rsid w:val="001D0872"/>
    <w:rsid w:val="001D0E87"/>
    <w:rsid w:val="001D2059"/>
    <w:rsid w:val="001D270D"/>
    <w:rsid w:val="001D2ECE"/>
    <w:rsid w:val="001D3E5F"/>
    <w:rsid w:val="001D3E86"/>
    <w:rsid w:val="001D7182"/>
    <w:rsid w:val="001D7750"/>
    <w:rsid w:val="001E09EE"/>
    <w:rsid w:val="001E0DC5"/>
    <w:rsid w:val="001E3ECD"/>
    <w:rsid w:val="001E400F"/>
    <w:rsid w:val="001E5242"/>
    <w:rsid w:val="001E5BDF"/>
    <w:rsid w:val="001E5CE9"/>
    <w:rsid w:val="001E6B61"/>
    <w:rsid w:val="001E729B"/>
    <w:rsid w:val="001E7A84"/>
    <w:rsid w:val="001F035A"/>
    <w:rsid w:val="001F058A"/>
    <w:rsid w:val="001F0C9A"/>
    <w:rsid w:val="001F179C"/>
    <w:rsid w:val="001F3242"/>
    <w:rsid w:val="001F3601"/>
    <w:rsid w:val="001F3A62"/>
    <w:rsid w:val="001F3FE2"/>
    <w:rsid w:val="001F6634"/>
    <w:rsid w:val="00200CD0"/>
    <w:rsid w:val="002016AA"/>
    <w:rsid w:val="00202B57"/>
    <w:rsid w:val="00202DD2"/>
    <w:rsid w:val="00202E83"/>
    <w:rsid w:val="0020346C"/>
    <w:rsid w:val="00205A91"/>
    <w:rsid w:val="00205FEE"/>
    <w:rsid w:val="00206007"/>
    <w:rsid w:val="00207B41"/>
    <w:rsid w:val="00207B62"/>
    <w:rsid w:val="0021073E"/>
    <w:rsid w:val="00210789"/>
    <w:rsid w:val="00210A8F"/>
    <w:rsid w:val="00210D90"/>
    <w:rsid w:val="0021204C"/>
    <w:rsid w:val="002137AC"/>
    <w:rsid w:val="002139D8"/>
    <w:rsid w:val="00214E2A"/>
    <w:rsid w:val="00215776"/>
    <w:rsid w:val="00215797"/>
    <w:rsid w:val="00216C34"/>
    <w:rsid w:val="00216E65"/>
    <w:rsid w:val="00216FA0"/>
    <w:rsid w:val="0021720A"/>
    <w:rsid w:val="002175F9"/>
    <w:rsid w:val="00220D68"/>
    <w:rsid w:val="00221634"/>
    <w:rsid w:val="00221BDA"/>
    <w:rsid w:val="002227A3"/>
    <w:rsid w:val="00223A8B"/>
    <w:rsid w:val="00225D3B"/>
    <w:rsid w:val="002264CA"/>
    <w:rsid w:val="00226F45"/>
    <w:rsid w:val="002274B6"/>
    <w:rsid w:val="002277EB"/>
    <w:rsid w:val="002310C1"/>
    <w:rsid w:val="00231640"/>
    <w:rsid w:val="00231C1D"/>
    <w:rsid w:val="00232D50"/>
    <w:rsid w:val="002339BA"/>
    <w:rsid w:val="00233D44"/>
    <w:rsid w:val="00234130"/>
    <w:rsid w:val="002359B1"/>
    <w:rsid w:val="00237204"/>
    <w:rsid w:val="00241573"/>
    <w:rsid w:val="00241990"/>
    <w:rsid w:val="00241A7E"/>
    <w:rsid w:val="00243C73"/>
    <w:rsid w:val="00244517"/>
    <w:rsid w:val="00245296"/>
    <w:rsid w:val="00245F2A"/>
    <w:rsid w:val="002464B0"/>
    <w:rsid w:val="00246E67"/>
    <w:rsid w:val="00246F28"/>
    <w:rsid w:val="0025037C"/>
    <w:rsid w:val="00250670"/>
    <w:rsid w:val="00250B9D"/>
    <w:rsid w:val="002516C5"/>
    <w:rsid w:val="00252289"/>
    <w:rsid w:val="00252D18"/>
    <w:rsid w:val="00253440"/>
    <w:rsid w:val="002535F3"/>
    <w:rsid w:val="0025386D"/>
    <w:rsid w:val="00253C70"/>
    <w:rsid w:val="00255EAE"/>
    <w:rsid w:val="00255FD6"/>
    <w:rsid w:val="0025609A"/>
    <w:rsid w:val="00256FB3"/>
    <w:rsid w:val="0025726E"/>
    <w:rsid w:val="00262BBF"/>
    <w:rsid w:val="00263296"/>
    <w:rsid w:val="002633A2"/>
    <w:rsid w:val="0026380D"/>
    <w:rsid w:val="00264898"/>
    <w:rsid w:val="00265BEB"/>
    <w:rsid w:val="00266DBF"/>
    <w:rsid w:val="00267FF2"/>
    <w:rsid w:val="002700E4"/>
    <w:rsid w:val="00270735"/>
    <w:rsid w:val="00270A1C"/>
    <w:rsid w:val="00272031"/>
    <w:rsid w:val="0027259D"/>
    <w:rsid w:val="002725E1"/>
    <w:rsid w:val="002737D4"/>
    <w:rsid w:val="0027423A"/>
    <w:rsid w:val="00274A08"/>
    <w:rsid w:val="00275112"/>
    <w:rsid w:val="00275125"/>
    <w:rsid w:val="00276326"/>
    <w:rsid w:val="00280A15"/>
    <w:rsid w:val="002810CC"/>
    <w:rsid w:val="002812C2"/>
    <w:rsid w:val="002812E5"/>
    <w:rsid w:val="002837A0"/>
    <w:rsid w:val="00283A9F"/>
    <w:rsid w:val="00283DE4"/>
    <w:rsid w:val="00286B23"/>
    <w:rsid w:val="00287630"/>
    <w:rsid w:val="00290D45"/>
    <w:rsid w:val="0029124F"/>
    <w:rsid w:val="00292C27"/>
    <w:rsid w:val="002934E9"/>
    <w:rsid w:val="002939BA"/>
    <w:rsid w:val="00293DFA"/>
    <w:rsid w:val="00293F7C"/>
    <w:rsid w:val="002956A7"/>
    <w:rsid w:val="002962CF"/>
    <w:rsid w:val="0029644A"/>
    <w:rsid w:val="002A141F"/>
    <w:rsid w:val="002A1B74"/>
    <w:rsid w:val="002A230E"/>
    <w:rsid w:val="002A245E"/>
    <w:rsid w:val="002A309D"/>
    <w:rsid w:val="002A3551"/>
    <w:rsid w:val="002A45A7"/>
    <w:rsid w:val="002A4C98"/>
    <w:rsid w:val="002A5FFD"/>
    <w:rsid w:val="002A6340"/>
    <w:rsid w:val="002A648E"/>
    <w:rsid w:val="002A65B8"/>
    <w:rsid w:val="002A6754"/>
    <w:rsid w:val="002A7088"/>
    <w:rsid w:val="002A74E2"/>
    <w:rsid w:val="002A7C6D"/>
    <w:rsid w:val="002B0174"/>
    <w:rsid w:val="002B0448"/>
    <w:rsid w:val="002B0544"/>
    <w:rsid w:val="002B1873"/>
    <w:rsid w:val="002B39BE"/>
    <w:rsid w:val="002B5637"/>
    <w:rsid w:val="002B62B9"/>
    <w:rsid w:val="002B6BB3"/>
    <w:rsid w:val="002B7330"/>
    <w:rsid w:val="002B7614"/>
    <w:rsid w:val="002C1C90"/>
    <w:rsid w:val="002C2C1A"/>
    <w:rsid w:val="002C2C4E"/>
    <w:rsid w:val="002C3127"/>
    <w:rsid w:val="002C42A1"/>
    <w:rsid w:val="002C47D6"/>
    <w:rsid w:val="002C59F4"/>
    <w:rsid w:val="002C6045"/>
    <w:rsid w:val="002C6CDF"/>
    <w:rsid w:val="002C7403"/>
    <w:rsid w:val="002C7855"/>
    <w:rsid w:val="002D0348"/>
    <w:rsid w:val="002D1809"/>
    <w:rsid w:val="002D2B21"/>
    <w:rsid w:val="002D374C"/>
    <w:rsid w:val="002D3821"/>
    <w:rsid w:val="002D436D"/>
    <w:rsid w:val="002D464C"/>
    <w:rsid w:val="002D494C"/>
    <w:rsid w:val="002D67CB"/>
    <w:rsid w:val="002D6FC6"/>
    <w:rsid w:val="002D724E"/>
    <w:rsid w:val="002D72EE"/>
    <w:rsid w:val="002E0464"/>
    <w:rsid w:val="002E1248"/>
    <w:rsid w:val="002E12DC"/>
    <w:rsid w:val="002E3317"/>
    <w:rsid w:val="002E343B"/>
    <w:rsid w:val="002E3C3C"/>
    <w:rsid w:val="002E3DDE"/>
    <w:rsid w:val="002E4101"/>
    <w:rsid w:val="002E41F5"/>
    <w:rsid w:val="002F023F"/>
    <w:rsid w:val="002F1C80"/>
    <w:rsid w:val="002F5037"/>
    <w:rsid w:val="002F5E5B"/>
    <w:rsid w:val="002F6592"/>
    <w:rsid w:val="002F6FFE"/>
    <w:rsid w:val="002F77E6"/>
    <w:rsid w:val="0030050D"/>
    <w:rsid w:val="00300684"/>
    <w:rsid w:val="00300D21"/>
    <w:rsid w:val="00301D15"/>
    <w:rsid w:val="00301D8B"/>
    <w:rsid w:val="003020B7"/>
    <w:rsid w:val="003024C1"/>
    <w:rsid w:val="00302C20"/>
    <w:rsid w:val="003043AB"/>
    <w:rsid w:val="003044A5"/>
    <w:rsid w:val="00305DAD"/>
    <w:rsid w:val="00306189"/>
    <w:rsid w:val="0030649F"/>
    <w:rsid w:val="00306E71"/>
    <w:rsid w:val="00307187"/>
    <w:rsid w:val="00311AB8"/>
    <w:rsid w:val="00312D6F"/>
    <w:rsid w:val="00313FBB"/>
    <w:rsid w:val="00314146"/>
    <w:rsid w:val="00314309"/>
    <w:rsid w:val="00314764"/>
    <w:rsid w:val="0031513E"/>
    <w:rsid w:val="003163D6"/>
    <w:rsid w:val="00320583"/>
    <w:rsid w:val="0032217C"/>
    <w:rsid w:val="00323E4A"/>
    <w:rsid w:val="00324A3B"/>
    <w:rsid w:val="00331261"/>
    <w:rsid w:val="0033138B"/>
    <w:rsid w:val="00331CAA"/>
    <w:rsid w:val="00331D12"/>
    <w:rsid w:val="00332328"/>
    <w:rsid w:val="003352F4"/>
    <w:rsid w:val="00335C9A"/>
    <w:rsid w:val="0033723E"/>
    <w:rsid w:val="00337BCE"/>
    <w:rsid w:val="0034077D"/>
    <w:rsid w:val="0034090D"/>
    <w:rsid w:val="0034260F"/>
    <w:rsid w:val="0034496B"/>
    <w:rsid w:val="00346FB0"/>
    <w:rsid w:val="00350098"/>
    <w:rsid w:val="003500A9"/>
    <w:rsid w:val="0035017D"/>
    <w:rsid w:val="00351E55"/>
    <w:rsid w:val="00351FC3"/>
    <w:rsid w:val="003524C5"/>
    <w:rsid w:val="00353481"/>
    <w:rsid w:val="00353C92"/>
    <w:rsid w:val="003541DA"/>
    <w:rsid w:val="00354588"/>
    <w:rsid w:val="00354895"/>
    <w:rsid w:val="00355565"/>
    <w:rsid w:val="00355FD5"/>
    <w:rsid w:val="00357635"/>
    <w:rsid w:val="003600A5"/>
    <w:rsid w:val="003609B8"/>
    <w:rsid w:val="00360E99"/>
    <w:rsid w:val="00361216"/>
    <w:rsid w:val="00361270"/>
    <w:rsid w:val="0036221F"/>
    <w:rsid w:val="00362B97"/>
    <w:rsid w:val="0036392E"/>
    <w:rsid w:val="00366A09"/>
    <w:rsid w:val="00366AFB"/>
    <w:rsid w:val="00366F09"/>
    <w:rsid w:val="003704D1"/>
    <w:rsid w:val="003737F5"/>
    <w:rsid w:val="0037412A"/>
    <w:rsid w:val="00375EB2"/>
    <w:rsid w:val="003764CB"/>
    <w:rsid w:val="003775C3"/>
    <w:rsid w:val="00380F64"/>
    <w:rsid w:val="00380F96"/>
    <w:rsid w:val="00381132"/>
    <w:rsid w:val="003814B9"/>
    <w:rsid w:val="00382953"/>
    <w:rsid w:val="00383350"/>
    <w:rsid w:val="00384660"/>
    <w:rsid w:val="003875CC"/>
    <w:rsid w:val="003878AA"/>
    <w:rsid w:val="00390193"/>
    <w:rsid w:val="00390E54"/>
    <w:rsid w:val="003913C8"/>
    <w:rsid w:val="00391AD8"/>
    <w:rsid w:val="0039417C"/>
    <w:rsid w:val="00395477"/>
    <w:rsid w:val="003954E1"/>
    <w:rsid w:val="0039568B"/>
    <w:rsid w:val="003A0CAD"/>
    <w:rsid w:val="003A15F6"/>
    <w:rsid w:val="003A1C44"/>
    <w:rsid w:val="003A21D3"/>
    <w:rsid w:val="003A309E"/>
    <w:rsid w:val="003A397A"/>
    <w:rsid w:val="003A48FB"/>
    <w:rsid w:val="003A4B3C"/>
    <w:rsid w:val="003A5859"/>
    <w:rsid w:val="003A5925"/>
    <w:rsid w:val="003A6D55"/>
    <w:rsid w:val="003A6DD3"/>
    <w:rsid w:val="003A71DD"/>
    <w:rsid w:val="003B0EBB"/>
    <w:rsid w:val="003B18C4"/>
    <w:rsid w:val="003B236E"/>
    <w:rsid w:val="003B383F"/>
    <w:rsid w:val="003B3D0F"/>
    <w:rsid w:val="003B482F"/>
    <w:rsid w:val="003B5927"/>
    <w:rsid w:val="003B5A5F"/>
    <w:rsid w:val="003B5B76"/>
    <w:rsid w:val="003B6156"/>
    <w:rsid w:val="003C0254"/>
    <w:rsid w:val="003C0952"/>
    <w:rsid w:val="003C100F"/>
    <w:rsid w:val="003C1CCF"/>
    <w:rsid w:val="003C247A"/>
    <w:rsid w:val="003C38A8"/>
    <w:rsid w:val="003C38DD"/>
    <w:rsid w:val="003C4275"/>
    <w:rsid w:val="003C4B77"/>
    <w:rsid w:val="003C5F15"/>
    <w:rsid w:val="003C626E"/>
    <w:rsid w:val="003C795B"/>
    <w:rsid w:val="003D006B"/>
    <w:rsid w:val="003D19C6"/>
    <w:rsid w:val="003D1C04"/>
    <w:rsid w:val="003D261A"/>
    <w:rsid w:val="003D2891"/>
    <w:rsid w:val="003D2A7F"/>
    <w:rsid w:val="003D31BC"/>
    <w:rsid w:val="003D3BCA"/>
    <w:rsid w:val="003D3C59"/>
    <w:rsid w:val="003D4B3F"/>
    <w:rsid w:val="003D5444"/>
    <w:rsid w:val="003D5ED9"/>
    <w:rsid w:val="003D6194"/>
    <w:rsid w:val="003D6BFE"/>
    <w:rsid w:val="003E307F"/>
    <w:rsid w:val="003E31DB"/>
    <w:rsid w:val="003E401F"/>
    <w:rsid w:val="003E43C8"/>
    <w:rsid w:val="003E4F52"/>
    <w:rsid w:val="003F307D"/>
    <w:rsid w:val="003F36DA"/>
    <w:rsid w:val="003F38A3"/>
    <w:rsid w:val="003F4043"/>
    <w:rsid w:val="003F45F3"/>
    <w:rsid w:val="003F5BE8"/>
    <w:rsid w:val="003F78CE"/>
    <w:rsid w:val="0040026F"/>
    <w:rsid w:val="00400DE4"/>
    <w:rsid w:val="004011E2"/>
    <w:rsid w:val="004016F3"/>
    <w:rsid w:val="00401DBD"/>
    <w:rsid w:val="00401F33"/>
    <w:rsid w:val="0040208F"/>
    <w:rsid w:val="00402D28"/>
    <w:rsid w:val="004040B5"/>
    <w:rsid w:val="00404E69"/>
    <w:rsid w:val="004050AA"/>
    <w:rsid w:val="00406BDC"/>
    <w:rsid w:val="004125A2"/>
    <w:rsid w:val="00412E5E"/>
    <w:rsid w:val="004155C7"/>
    <w:rsid w:val="00417220"/>
    <w:rsid w:val="004177D3"/>
    <w:rsid w:val="00417AFF"/>
    <w:rsid w:val="0042029B"/>
    <w:rsid w:val="004202C1"/>
    <w:rsid w:val="00420671"/>
    <w:rsid w:val="00421EA1"/>
    <w:rsid w:val="00422243"/>
    <w:rsid w:val="004228B5"/>
    <w:rsid w:val="004228FF"/>
    <w:rsid w:val="0042669A"/>
    <w:rsid w:val="0043036C"/>
    <w:rsid w:val="00430D44"/>
    <w:rsid w:val="00431E7D"/>
    <w:rsid w:val="0043355D"/>
    <w:rsid w:val="004361BA"/>
    <w:rsid w:val="00437064"/>
    <w:rsid w:val="00437FFA"/>
    <w:rsid w:val="00440A5B"/>
    <w:rsid w:val="004412A0"/>
    <w:rsid w:val="00441611"/>
    <w:rsid w:val="004424E0"/>
    <w:rsid w:val="00443F4D"/>
    <w:rsid w:val="0044518F"/>
    <w:rsid w:val="00445B38"/>
    <w:rsid w:val="004504AF"/>
    <w:rsid w:val="004508AF"/>
    <w:rsid w:val="00450A93"/>
    <w:rsid w:val="0045161F"/>
    <w:rsid w:val="004519C5"/>
    <w:rsid w:val="00452492"/>
    <w:rsid w:val="00452C57"/>
    <w:rsid w:val="00452C8B"/>
    <w:rsid w:val="004537CB"/>
    <w:rsid w:val="00453F97"/>
    <w:rsid w:val="0045634C"/>
    <w:rsid w:val="00456699"/>
    <w:rsid w:val="0045730B"/>
    <w:rsid w:val="00457D01"/>
    <w:rsid w:val="00460719"/>
    <w:rsid w:val="0046134E"/>
    <w:rsid w:val="00461459"/>
    <w:rsid w:val="00461E15"/>
    <w:rsid w:val="00461FB0"/>
    <w:rsid w:val="004627E8"/>
    <w:rsid w:val="00463940"/>
    <w:rsid w:val="004639EF"/>
    <w:rsid w:val="00463D7E"/>
    <w:rsid w:val="0046410B"/>
    <w:rsid w:val="00464410"/>
    <w:rsid w:val="00464F1B"/>
    <w:rsid w:val="0046644F"/>
    <w:rsid w:val="00467806"/>
    <w:rsid w:val="00470280"/>
    <w:rsid w:val="004707BA"/>
    <w:rsid w:val="0047293A"/>
    <w:rsid w:val="00473435"/>
    <w:rsid w:val="00473E8A"/>
    <w:rsid w:val="00474347"/>
    <w:rsid w:val="00475E2F"/>
    <w:rsid w:val="00475F89"/>
    <w:rsid w:val="00476128"/>
    <w:rsid w:val="004800CC"/>
    <w:rsid w:val="004802B0"/>
    <w:rsid w:val="00480AC0"/>
    <w:rsid w:val="00480E3E"/>
    <w:rsid w:val="004818B3"/>
    <w:rsid w:val="00482B65"/>
    <w:rsid w:val="00483D9A"/>
    <w:rsid w:val="0048465B"/>
    <w:rsid w:val="00484AA7"/>
    <w:rsid w:val="00485396"/>
    <w:rsid w:val="00485BD7"/>
    <w:rsid w:val="00486A9F"/>
    <w:rsid w:val="0048710B"/>
    <w:rsid w:val="004875FA"/>
    <w:rsid w:val="00487D9E"/>
    <w:rsid w:val="0049139B"/>
    <w:rsid w:val="00493827"/>
    <w:rsid w:val="00495C29"/>
    <w:rsid w:val="0049652F"/>
    <w:rsid w:val="004A05F7"/>
    <w:rsid w:val="004A06F3"/>
    <w:rsid w:val="004A07DC"/>
    <w:rsid w:val="004A0A79"/>
    <w:rsid w:val="004A0FFA"/>
    <w:rsid w:val="004A1643"/>
    <w:rsid w:val="004A30ED"/>
    <w:rsid w:val="004A37FC"/>
    <w:rsid w:val="004A3BB4"/>
    <w:rsid w:val="004A4890"/>
    <w:rsid w:val="004A4B82"/>
    <w:rsid w:val="004A4D07"/>
    <w:rsid w:val="004A4D69"/>
    <w:rsid w:val="004A60A2"/>
    <w:rsid w:val="004A7509"/>
    <w:rsid w:val="004A7AE0"/>
    <w:rsid w:val="004A7BDF"/>
    <w:rsid w:val="004B17F4"/>
    <w:rsid w:val="004B200A"/>
    <w:rsid w:val="004B314F"/>
    <w:rsid w:val="004B3B91"/>
    <w:rsid w:val="004B4D3C"/>
    <w:rsid w:val="004B511D"/>
    <w:rsid w:val="004B5A93"/>
    <w:rsid w:val="004B6F1C"/>
    <w:rsid w:val="004C0E54"/>
    <w:rsid w:val="004C1907"/>
    <w:rsid w:val="004C2DED"/>
    <w:rsid w:val="004C2F49"/>
    <w:rsid w:val="004C3A9B"/>
    <w:rsid w:val="004C53BB"/>
    <w:rsid w:val="004C5630"/>
    <w:rsid w:val="004C7C47"/>
    <w:rsid w:val="004D07B5"/>
    <w:rsid w:val="004D20C3"/>
    <w:rsid w:val="004D3B4C"/>
    <w:rsid w:val="004D4197"/>
    <w:rsid w:val="004D60C3"/>
    <w:rsid w:val="004D62BA"/>
    <w:rsid w:val="004D6770"/>
    <w:rsid w:val="004D6EE8"/>
    <w:rsid w:val="004E1303"/>
    <w:rsid w:val="004E1949"/>
    <w:rsid w:val="004E2122"/>
    <w:rsid w:val="004E3F25"/>
    <w:rsid w:val="004E5AFE"/>
    <w:rsid w:val="004E71DA"/>
    <w:rsid w:val="004F0111"/>
    <w:rsid w:val="004F11DE"/>
    <w:rsid w:val="004F1FFD"/>
    <w:rsid w:val="004F2108"/>
    <w:rsid w:val="004F25D0"/>
    <w:rsid w:val="004F2CEC"/>
    <w:rsid w:val="004F4E6C"/>
    <w:rsid w:val="004F6D07"/>
    <w:rsid w:val="005014AA"/>
    <w:rsid w:val="00501719"/>
    <w:rsid w:val="00503B28"/>
    <w:rsid w:val="005043E3"/>
    <w:rsid w:val="00505796"/>
    <w:rsid w:val="00505F7D"/>
    <w:rsid w:val="005062CD"/>
    <w:rsid w:val="00506942"/>
    <w:rsid w:val="00506F7C"/>
    <w:rsid w:val="00507D6A"/>
    <w:rsid w:val="0051135D"/>
    <w:rsid w:val="00511ED1"/>
    <w:rsid w:val="00512298"/>
    <w:rsid w:val="005125BF"/>
    <w:rsid w:val="00515D02"/>
    <w:rsid w:val="00515DA6"/>
    <w:rsid w:val="005165AC"/>
    <w:rsid w:val="0052129A"/>
    <w:rsid w:val="00521947"/>
    <w:rsid w:val="00521ACE"/>
    <w:rsid w:val="00521C4D"/>
    <w:rsid w:val="0052248B"/>
    <w:rsid w:val="00522A9E"/>
    <w:rsid w:val="00523697"/>
    <w:rsid w:val="00523DDF"/>
    <w:rsid w:val="0052426F"/>
    <w:rsid w:val="00527359"/>
    <w:rsid w:val="00527CA4"/>
    <w:rsid w:val="00527DB4"/>
    <w:rsid w:val="00527E7E"/>
    <w:rsid w:val="00530AD7"/>
    <w:rsid w:val="00532615"/>
    <w:rsid w:val="005334E2"/>
    <w:rsid w:val="00534A47"/>
    <w:rsid w:val="00534A9C"/>
    <w:rsid w:val="00534BA5"/>
    <w:rsid w:val="005355FC"/>
    <w:rsid w:val="005371DA"/>
    <w:rsid w:val="00540990"/>
    <w:rsid w:val="0054156B"/>
    <w:rsid w:val="00542EB7"/>
    <w:rsid w:val="00544E5B"/>
    <w:rsid w:val="00545360"/>
    <w:rsid w:val="005467D0"/>
    <w:rsid w:val="00547E19"/>
    <w:rsid w:val="00550520"/>
    <w:rsid w:val="005520DF"/>
    <w:rsid w:val="005528C6"/>
    <w:rsid w:val="00554D83"/>
    <w:rsid w:val="00554DA6"/>
    <w:rsid w:val="00555DAE"/>
    <w:rsid w:val="00556561"/>
    <w:rsid w:val="00557D26"/>
    <w:rsid w:val="00560538"/>
    <w:rsid w:val="00560DD9"/>
    <w:rsid w:val="005612E6"/>
    <w:rsid w:val="005613ED"/>
    <w:rsid w:val="00562767"/>
    <w:rsid w:val="005628BF"/>
    <w:rsid w:val="00562DE6"/>
    <w:rsid w:val="00562F76"/>
    <w:rsid w:val="00564178"/>
    <w:rsid w:val="00565359"/>
    <w:rsid w:val="00566084"/>
    <w:rsid w:val="0056698C"/>
    <w:rsid w:val="00567C41"/>
    <w:rsid w:val="00571777"/>
    <w:rsid w:val="00572001"/>
    <w:rsid w:val="005721C2"/>
    <w:rsid w:val="00573B29"/>
    <w:rsid w:val="00575462"/>
    <w:rsid w:val="00577219"/>
    <w:rsid w:val="005779BF"/>
    <w:rsid w:val="005819C5"/>
    <w:rsid w:val="005829E4"/>
    <w:rsid w:val="00585577"/>
    <w:rsid w:val="00585BDE"/>
    <w:rsid w:val="005932AD"/>
    <w:rsid w:val="00593D04"/>
    <w:rsid w:val="00596A54"/>
    <w:rsid w:val="005977B1"/>
    <w:rsid w:val="005A0728"/>
    <w:rsid w:val="005A1763"/>
    <w:rsid w:val="005A1839"/>
    <w:rsid w:val="005A24A6"/>
    <w:rsid w:val="005A2548"/>
    <w:rsid w:val="005A3DFE"/>
    <w:rsid w:val="005A4051"/>
    <w:rsid w:val="005A6077"/>
    <w:rsid w:val="005A6648"/>
    <w:rsid w:val="005B0141"/>
    <w:rsid w:val="005B1081"/>
    <w:rsid w:val="005B17C4"/>
    <w:rsid w:val="005B1FE1"/>
    <w:rsid w:val="005B2A31"/>
    <w:rsid w:val="005B341B"/>
    <w:rsid w:val="005B3A96"/>
    <w:rsid w:val="005B4159"/>
    <w:rsid w:val="005B4ACC"/>
    <w:rsid w:val="005B5A01"/>
    <w:rsid w:val="005B77CE"/>
    <w:rsid w:val="005C0B2B"/>
    <w:rsid w:val="005C12B8"/>
    <w:rsid w:val="005C1719"/>
    <w:rsid w:val="005C1943"/>
    <w:rsid w:val="005C4551"/>
    <w:rsid w:val="005C4CAA"/>
    <w:rsid w:val="005C5A39"/>
    <w:rsid w:val="005C6B5E"/>
    <w:rsid w:val="005C7116"/>
    <w:rsid w:val="005C7486"/>
    <w:rsid w:val="005D0518"/>
    <w:rsid w:val="005D11C9"/>
    <w:rsid w:val="005D1826"/>
    <w:rsid w:val="005D22A3"/>
    <w:rsid w:val="005D4353"/>
    <w:rsid w:val="005D55BA"/>
    <w:rsid w:val="005D5FD9"/>
    <w:rsid w:val="005D620E"/>
    <w:rsid w:val="005D632F"/>
    <w:rsid w:val="005D6880"/>
    <w:rsid w:val="005D7BE6"/>
    <w:rsid w:val="005D7C83"/>
    <w:rsid w:val="005E021E"/>
    <w:rsid w:val="005E1AB0"/>
    <w:rsid w:val="005E1E03"/>
    <w:rsid w:val="005E2126"/>
    <w:rsid w:val="005E2203"/>
    <w:rsid w:val="005E2F1F"/>
    <w:rsid w:val="005E32E7"/>
    <w:rsid w:val="005E4964"/>
    <w:rsid w:val="005E539E"/>
    <w:rsid w:val="005E6497"/>
    <w:rsid w:val="005E75FE"/>
    <w:rsid w:val="005F06AA"/>
    <w:rsid w:val="005F13CF"/>
    <w:rsid w:val="005F32CF"/>
    <w:rsid w:val="005F3A8F"/>
    <w:rsid w:val="005F4590"/>
    <w:rsid w:val="005F4E1D"/>
    <w:rsid w:val="005F5CE0"/>
    <w:rsid w:val="006008AE"/>
    <w:rsid w:val="00600992"/>
    <w:rsid w:val="00601FC6"/>
    <w:rsid w:val="00602209"/>
    <w:rsid w:val="0060242C"/>
    <w:rsid w:val="00602D14"/>
    <w:rsid w:val="0060350C"/>
    <w:rsid w:val="0060379E"/>
    <w:rsid w:val="0060475F"/>
    <w:rsid w:val="00607AEB"/>
    <w:rsid w:val="0061321B"/>
    <w:rsid w:val="00613CCD"/>
    <w:rsid w:val="00613E19"/>
    <w:rsid w:val="006142F8"/>
    <w:rsid w:val="00614E9C"/>
    <w:rsid w:val="00615F84"/>
    <w:rsid w:val="00617A1D"/>
    <w:rsid w:val="006203B8"/>
    <w:rsid w:val="00620C7A"/>
    <w:rsid w:val="00621993"/>
    <w:rsid w:val="00623532"/>
    <w:rsid w:val="00623D09"/>
    <w:rsid w:val="00623D99"/>
    <w:rsid w:val="00624037"/>
    <w:rsid w:val="00625047"/>
    <w:rsid w:val="00625786"/>
    <w:rsid w:val="00626074"/>
    <w:rsid w:val="006262CA"/>
    <w:rsid w:val="00626ADC"/>
    <w:rsid w:val="00627438"/>
    <w:rsid w:val="00627BB1"/>
    <w:rsid w:val="00631071"/>
    <w:rsid w:val="0063160B"/>
    <w:rsid w:val="00631BB5"/>
    <w:rsid w:val="0063203C"/>
    <w:rsid w:val="006325B7"/>
    <w:rsid w:val="00632F26"/>
    <w:rsid w:val="006339C6"/>
    <w:rsid w:val="00634E19"/>
    <w:rsid w:val="0063647B"/>
    <w:rsid w:val="00636B9C"/>
    <w:rsid w:val="00637F56"/>
    <w:rsid w:val="006406B8"/>
    <w:rsid w:val="00640CED"/>
    <w:rsid w:val="00641732"/>
    <w:rsid w:val="00641DDC"/>
    <w:rsid w:val="00643996"/>
    <w:rsid w:val="00644051"/>
    <w:rsid w:val="00644065"/>
    <w:rsid w:val="00644834"/>
    <w:rsid w:val="006460C0"/>
    <w:rsid w:val="006463A0"/>
    <w:rsid w:val="006464CB"/>
    <w:rsid w:val="00646773"/>
    <w:rsid w:val="00646C8A"/>
    <w:rsid w:val="006478E6"/>
    <w:rsid w:val="00650413"/>
    <w:rsid w:val="006511B3"/>
    <w:rsid w:val="0065146B"/>
    <w:rsid w:val="00652820"/>
    <w:rsid w:val="00653CE8"/>
    <w:rsid w:val="00653DD3"/>
    <w:rsid w:val="00655232"/>
    <w:rsid w:val="00655B5B"/>
    <w:rsid w:val="0065661A"/>
    <w:rsid w:val="00656D46"/>
    <w:rsid w:val="00660948"/>
    <w:rsid w:val="00660A81"/>
    <w:rsid w:val="00662A6E"/>
    <w:rsid w:val="00664485"/>
    <w:rsid w:val="00664FA5"/>
    <w:rsid w:val="0066537F"/>
    <w:rsid w:val="0066567C"/>
    <w:rsid w:val="00665E74"/>
    <w:rsid w:val="00666308"/>
    <w:rsid w:val="0066692A"/>
    <w:rsid w:val="00667860"/>
    <w:rsid w:val="00671D50"/>
    <w:rsid w:val="00671F21"/>
    <w:rsid w:val="00672AEF"/>
    <w:rsid w:val="006732B0"/>
    <w:rsid w:val="00674A34"/>
    <w:rsid w:val="00675175"/>
    <w:rsid w:val="00676809"/>
    <w:rsid w:val="006829BF"/>
    <w:rsid w:val="0068315E"/>
    <w:rsid w:val="006838FF"/>
    <w:rsid w:val="00683AA6"/>
    <w:rsid w:val="006875D1"/>
    <w:rsid w:val="00690A5D"/>
    <w:rsid w:val="00690FD1"/>
    <w:rsid w:val="00691C63"/>
    <w:rsid w:val="006921CD"/>
    <w:rsid w:val="00692891"/>
    <w:rsid w:val="00692F5E"/>
    <w:rsid w:val="00694B05"/>
    <w:rsid w:val="006963A4"/>
    <w:rsid w:val="00696638"/>
    <w:rsid w:val="006966A1"/>
    <w:rsid w:val="006968F8"/>
    <w:rsid w:val="0069713B"/>
    <w:rsid w:val="0069730C"/>
    <w:rsid w:val="00697535"/>
    <w:rsid w:val="00697BD1"/>
    <w:rsid w:val="00697FAF"/>
    <w:rsid w:val="006A0050"/>
    <w:rsid w:val="006A13F8"/>
    <w:rsid w:val="006A2691"/>
    <w:rsid w:val="006A2BF3"/>
    <w:rsid w:val="006A3277"/>
    <w:rsid w:val="006A3A65"/>
    <w:rsid w:val="006A415A"/>
    <w:rsid w:val="006A4B88"/>
    <w:rsid w:val="006A4CD0"/>
    <w:rsid w:val="006A5722"/>
    <w:rsid w:val="006A6138"/>
    <w:rsid w:val="006A6946"/>
    <w:rsid w:val="006A69A2"/>
    <w:rsid w:val="006B02F7"/>
    <w:rsid w:val="006B1082"/>
    <w:rsid w:val="006B115F"/>
    <w:rsid w:val="006B187D"/>
    <w:rsid w:val="006B24CE"/>
    <w:rsid w:val="006B288E"/>
    <w:rsid w:val="006B2CA2"/>
    <w:rsid w:val="006B340A"/>
    <w:rsid w:val="006B349F"/>
    <w:rsid w:val="006B3D49"/>
    <w:rsid w:val="006B5EC1"/>
    <w:rsid w:val="006B5FDD"/>
    <w:rsid w:val="006B66A6"/>
    <w:rsid w:val="006B67ED"/>
    <w:rsid w:val="006B7107"/>
    <w:rsid w:val="006B71A6"/>
    <w:rsid w:val="006C1702"/>
    <w:rsid w:val="006C32F9"/>
    <w:rsid w:val="006C36AC"/>
    <w:rsid w:val="006C3A97"/>
    <w:rsid w:val="006C3EEC"/>
    <w:rsid w:val="006C4EEB"/>
    <w:rsid w:val="006C6E90"/>
    <w:rsid w:val="006D229A"/>
    <w:rsid w:val="006D4662"/>
    <w:rsid w:val="006D5556"/>
    <w:rsid w:val="006D632C"/>
    <w:rsid w:val="006D6645"/>
    <w:rsid w:val="006E0941"/>
    <w:rsid w:val="006E1958"/>
    <w:rsid w:val="006E3329"/>
    <w:rsid w:val="006E3BCA"/>
    <w:rsid w:val="006E4B8E"/>
    <w:rsid w:val="006E4CF3"/>
    <w:rsid w:val="006E6647"/>
    <w:rsid w:val="006E7DED"/>
    <w:rsid w:val="006F0232"/>
    <w:rsid w:val="006F045C"/>
    <w:rsid w:val="006F1934"/>
    <w:rsid w:val="006F3C0C"/>
    <w:rsid w:val="006F412E"/>
    <w:rsid w:val="006F4DEC"/>
    <w:rsid w:val="006F4E6F"/>
    <w:rsid w:val="006F5432"/>
    <w:rsid w:val="006F5AFE"/>
    <w:rsid w:val="006F5CB8"/>
    <w:rsid w:val="006F6CB9"/>
    <w:rsid w:val="006F743A"/>
    <w:rsid w:val="006F74C1"/>
    <w:rsid w:val="006F7661"/>
    <w:rsid w:val="007000C4"/>
    <w:rsid w:val="00700EA0"/>
    <w:rsid w:val="0070127F"/>
    <w:rsid w:val="007020EA"/>
    <w:rsid w:val="00702989"/>
    <w:rsid w:val="007030A7"/>
    <w:rsid w:val="007045FF"/>
    <w:rsid w:val="0070528D"/>
    <w:rsid w:val="007053FC"/>
    <w:rsid w:val="007055C4"/>
    <w:rsid w:val="00705F69"/>
    <w:rsid w:val="00706E59"/>
    <w:rsid w:val="00706F20"/>
    <w:rsid w:val="007078DD"/>
    <w:rsid w:val="00710F9E"/>
    <w:rsid w:val="007111A0"/>
    <w:rsid w:val="0071171A"/>
    <w:rsid w:val="0071228A"/>
    <w:rsid w:val="00712F4D"/>
    <w:rsid w:val="00713640"/>
    <w:rsid w:val="0071502C"/>
    <w:rsid w:val="007155F5"/>
    <w:rsid w:val="00715F5A"/>
    <w:rsid w:val="0071722B"/>
    <w:rsid w:val="00721343"/>
    <w:rsid w:val="007213B6"/>
    <w:rsid w:val="00721D78"/>
    <w:rsid w:val="007222CC"/>
    <w:rsid w:val="007224D7"/>
    <w:rsid w:val="007232E2"/>
    <w:rsid w:val="00723BBA"/>
    <w:rsid w:val="00724BC2"/>
    <w:rsid w:val="00725146"/>
    <w:rsid w:val="00725912"/>
    <w:rsid w:val="0072623E"/>
    <w:rsid w:val="00730765"/>
    <w:rsid w:val="00732184"/>
    <w:rsid w:val="00734F19"/>
    <w:rsid w:val="0073573D"/>
    <w:rsid w:val="007359F0"/>
    <w:rsid w:val="00735BC5"/>
    <w:rsid w:val="00735E08"/>
    <w:rsid w:val="007364F0"/>
    <w:rsid w:val="00740D56"/>
    <w:rsid w:val="00741C2E"/>
    <w:rsid w:val="00741DD7"/>
    <w:rsid w:val="00742D2F"/>
    <w:rsid w:val="007432E9"/>
    <w:rsid w:val="00743688"/>
    <w:rsid w:val="00744092"/>
    <w:rsid w:val="00745058"/>
    <w:rsid w:val="00745133"/>
    <w:rsid w:val="00746640"/>
    <w:rsid w:val="007512DC"/>
    <w:rsid w:val="007521A0"/>
    <w:rsid w:val="00752255"/>
    <w:rsid w:val="007531D8"/>
    <w:rsid w:val="007542F5"/>
    <w:rsid w:val="00754809"/>
    <w:rsid w:val="00755982"/>
    <w:rsid w:val="00755C3F"/>
    <w:rsid w:val="00756139"/>
    <w:rsid w:val="0075742D"/>
    <w:rsid w:val="00757520"/>
    <w:rsid w:val="00757ED5"/>
    <w:rsid w:val="007608C9"/>
    <w:rsid w:val="00760EF4"/>
    <w:rsid w:val="007611CA"/>
    <w:rsid w:val="0076384D"/>
    <w:rsid w:val="00764B06"/>
    <w:rsid w:val="00767230"/>
    <w:rsid w:val="00767663"/>
    <w:rsid w:val="00767FC6"/>
    <w:rsid w:val="00772595"/>
    <w:rsid w:val="00773A5A"/>
    <w:rsid w:val="00774697"/>
    <w:rsid w:val="00774F58"/>
    <w:rsid w:val="007763AD"/>
    <w:rsid w:val="0077684E"/>
    <w:rsid w:val="00781A85"/>
    <w:rsid w:val="00782342"/>
    <w:rsid w:val="007826B0"/>
    <w:rsid w:val="007836AC"/>
    <w:rsid w:val="00783DE4"/>
    <w:rsid w:val="00784878"/>
    <w:rsid w:val="007848A8"/>
    <w:rsid w:val="007852EA"/>
    <w:rsid w:val="00786E02"/>
    <w:rsid w:val="007901DA"/>
    <w:rsid w:val="00790712"/>
    <w:rsid w:val="00793D09"/>
    <w:rsid w:val="007942C7"/>
    <w:rsid w:val="00794E77"/>
    <w:rsid w:val="007968CF"/>
    <w:rsid w:val="0079793C"/>
    <w:rsid w:val="00797F49"/>
    <w:rsid w:val="007A0BF3"/>
    <w:rsid w:val="007A5046"/>
    <w:rsid w:val="007A566F"/>
    <w:rsid w:val="007A5CF2"/>
    <w:rsid w:val="007A63E5"/>
    <w:rsid w:val="007A7648"/>
    <w:rsid w:val="007B0975"/>
    <w:rsid w:val="007B1ABD"/>
    <w:rsid w:val="007B2295"/>
    <w:rsid w:val="007B2C38"/>
    <w:rsid w:val="007B2F72"/>
    <w:rsid w:val="007B3290"/>
    <w:rsid w:val="007B5245"/>
    <w:rsid w:val="007B5C64"/>
    <w:rsid w:val="007B6228"/>
    <w:rsid w:val="007B6254"/>
    <w:rsid w:val="007B6845"/>
    <w:rsid w:val="007B6EB5"/>
    <w:rsid w:val="007C0569"/>
    <w:rsid w:val="007C0A92"/>
    <w:rsid w:val="007C2FBB"/>
    <w:rsid w:val="007C3AB1"/>
    <w:rsid w:val="007C3C0C"/>
    <w:rsid w:val="007C3CD3"/>
    <w:rsid w:val="007C4026"/>
    <w:rsid w:val="007C43B3"/>
    <w:rsid w:val="007C6475"/>
    <w:rsid w:val="007C74B2"/>
    <w:rsid w:val="007C7B02"/>
    <w:rsid w:val="007D1457"/>
    <w:rsid w:val="007D22F3"/>
    <w:rsid w:val="007D2962"/>
    <w:rsid w:val="007D2F80"/>
    <w:rsid w:val="007D34AE"/>
    <w:rsid w:val="007D4318"/>
    <w:rsid w:val="007D4CE9"/>
    <w:rsid w:val="007D560C"/>
    <w:rsid w:val="007D5D71"/>
    <w:rsid w:val="007D6D63"/>
    <w:rsid w:val="007E1073"/>
    <w:rsid w:val="007E1902"/>
    <w:rsid w:val="007E4603"/>
    <w:rsid w:val="007E4B29"/>
    <w:rsid w:val="007E51A6"/>
    <w:rsid w:val="007E6FCA"/>
    <w:rsid w:val="007E7240"/>
    <w:rsid w:val="007E7C33"/>
    <w:rsid w:val="007F0654"/>
    <w:rsid w:val="007F1140"/>
    <w:rsid w:val="007F166A"/>
    <w:rsid w:val="007F329A"/>
    <w:rsid w:val="007F38C2"/>
    <w:rsid w:val="007F43E2"/>
    <w:rsid w:val="007F4A3D"/>
    <w:rsid w:val="007F511B"/>
    <w:rsid w:val="007F6108"/>
    <w:rsid w:val="007F72D3"/>
    <w:rsid w:val="007F79AA"/>
    <w:rsid w:val="00801385"/>
    <w:rsid w:val="00801A1D"/>
    <w:rsid w:val="0080205C"/>
    <w:rsid w:val="00802692"/>
    <w:rsid w:val="008034B4"/>
    <w:rsid w:val="00804083"/>
    <w:rsid w:val="008052D3"/>
    <w:rsid w:val="00806254"/>
    <w:rsid w:val="00810E32"/>
    <w:rsid w:val="00812F68"/>
    <w:rsid w:val="008133BC"/>
    <w:rsid w:val="00813594"/>
    <w:rsid w:val="008157C6"/>
    <w:rsid w:val="00815A12"/>
    <w:rsid w:val="0081749B"/>
    <w:rsid w:val="00820130"/>
    <w:rsid w:val="00822020"/>
    <w:rsid w:val="00822C7E"/>
    <w:rsid w:val="00822F51"/>
    <w:rsid w:val="0082361B"/>
    <w:rsid w:val="00823B9D"/>
    <w:rsid w:val="00823ECE"/>
    <w:rsid w:val="00824CC2"/>
    <w:rsid w:val="008268BA"/>
    <w:rsid w:val="00826D4E"/>
    <w:rsid w:val="008273E7"/>
    <w:rsid w:val="00830793"/>
    <w:rsid w:val="00831652"/>
    <w:rsid w:val="00832441"/>
    <w:rsid w:val="00832D53"/>
    <w:rsid w:val="0083331C"/>
    <w:rsid w:val="0083336D"/>
    <w:rsid w:val="00833C6C"/>
    <w:rsid w:val="00833F69"/>
    <w:rsid w:val="00835E2C"/>
    <w:rsid w:val="008368F9"/>
    <w:rsid w:val="00837470"/>
    <w:rsid w:val="008376A1"/>
    <w:rsid w:val="00837C3D"/>
    <w:rsid w:val="00841BB7"/>
    <w:rsid w:val="00842607"/>
    <w:rsid w:val="00843DFB"/>
    <w:rsid w:val="008440FC"/>
    <w:rsid w:val="008447FF"/>
    <w:rsid w:val="00845571"/>
    <w:rsid w:val="00845C23"/>
    <w:rsid w:val="0084774C"/>
    <w:rsid w:val="00847C59"/>
    <w:rsid w:val="008531D6"/>
    <w:rsid w:val="0085339C"/>
    <w:rsid w:val="008533AE"/>
    <w:rsid w:val="0085351C"/>
    <w:rsid w:val="008551CB"/>
    <w:rsid w:val="0085671F"/>
    <w:rsid w:val="00856A36"/>
    <w:rsid w:val="00857994"/>
    <w:rsid w:val="00857D8A"/>
    <w:rsid w:val="0086022C"/>
    <w:rsid w:val="00860922"/>
    <w:rsid w:val="008611D8"/>
    <w:rsid w:val="00861607"/>
    <w:rsid w:val="0086188C"/>
    <w:rsid w:val="00862A4D"/>
    <w:rsid w:val="00862EB4"/>
    <w:rsid w:val="00863644"/>
    <w:rsid w:val="00865428"/>
    <w:rsid w:val="0086644E"/>
    <w:rsid w:val="00866CAC"/>
    <w:rsid w:val="00867646"/>
    <w:rsid w:val="008712BF"/>
    <w:rsid w:val="00871C1F"/>
    <w:rsid w:val="00873D63"/>
    <w:rsid w:val="00874644"/>
    <w:rsid w:val="008748C7"/>
    <w:rsid w:val="00877145"/>
    <w:rsid w:val="00877A1E"/>
    <w:rsid w:val="00881509"/>
    <w:rsid w:val="0088161F"/>
    <w:rsid w:val="00882052"/>
    <w:rsid w:val="008820EA"/>
    <w:rsid w:val="008838CC"/>
    <w:rsid w:val="00883F26"/>
    <w:rsid w:val="0088516B"/>
    <w:rsid w:val="00886FB8"/>
    <w:rsid w:val="00887360"/>
    <w:rsid w:val="008941FD"/>
    <w:rsid w:val="0089483F"/>
    <w:rsid w:val="00896243"/>
    <w:rsid w:val="0089701B"/>
    <w:rsid w:val="00897B68"/>
    <w:rsid w:val="00897E7A"/>
    <w:rsid w:val="008A3CDE"/>
    <w:rsid w:val="008A5E32"/>
    <w:rsid w:val="008A7A88"/>
    <w:rsid w:val="008A7CC4"/>
    <w:rsid w:val="008B0217"/>
    <w:rsid w:val="008B2A01"/>
    <w:rsid w:val="008B2DCC"/>
    <w:rsid w:val="008B41B1"/>
    <w:rsid w:val="008B4435"/>
    <w:rsid w:val="008B577F"/>
    <w:rsid w:val="008B59E2"/>
    <w:rsid w:val="008B6DF8"/>
    <w:rsid w:val="008C0A6D"/>
    <w:rsid w:val="008C13B2"/>
    <w:rsid w:val="008C4501"/>
    <w:rsid w:val="008C48A0"/>
    <w:rsid w:val="008C4BF2"/>
    <w:rsid w:val="008C4F9A"/>
    <w:rsid w:val="008C558F"/>
    <w:rsid w:val="008C578A"/>
    <w:rsid w:val="008C5B24"/>
    <w:rsid w:val="008C73AF"/>
    <w:rsid w:val="008D26F4"/>
    <w:rsid w:val="008D2887"/>
    <w:rsid w:val="008D2AA9"/>
    <w:rsid w:val="008D3626"/>
    <w:rsid w:val="008D5880"/>
    <w:rsid w:val="008D72B7"/>
    <w:rsid w:val="008D765C"/>
    <w:rsid w:val="008E0AF8"/>
    <w:rsid w:val="008E1B23"/>
    <w:rsid w:val="008E1B51"/>
    <w:rsid w:val="008E256E"/>
    <w:rsid w:val="008E2A17"/>
    <w:rsid w:val="008E2C4C"/>
    <w:rsid w:val="008E44FE"/>
    <w:rsid w:val="008E4F6B"/>
    <w:rsid w:val="008E500F"/>
    <w:rsid w:val="008E5763"/>
    <w:rsid w:val="008E594D"/>
    <w:rsid w:val="008E6A5A"/>
    <w:rsid w:val="008F37A3"/>
    <w:rsid w:val="008F7CE3"/>
    <w:rsid w:val="00900DDF"/>
    <w:rsid w:val="009010D7"/>
    <w:rsid w:val="00901BF0"/>
    <w:rsid w:val="009033F2"/>
    <w:rsid w:val="009044CF"/>
    <w:rsid w:val="00904D79"/>
    <w:rsid w:val="00905F5B"/>
    <w:rsid w:val="009060B2"/>
    <w:rsid w:val="009074C7"/>
    <w:rsid w:val="009129BA"/>
    <w:rsid w:val="00913C2C"/>
    <w:rsid w:val="00913FE7"/>
    <w:rsid w:val="009140AF"/>
    <w:rsid w:val="00914A95"/>
    <w:rsid w:val="00914BE2"/>
    <w:rsid w:val="00916CE8"/>
    <w:rsid w:val="00916DA5"/>
    <w:rsid w:val="00916E1D"/>
    <w:rsid w:val="0092251A"/>
    <w:rsid w:val="00922895"/>
    <w:rsid w:val="0092289F"/>
    <w:rsid w:val="009236EA"/>
    <w:rsid w:val="00924F0D"/>
    <w:rsid w:val="00925463"/>
    <w:rsid w:val="00925492"/>
    <w:rsid w:val="009268AF"/>
    <w:rsid w:val="00926E0A"/>
    <w:rsid w:val="00927444"/>
    <w:rsid w:val="009276D2"/>
    <w:rsid w:val="00931D35"/>
    <w:rsid w:val="00932047"/>
    <w:rsid w:val="00932BC1"/>
    <w:rsid w:val="00933A57"/>
    <w:rsid w:val="0093524A"/>
    <w:rsid w:val="00936C84"/>
    <w:rsid w:val="009372DF"/>
    <w:rsid w:val="00940248"/>
    <w:rsid w:val="009414E3"/>
    <w:rsid w:val="00941CB5"/>
    <w:rsid w:val="00941F92"/>
    <w:rsid w:val="0094317B"/>
    <w:rsid w:val="009435DB"/>
    <w:rsid w:val="00943FC7"/>
    <w:rsid w:val="0094418D"/>
    <w:rsid w:val="009441F5"/>
    <w:rsid w:val="00944710"/>
    <w:rsid w:val="00944A93"/>
    <w:rsid w:val="00945615"/>
    <w:rsid w:val="00945C0C"/>
    <w:rsid w:val="00946466"/>
    <w:rsid w:val="00946D70"/>
    <w:rsid w:val="00947855"/>
    <w:rsid w:val="00952470"/>
    <w:rsid w:val="009561C6"/>
    <w:rsid w:val="009609B8"/>
    <w:rsid w:val="00961E38"/>
    <w:rsid w:val="00963C5E"/>
    <w:rsid w:val="00964535"/>
    <w:rsid w:val="00965178"/>
    <w:rsid w:val="00965E10"/>
    <w:rsid w:val="009665F6"/>
    <w:rsid w:val="00966EBC"/>
    <w:rsid w:val="009673E7"/>
    <w:rsid w:val="009716F5"/>
    <w:rsid w:val="009721F5"/>
    <w:rsid w:val="0097300A"/>
    <w:rsid w:val="00973100"/>
    <w:rsid w:val="00975312"/>
    <w:rsid w:val="009754FF"/>
    <w:rsid w:val="009756F7"/>
    <w:rsid w:val="009759E1"/>
    <w:rsid w:val="00976590"/>
    <w:rsid w:val="00976C5B"/>
    <w:rsid w:val="0098030B"/>
    <w:rsid w:val="00980415"/>
    <w:rsid w:val="009817D5"/>
    <w:rsid w:val="009827A5"/>
    <w:rsid w:val="00983627"/>
    <w:rsid w:val="00983E21"/>
    <w:rsid w:val="00984222"/>
    <w:rsid w:val="00985768"/>
    <w:rsid w:val="0098630F"/>
    <w:rsid w:val="0098730C"/>
    <w:rsid w:val="00987C1E"/>
    <w:rsid w:val="00987F6D"/>
    <w:rsid w:val="00990CE2"/>
    <w:rsid w:val="0099155F"/>
    <w:rsid w:val="00991FA4"/>
    <w:rsid w:val="00991FE3"/>
    <w:rsid w:val="00992309"/>
    <w:rsid w:val="00995D55"/>
    <w:rsid w:val="00996890"/>
    <w:rsid w:val="009977A4"/>
    <w:rsid w:val="009A0CBF"/>
    <w:rsid w:val="009A2373"/>
    <w:rsid w:val="009A3ABB"/>
    <w:rsid w:val="009A3F22"/>
    <w:rsid w:val="009A3FB1"/>
    <w:rsid w:val="009A411A"/>
    <w:rsid w:val="009A44CA"/>
    <w:rsid w:val="009A6980"/>
    <w:rsid w:val="009A71DE"/>
    <w:rsid w:val="009A7F9F"/>
    <w:rsid w:val="009B19BD"/>
    <w:rsid w:val="009B20A9"/>
    <w:rsid w:val="009B312A"/>
    <w:rsid w:val="009B411B"/>
    <w:rsid w:val="009B526F"/>
    <w:rsid w:val="009B651A"/>
    <w:rsid w:val="009B6694"/>
    <w:rsid w:val="009B69E6"/>
    <w:rsid w:val="009B707D"/>
    <w:rsid w:val="009B7648"/>
    <w:rsid w:val="009C1C53"/>
    <w:rsid w:val="009C26C4"/>
    <w:rsid w:val="009C5A06"/>
    <w:rsid w:val="009C5C77"/>
    <w:rsid w:val="009C7B6A"/>
    <w:rsid w:val="009D3680"/>
    <w:rsid w:val="009D39C7"/>
    <w:rsid w:val="009D49CC"/>
    <w:rsid w:val="009D6B12"/>
    <w:rsid w:val="009D6C25"/>
    <w:rsid w:val="009D7F2F"/>
    <w:rsid w:val="009E058C"/>
    <w:rsid w:val="009E059B"/>
    <w:rsid w:val="009E1EDE"/>
    <w:rsid w:val="009E1F06"/>
    <w:rsid w:val="009E292E"/>
    <w:rsid w:val="009E3D34"/>
    <w:rsid w:val="009E3F19"/>
    <w:rsid w:val="009E4FE2"/>
    <w:rsid w:val="009E5751"/>
    <w:rsid w:val="009E5CDF"/>
    <w:rsid w:val="009E62FE"/>
    <w:rsid w:val="009F0EBB"/>
    <w:rsid w:val="009F20B4"/>
    <w:rsid w:val="009F217D"/>
    <w:rsid w:val="009F28A2"/>
    <w:rsid w:val="009F443C"/>
    <w:rsid w:val="009F4940"/>
    <w:rsid w:val="009F61AF"/>
    <w:rsid w:val="009F7C03"/>
    <w:rsid w:val="00A01049"/>
    <w:rsid w:val="00A01D08"/>
    <w:rsid w:val="00A01E0B"/>
    <w:rsid w:val="00A03569"/>
    <w:rsid w:val="00A0559E"/>
    <w:rsid w:val="00A05CAA"/>
    <w:rsid w:val="00A05DB4"/>
    <w:rsid w:val="00A06322"/>
    <w:rsid w:val="00A06493"/>
    <w:rsid w:val="00A100D1"/>
    <w:rsid w:val="00A10129"/>
    <w:rsid w:val="00A10511"/>
    <w:rsid w:val="00A10F91"/>
    <w:rsid w:val="00A11A24"/>
    <w:rsid w:val="00A12390"/>
    <w:rsid w:val="00A126BE"/>
    <w:rsid w:val="00A13761"/>
    <w:rsid w:val="00A141E0"/>
    <w:rsid w:val="00A15387"/>
    <w:rsid w:val="00A15D42"/>
    <w:rsid w:val="00A1783D"/>
    <w:rsid w:val="00A207CE"/>
    <w:rsid w:val="00A218B9"/>
    <w:rsid w:val="00A21A6F"/>
    <w:rsid w:val="00A22D6E"/>
    <w:rsid w:val="00A239BD"/>
    <w:rsid w:val="00A25826"/>
    <w:rsid w:val="00A25F10"/>
    <w:rsid w:val="00A271C9"/>
    <w:rsid w:val="00A274F6"/>
    <w:rsid w:val="00A361B9"/>
    <w:rsid w:val="00A41F9F"/>
    <w:rsid w:val="00A425D0"/>
    <w:rsid w:val="00A4340C"/>
    <w:rsid w:val="00A43F32"/>
    <w:rsid w:val="00A44838"/>
    <w:rsid w:val="00A4500B"/>
    <w:rsid w:val="00A4512D"/>
    <w:rsid w:val="00A45B68"/>
    <w:rsid w:val="00A462F6"/>
    <w:rsid w:val="00A4654E"/>
    <w:rsid w:val="00A478ED"/>
    <w:rsid w:val="00A47958"/>
    <w:rsid w:val="00A509AD"/>
    <w:rsid w:val="00A50AA4"/>
    <w:rsid w:val="00A50F4A"/>
    <w:rsid w:val="00A51721"/>
    <w:rsid w:val="00A519BC"/>
    <w:rsid w:val="00A51C28"/>
    <w:rsid w:val="00A51ECA"/>
    <w:rsid w:val="00A5225A"/>
    <w:rsid w:val="00A5364F"/>
    <w:rsid w:val="00A53772"/>
    <w:rsid w:val="00A53E38"/>
    <w:rsid w:val="00A5597A"/>
    <w:rsid w:val="00A56231"/>
    <w:rsid w:val="00A567BF"/>
    <w:rsid w:val="00A56FFD"/>
    <w:rsid w:val="00A60110"/>
    <w:rsid w:val="00A603C1"/>
    <w:rsid w:val="00A609A9"/>
    <w:rsid w:val="00A626A8"/>
    <w:rsid w:val="00A629FF"/>
    <w:rsid w:val="00A632A7"/>
    <w:rsid w:val="00A64165"/>
    <w:rsid w:val="00A6416B"/>
    <w:rsid w:val="00A6428D"/>
    <w:rsid w:val="00A65F23"/>
    <w:rsid w:val="00A6651E"/>
    <w:rsid w:val="00A66BFD"/>
    <w:rsid w:val="00A67603"/>
    <w:rsid w:val="00A738E1"/>
    <w:rsid w:val="00A74891"/>
    <w:rsid w:val="00A761E7"/>
    <w:rsid w:val="00A76654"/>
    <w:rsid w:val="00A76DFD"/>
    <w:rsid w:val="00A81828"/>
    <w:rsid w:val="00A81B48"/>
    <w:rsid w:val="00A81EBB"/>
    <w:rsid w:val="00A82190"/>
    <w:rsid w:val="00A82825"/>
    <w:rsid w:val="00A8339C"/>
    <w:rsid w:val="00A84338"/>
    <w:rsid w:val="00A843C9"/>
    <w:rsid w:val="00A8626E"/>
    <w:rsid w:val="00A86B06"/>
    <w:rsid w:val="00A8742C"/>
    <w:rsid w:val="00A87F48"/>
    <w:rsid w:val="00A907AE"/>
    <w:rsid w:val="00A92622"/>
    <w:rsid w:val="00A9266A"/>
    <w:rsid w:val="00A92F0C"/>
    <w:rsid w:val="00A93A64"/>
    <w:rsid w:val="00A93C97"/>
    <w:rsid w:val="00A93CAA"/>
    <w:rsid w:val="00A948A2"/>
    <w:rsid w:val="00A9567B"/>
    <w:rsid w:val="00A957FC"/>
    <w:rsid w:val="00A9714D"/>
    <w:rsid w:val="00A97F1B"/>
    <w:rsid w:val="00AA0779"/>
    <w:rsid w:val="00AA18CE"/>
    <w:rsid w:val="00AA1991"/>
    <w:rsid w:val="00AA19B2"/>
    <w:rsid w:val="00AA20AA"/>
    <w:rsid w:val="00AA39F5"/>
    <w:rsid w:val="00AA5BF7"/>
    <w:rsid w:val="00AA5FC5"/>
    <w:rsid w:val="00AA69DA"/>
    <w:rsid w:val="00AB0286"/>
    <w:rsid w:val="00AB0FAD"/>
    <w:rsid w:val="00AB1CA8"/>
    <w:rsid w:val="00AB22DD"/>
    <w:rsid w:val="00AB2458"/>
    <w:rsid w:val="00AB3600"/>
    <w:rsid w:val="00AB3798"/>
    <w:rsid w:val="00AB3B5F"/>
    <w:rsid w:val="00AB4B34"/>
    <w:rsid w:val="00AB4CA9"/>
    <w:rsid w:val="00AB52A2"/>
    <w:rsid w:val="00AB568E"/>
    <w:rsid w:val="00AB6499"/>
    <w:rsid w:val="00AB707F"/>
    <w:rsid w:val="00AC0A96"/>
    <w:rsid w:val="00AC19A4"/>
    <w:rsid w:val="00AC275B"/>
    <w:rsid w:val="00AC2947"/>
    <w:rsid w:val="00AC2AEC"/>
    <w:rsid w:val="00AC3E33"/>
    <w:rsid w:val="00AC504D"/>
    <w:rsid w:val="00AC5D2D"/>
    <w:rsid w:val="00AC5F0A"/>
    <w:rsid w:val="00AD0124"/>
    <w:rsid w:val="00AD15F9"/>
    <w:rsid w:val="00AD317F"/>
    <w:rsid w:val="00AD4935"/>
    <w:rsid w:val="00AD5FC4"/>
    <w:rsid w:val="00AD61CE"/>
    <w:rsid w:val="00AD6FD2"/>
    <w:rsid w:val="00AE0683"/>
    <w:rsid w:val="00AE1CCA"/>
    <w:rsid w:val="00AE4448"/>
    <w:rsid w:val="00AE4BB3"/>
    <w:rsid w:val="00AE6381"/>
    <w:rsid w:val="00AE63AF"/>
    <w:rsid w:val="00AE67F3"/>
    <w:rsid w:val="00AE734D"/>
    <w:rsid w:val="00AF0341"/>
    <w:rsid w:val="00AF1D3C"/>
    <w:rsid w:val="00AF1DF1"/>
    <w:rsid w:val="00AF1E9B"/>
    <w:rsid w:val="00AF23AC"/>
    <w:rsid w:val="00AF3DA8"/>
    <w:rsid w:val="00AF487F"/>
    <w:rsid w:val="00AF5505"/>
    <w:rsid w:val="00AF594D"/>
    <w:rsid w:val="00AF6374"/>
    <w:rsid w:val="00B00022"/>
    <w:rsid w:val="00B02BBD"/>
    <w:rsid w:val="00B0478A"/>
    <w:rsid w:val="00B059E7"/>
    <w:rsid w:val="00B0711F"/>
    <w:rsid w:val="00B072C8"/>
    <w:rsid w:val="00B073AE"/>
    <w:rsid w:val="00B101AE"/>
    <w:rsid w:val="00B10581"/>
    <w:rsid w:val="00B12911"/>
    <w:rsid w:val="00B136DB"/>
    <w:rsid w:val="00B140FC"/>
    <w:rsid w:val="00B154D1"/>
    <w:rsid w:val="00B16DE8"/>
    <w:rsid w:val="00B17524"/>
    <w:rsid w:val="00B17781"/>
    <w:rsid w:val="00B2047D"/>
    <w:rsid w:val="00B204F2"/>
    <w:rsid w:val="00B20B0C"/>
    <w:rsid w:val="00B22693"/>
    <w:rsid w:val="00B22776"/>
    <w:rsid w:val="00B2412D"/>
    <w:rsid w:val="00B24A31"/>
    <w:rsid w:val="00B25670"/>
    <w:rsid w:val="00B2604B"/>
    <w:rsid w:val="00B26102"/>
    <w:rsid w:val="00B26CCA"/>
    <w:rsid w:val="00B26E1F"/>
    <w:rsid w:val="00B27FB6"/>
    <w:rsid w:val="00B3006A"/>
    <w:rsid w:val="00B342F3"/>
    <w:rsid w:val="00B36A98"/>
    <w:rsid w:val="00B36B85"/>
    <w:rsid w:val="00B36BF4"/>
    <w:rsid w:val="00B401EF"/>
    <w:rsid w:val="00B40F84"/>
    <w:rsid w:val="00B41308"/>
    <w:rsid w:val="00B42738"/>
    <w:rsid w:val="00B43010"/>
    <w:rsid w:val="00B450EC"/>
    <w:rsid w:val="00B45659"/>
    <w:rsid w:val="00B45A3A"/>
    <w:rsid w:val="00B46703"/>
    <w:rsid w:val="00B47477"/>
    <w:rsid w:val="00B47FDC"/>
    <w:rsid w:val="00B5143A"/>
    <w:rsid w:val="00B527DC"/>
    <w:rsid w:val="00B52999"/>
    <w:rsid w:val="00B541BC"/>
    <w:rsid w:val="00B5591B"/>
    <w:rsid w:val="00B5644B"/>
    <w:rsid w:val="00B56699"/>
    <w:rsid w:val="00B5715D"/>
    <w:rsid w:val="00B606DE"/>
    <w:rsid w:val="00B60770"/>
    <w:rsid w:val="00B6109C"/>
    <w:rsid w:val="00B6172C"/>
    <w:rsid w:val="00B61810"/>
    <w:rsid w:val="00B6234A"/>
    <w:rsid w:val="00B62C31"/>
    <w:rsid w:val="00B63059"/>
    <w:rsid w:val="00B63C9C"/>
    <w:rsid w:val="00B63E4D"/>
    <w:rsid w:val="00B63FC2"/>
    <w:rsid w:val="00B64267"/>
    <w:rsid w:val="00B66857"/>
    <w:rsid w:val="00B66D43"/>
    <w:rsid w:val="00B66FD8"/>
    <w:rsid w:val="00B70904"/>
    <w:rsid w:val="00B724C6"/>
    <w:rsid w:val="00B72CE9"/>
    <w:rsid w:val="00B73185"/>
    <w:rsid w:val="00B73608"/>
    <w:rsid w:val="00B74A3F"/>
    <w:rsid w:val="00B76905"/>
    <w:rsid w:val="00B77034"/>
    <w:rsid w:val="00B7780D"/>
    <w:rsid w:val="00B77B6C"/>
    <w:rsid w:val="00B80727"/>
    <w:rsid w:val="00B808C7"/>
    <w:rsid w:val="00B8106E"/>
    <w:rsid w:val="00B8168D"/>
    <w:rsid w:val="00B82630"/>
    <w:rsid w:val="00B83B23"/>
    <w:rsid w:val="00B8458E"/>
    <w:rsid w:val="00B862A8"/>
    <w:rsid w:val="00B8768E"/>
    <w:rsid w:val="00B877B3"/>
    <w:rsid w:val="00B87BCF"/>
    <w:rsid w:val="00B90721"/>
    <w:rsid w:val="00B90D57"/>
    <w:rsid w:val="00B90E06"/>
    <w:rsid w:val="00B915DB"/>
    <w:rsid w:val="00B92182"/>
    <w:rsid w:val="00B923D0"/>
    <w:rsid w:val="00B92C4A"/>
    <w:rsid w:val="00B94045"/>
    <w:rsid w:val="00B94CC2"/>
    <w:rsid w:val="00B96544"/>
    <w:rsid w:val="00B96C8E"/>
    <w:rsid w:val="00BA0F12"/>
    <w:rsid w:val="00BA25B7"/>
    <w:rsid w:val="00BA261B"/>
    <w:rsid w:val="00BA3936"/>
    <w:rsid w:val="00BA3960"/>
    <w:rsid w:val="00BA47EB"/>
    <w:rsid w:val="00BA5F05"/>
    <w:rsid w:val="00BB1237"/>
    <w:rsid w:val="00BB1829"/>
    <w:rsid w:val="00BB21E5"/>
    <w:rsid w:val="00BB2F34"/>
    <w:rsid w:val="00BB5FB8"/>
    <w:rsid w:val="00BB6221"/>
    <w:rsid w:val="00BB688D"/>
    <w:rsid w:val="00BB7F15"/>
    <w:rsid w:val="00BC0415"/>
    <w:rsid w:val="00BC11AE"/>
    <w:rsid w:val="00BC3F79"/>
    <w:rsid w:val="00BC41E7"/>
    <w:rsid w:val="00BC4C72"/>
    <w:rsid w:val="00BC4E4D"/>
    <w:rsid w:val="00BC5035"/>
    <w:rsid w:val="00BC5519"/>
    <w:rsid w:val="00BC6A9C"/>
    <w:rsid w:val="00BC7736"/>
    <w:rsid w:val="00BC7E2F"/>
    <w:rsid w:val="00BD0725"/>
    <w:rsid w:val="00BD183F"/>
    <w:rsid w:val="00BD1E84"/>
    <w:rsid w:val="00BD222D"/>
    <w:rsid w:val="00BD2772"/>
    <w:rsid w:val="00BD334A"/>
    <w:rsid w:val="00BD450F"/>
    <w:rsid w:val="00BD4F73"/>
    <w:rsid w:val="00BD7083"/>
    <w:rsid w:val="00BE1C12"/>
    <w:rsid w:val="00BE1E9F"/>
    <w:rsid w:val="00BE20FA"/>
    <w:rsid w:val="00BE374F"/>
    <w:rsid w:val="00BE5180"/>
    <w:rsid w:val="00BE5E07"/>
    <w:rsid w:val="00BE78DD"/>
    <w:rsid w:val="00BF0692"/>
    <w:rsid w:val="00BF1533"/>
    <w:rsid w:val="00BF1E5D"/>
    <w:rsid w:val="00BF29A2"/>
    <w:rsid w:val="00BF4610"/>
    <w:rsid w:val="00BF4BD1"/>
    <w:rsid w:val="00BF6239"/>
    <w:rsid w:val="00BF709B"/>
    <w:rsid w:val="00C01061"/>
    <w:rsid w:val="00C01C96"/>
    <w:rsid w:val="00C02575"/>
    <w:rsid w:val="00C025D1"/>
    <w:rsid w:val="00C0281F"/>
    <w:rsid w:val="00C03341"/>
    <w:rsid w:val="00C05C0F"/>
    <w:rsid w:val="00C06B99"/>
    <w:rsid w:val="00C07137"/>
    <w:rsid w:val="00C078F4"/>
    <w:rsid w:val="00C10559"/>
    <w:rsid w:val="00C11A20"/>
    <w:rsid w:val="00C12333"/>
    <w:rsid w:val="00C139A3"/>
    <w:rsid w:val="00C13D25"/>
    <w:rsid w:val="00C14518"/>
    <w:rsid w:val="00C14674"/>
    <w:rsid w:val="00C14BFA"/>
    <w:rsid w:val="00C157E4"/>
    <w:rsid w:val="00C15F03"/>
    <w:rsid w:val="00C177EF"/>
    <w:rsid w:val="00C220F5"/>
    <w:rsid w:val="00C24C56"/>
    <w:rsid w:val="00C25D05"/>
    <w:rsid w:val="00C26443"/>
    <w:rsid w:val="00C2712E"/>
    <w:rsid w:val="00C30205"/>
    <w:rsid w:val="00C305CB"/>
    <w:rsid w:val="00C31015"/>
    <w:rsid w:val="00C313AE"/>
    <w:rsid w:val="00C31598"/>
    <w:rsid w:val="00C318F0"/>
    <w:rsid w:val="00C32B07"/>
    <w:rsid w:val="00C32E6B"/>
    <w:rsid w:val="00C3499F"/>
    <w:rsid w:val="00C35166"/>
    <w:rsid w:val="00C3542A"/>
    <w:rsid w:val="00C367D4"/>
    <w:rsid w:val="00C3684D"/>
    <w:rsid w:val="00C37621"/>
    <w:rsid w:val="00C40412"/>
    <w:rsid w:val="00C413D1"/>
    <w:rsid w:val="00C41526"/>
    <w:rsid w:val="00C427E6"/>
    <w:rsid w:val="00C42E8E"/>
    <w:rsid w:val="00C44442"/>
    <w:rsid w:val="00C44BE1"/>
    <w:rsid w:val="00C45537"/>
    <w:rsid w:val="00C457C8"/>
    <w:rsid w:val="00C46192"/>
    <w:rsid w:val="00C464A6"/>
    <w:rsid w:val="00C46AEE"/>
    <w:rsid w:val="00C478E4"/>
    <w:rsid w:val="00C512EC"/>
    <w:rsid w:val="00C52EE8"/>
    <w:rsid w:val="00C5306C"/>
    <w:rsid w:val="00C54FFB"/>
    <w:rsid w:val="00C557C3"/>
    <w:rsid w:val="00C56AB2"/>
    <w:rsid w:val="00C56B6C"/>
    <w:rsid w:val="00C62994"/>
    <w:rsid w:val="00C638BD"/>
    <w:rsid w:val="00C640D4"/>
    <w:rsid w:val="00C649AE"/>
    <w:rsid w:val="00C64EAA"/>
    <w:rsid w:val="00C65306"/>
    <w:rsid w:val="00C65465"/>
    <w:rsid w:val="00C6756F"/>
    <w:rsid w:val="00C67612"/>
    <w:rsid w:val="00C67BC7"/>
    <w:rsid w:val="00C67F9B"/>
    <w:rsid w:val="00C70309"/>
    <w:rsid w:val="00C706E2"/>
    <w:rsid w:val="00C70DFA"/>
    <w:rsid w:val="00C72889"/>
    <w:rsid w:val="00C72EE5"/>
    <w:rsid w:val="00C75D47"/>
    <w:rsid w:val="00C75F2E"/>
    <w:rsid w:val="00C766DB"/>
    <w:rsid w:val="00C82808"/>
    <w:rsid w:val="00C82898"/>
    <w:rsid w:val="00C84E3F"/>
    <w:rsid w:val="00C85088"/>
    <w:rsid w:val="00C87F14"/>
    <w:rsid w:val="00C902A8"/>
    <w:rsid w:val="00C90CAD"/>
    <w:rsid w:val="00C90F7F"/>
    <w:rsid w:val="00C94FBB"/>
    <w:rsid w:val="00C978BF"/>
    <w:rsid w:val="00C97D45"/>
    <w:rsid w:val="00CA010B"/>
    <w:rsid w:val="00CA2993"/>
    <w:rsid w:val="00CA4510"/>
    <w:rsid w:val="00CA4BAF"/>
    <w:rsid w:val="00CA52BC"/>
    <w:rsid w:val="00CA65DD"/>
    <w:rsid w:val="00CA664D"/>
    <w:rsid w:val="00CA66C9"/>
    <w:rsid w:val="00CA7660"/>
    <w:rsid w:val="00CA771C"/>
    <w:rsid w:val="00CB17B4"/>
    <w:rsid w:val="00CB17CB"/>
    <w:rsid w:val="00CB292B"/>
    <w:rsid w:val="00CB2ACC"/>
    <w:rsid w:val="00CB3BE5"/>
    <w:rsid w:val="00CB4240"/>
    <w:rsid w:val="00CB4D60"/>
    <w:rsid w:val="00CB62BB"/>
    <w:rsid w:val="00CB65F2"/>
    <w:rsid w:val="00CB6AF0"/>
    <w:rsid w:val="00CB6C86"/>
    <w:rsid w:val="00CB6D58"/>
    <w:rsid w:val="00CB7427"/>
    <w:rsid w:val="00CB7A36"/>
    <w:rsid w:val="00CC0B43"/>
    <w:rsid w:val="00CC0BB6"/>
    <w:rsid w:val="00CC160C"/>
    <w:rsid w:val="00CC1C4C"/>
    <w:rsid w:val="00CC3493"/>
    <w:rsid w:val="00CC3AEF"/>
    <w:rsid w:val="00CC5877"/>
    <w:rsid w:val="00CC7172"/>
    <w:rsid w:val="00CC7196"/>
    <w:rsid w:val="00CC7F56"/>
    <w:rsid w:val="00CC7FE3"/>
    <w:rsid w:val="00CD22D0"/>
    <w:rsid w:val="00CD26B7"/>
    <w:rsid w:val="00CD3130"/>
    <w:rsid w:val="00CD4276"/>
    <w:rsid w:val="00CD4E00"/>
    <w:rsid w:val="00CD54D6"/>
    <w:rsid w:val="00CD5B25"/>
    <w:rsid w:val="00CD775F"/>
    <w:rsid w:val="00CD7CCF"/>
    <w:rsid w:val="00CE0483"/>
    <w:rsid w:val="00CE35F7"/>
    <w:rsid w:val="00CE5354"/>
    <w:rsid w:val="00CE6AB6"/>
    <w:rsid w:val="00CE7127"/>
    <w:rsid w:val="00CE7C3A"/>
    <w:rsid w:val="00CF05F0"/>
    <w:rsid w:val="00CF0A00"/>
    <w:rsid w:val="00CF0E35"/>
    <w:rsid w:val="00CF14E0"/>
    <w:rsid w:val="00CF1A10"/>
    <w:rsid w:val="00CF1C48"/>
    <w:rsid w:val="00CF384E"/>
    <w:rsid w:val="00CF3E5D"/>
    <w:rsid w:val="00CF44BA"/>
    <w:rsid w:val="00CF5EFC"/>
    <w:rsid w:val="00CF6416"/>
    <w:rsid w:val="00CF748E"/>
    <w:rsid w:val="00CF7564"/>
    <w:rsid w:val="00CF76CF"/>
    <w:rsid w:val="00D00B58"/>
    <w:rsid w:val="00D00C8C"/>
    <w:rsid w:val="00D0163D"/>
    <w:rsid w:val="00D025C6"/>
    <w:rsid w:val="00D027EA"/>
    <w:rsid w:val="00D031F1"/>
    <w:rsid w:val="00D03519"/>
    <w:rsid w:val="00D042B5"/>
    <w:rsid w:val="00D04429"/>
    <w:rsid w:val="00D04519"/>
    <w:rsid w:val="00D04617"/>
    <w:rsid w:val="00D05531"/>
    <w:rsid w:val="00D06D4F"/>
    <w:rsid w:val="00D06F7B"/>
    <w:rsid w:val="00D07398"/>
    <w:rsid w:val="00D07547"/>
    <w:rsid w:val="00D07870"/>
    <w:rsid w:val="00D11665"/>
    <w:rsid w:val="00D11892"/>
    <w:rsid w:val="00D11A7C"/>
    <w:rsid w:val="00D127FA"/>
    <w:rsid w:val="00D12C44"/>
    <w:rsid w:val="00D13E00"/>
    <w:rsid w:val="00D13FC7"/>
    <w:rsid w:val="00D15FA1"/>
    <w:rsid w:val="00D16843"/>
    <w:rsid w:val="00D17CC3"/>
    <w:rsid w:val="00D20432"/>
    <w:rsid w:val="00D217F7"/>
    <w:rsid w:val="00D21CF2"/>
    <w:rsid w:val="00D222DB"/>
    <w:rsid w:val="00D222E0"/>
    <w:rsid w:val="00D2231A"/>
    <w:rsid w:val="00D22648"/>
    <w:rsid w:val="00D227D6"/>
    <w:rsid w:val="00D22D15"/>
    <w:rsid w:val="00D238BD"/>
    <w:rsid w:val="00D3135B"/>
    <w:rsid w:val="00D32231"/>
    <w:rsid w:val="00D3280E"/>
    <w:rsid w:val="00D32E88"/>
    <w:rsid w:val="00D3389A"/>
    <w:rsid w:val="00D338AD"/>
    <w:rsid w:val="00D35A3B"/>
    <w:rsid w:val="00D362EC"/>
    <w:rsid w:val="00D37D0F"/>
    <w:rsid w:val="00D41E6F"/>
    <w:rsid w:val="00D4380D"/>
    <w:rsid w:val="00D452FD"/>
    <w:rsid w:val="00D457A0"/>
    <w:rsid w:val="00D45C93"/>
    <w:rsid w:val="00D46576"/>
    <w:rsid w:val="00D4682B"/>
    <w:rsid w:val="00D47CF8"/>
    <w:rsid w:val="00D50E8E"/>
    <w:rsid w:val="00D53F54"/>
    <w:rsid w:val="00D56741"/>
    <w:rsid w:val="00D568F3"/>
    <w:rsid w:val="00D56F3B"/>
    <w:rsid w:val="00D571F4"/>
    <w:rsid w:val="00D60AC2"/>
    <w:rsid w:val="00D60C13"/>
    <w:rsid w:val="00D60F1A"/>
    <w:rsid w:val="00D616D2"/>
    <w:rsid w:val="00D62321"/>
    <w:rsid w:val="00D62426"/>
    <w:rsid w:val="00D628C8"/>
    <w:rsid w:val="00D62E2B"/>
    <w:rsid w:val="00D637A1"/>
    <w:rsid w:val="00D64F36"/>
    <w:rsid w:val="00D66938"/>
    <w:rsid w:val="00D67B04"/>
    <w:rsid w:val="00D718F9"/>
    <w:rsid w:val="00D72CCD"/>
    <w:rsid w:val="00D72E28"/>
    <w:rsid w:val="00D736EE"/>
    <w:rsid w:val="00D73760"/>
    <w:rsid w:val="00D744BE"/>
    <w:rsid w:val="00D749EB"/>
    <w:rsid w:val="00D76E4E"/>
    <w:rsid w:val="00D77244"/>
    <w:rsid w:val="00D775B7"/>
    <w:rsid w:val="00D8029D"/>
    <w:rsid w:val="00D80A9B"/>
    <w:rsid w:val="00D841D0"/>
    <w:rsid w:val="00D8452C"/>
    <w:rsid w:val="00D84C10"/>
    <w:rsid w:val="00D85B34"/>
    <w:rsid w:val="00D86500"/>
    <w:rsid w:val="00D8675F"/>
    <w:rsid w:val="00D87FA0"/>
    <w:rsid w:val="00D917CE"/>
    <w:rsid w:val="00D91AB4"/>
    <w:rsid w:val="00D920EA"/>
    <w:rsid w:val="00D92254"/>
    <w:rsid w:val="00D938F9"/>
    <w:rsid w:val="00D941AD"/>
    <w:rsid w:val="00D946B5"/>
    <w:rsid w:val="00D961F9"/>
    <w:rsid w:val="00D970E1"/>
    <w:rsid w:val="00D97C65"/>
    <w:rsid w:val="00DA2710"/>
    <w:rsid w:val="00DA302E"/>
    <w:rsid w:val="00DA339C"/>
    <w:rsid w:val="00DA6A64"/>
    <w:rsid w:val="00DB00B0"/>
    <w:rsid w:val="00DB136B"/>
    <w:rsid w:val="00DB2CE8"/>
    <w:rsid w:val="00DB3627"/>
    <w:rsid w:val="00DB3DB1"/>
    <w:rsid w:val="00DB3DD0"/>
    <w:rsid w:val="00DB5DC8"/>
    <w:rsid w:val="00DB69B6"/>
    <w:rsid w:val="00DB6B4A"/>
    <w:rsid w:val="00DB6C07"/>
    <w:rsid w:val="00DB7DD2"/>
    <w:rsid w:val="00DC0370"/>
    <w:rsid w:val="00DC056B"/>
    <w:rsid w:val="00DC0AE4"/>
    <w:rsid w:val="00DC0FBB"/>
    <w:rsid w:val="00DC12AA"/>
    <w:rsid w:val="00DC19A7"/>
    <w:rsid w:val="00DC212A"/>
    <w:rsid w:val="00DC400B"/>
    <w:rsid w:val="00DC48E0"/>
    <w:rsid w:val="00DC5464"/>
    <w:rsid w:val="00DC7FB6"/>
    <w:rsid w:val="00DD04F0"/>
    <w:rsid w:val="00DD071D"/>
    <w:rsid w:val="00DD0E88"/>
    <w:rsid w:val="00DD1489"/>
    <w:rsid w:val="00DD1B10"/>
    <w:rsid w:val="00DD1D7E"/>
    <w:rsid w:val="00DD1EDB"/>
    <w:rsid w:val="00DD254D"/>
    <w:rsid w:val="00DD4C5E"/>
    <w:rsid w:val="00DD4E02"/>
    <w:rsid w:val="00DD71D7"/>
    <w:rsid w:val="00DE155F"/>
    <w:rsid w:val="00DE1C5B"/>
    <w:rsid w:val="00DE332B"/>
    <w:rsid w:val="00DE3D44"/>
    <w:rsid w:val="00DE466A"/>
    <w:rsid w:val="00DE6738"/>
    <w:rsid w:val="00DE76A8"/>
    <w:rsid w:val="00DE77EF"/>
    <w:rsid w:val="00DE792F"/>
    <w:rsid w:val="00DF01F8"/>
    <w:rsid w:val="00DF0DC9"/>
    <w:rsid w:val="00DF32FE"/>
    <w:rsid w:val="00DF33CA"/>
    <w:rsid w:val="00DF4910"/>
    <w:rsid w:val="00DF65B3"/>
    <w:rsid w:val="00E0070C"/>
    <w:rsid w:val="00E00AEB"/>
    <w:rsid w:val="00E01311"/>
    <w:rsid w:val="00E01460"/>
    <w:rsid w:val="00E01AAA"/>
    <w:rsid w:val="00E023EE"/>
    <w:rsid w:val="00E04055"/>
    <w:rsid w:val="00E04080"/>
    <w:rsid w:val="00E07230"/>
    <w:rsid w:val="00E12420"/>
    <w:rsid w:val="00E124B4"/>
    <w:rsid w:val="00E12BF7"/>
    <w:rsid w:val="00E12EE2"/>
    <w:rsid w:val="00E144D1"/>
    <w:rsid w:val="00E1494F"/>
    <w:rsid w:val="00E15243"/>
    <w:rsid w:val="00E157DF"/>
    <w:rsid w:val="00E15A3B"/>
    <w:rsid w:val="00E166BC"/>
    <w:rsid w:val="00E170F2"/>
    <w:rsid w:val="00E22A8D"/>
    <w:rsid w:val="00E2574B"/>
    <w:rsid w:val="00E265CA"/>
    <w:rsid w:val="00E27EAE"/>
    <w:rsid w:val="00E313A7"/>
    <w:rsid w:val="00E32273"/>
    <w:rsid w:val="00E3360D"/>
    <w:rsid w:val="00E33D4E"/>
    <w:rsid w:val="00E34747"/>
    <w:rsid w:val="00E34D22"/>
    <w:rsid w:val="00E3543D"/>
    <w:rsid w:val="00E35D2F"/>
    <w:rsid w:val="00E36978"/>
    <w:rsid w:val="00E36E6B"/>
    <w:rsid w:val="00E40509"/>
    <w:rsid w:val="00E42A40"/>
    <w:rsid w:val="00E430B4"/>
    <w:rsid w:val="00E43C7B"/>
    <w:rsid w:val="00E44156"/>
    <w:rsid w:val="00E4469B"/>
    <w:rsid w:val="00E455D8"/>
    <w:rsid w:val="00E4589F"/>
    <w:rsid w:val="00E45C98"/>
    <w:rsid w:val="00E4660D"/>
    <w:rsid w:val="00E46A5A"/>
    <w:rsid w:val="00E46C45"/>
    <w:rsid w:val="00E47BA1"/>
    <w:rsid w:val="00E504BF"/>
    <w:rsid w:val="00E51151"/>
    <w:rsid w:val="00E51AAF"/>
    <w:rsid w:val="00E528FB"/>
    <w:rsid w:val="00E529C0"/>
    <w:rsid w:val="00E52D9A"/>
    <w:rsid w:val="00E53213"/>
    <w:rsid w:val="00E53C58"/>
    <w:rsid w:val="00E55EF7"/>
    <w:rsid w:val="00E56539"/>
    <w:rsid w:val="00E60069"/>
    <w:rsid w:val="00E6034E"/>
    <w:rsid w:val="00E60A30"/>
    <w:rsid w:val="00E610EA"/>
    <w:rsid w:val="00E61CCA"/>
    <w:rsid w:val="00E61CF2"/>
    <w:rsid w:val="00E62DD4"/>
    <w:rsid w:val="00E66345"/>
    <w:rsid w:val="00E66CC7"/>
    <w:rsid w:val="00E676EA"/>
    <w:rsid w:val="00E70042"/>
    <w:rsid w:val="00E703F4"/>
    <w:rsid w:val="00E7051F"/>
    <w:rsid w:val="00E70DFA"/>
    <w:rsid w:val="00E71B9C"/>
    <w:rsid w:val="00E74EF8"/>
    <w:rsid w:val="00E7612E"/>
    <w:rsid w:val="00E76B04"/>
    <w:rsid w:val="00E77BD1"/>
    <w:rsid w:val="00E804A2"/>
    <w:rsid w:val="00E809E4"/>
    <w:rsid w:val="00E80F92"/>
    <w:rsid w:val="00E81392"/>
    <w:rsid w:val="00E81C10"/>
    <w:rsid w:val="00E82352"/>
    <w:rsid w:val="00E8248C"/>
    <w:rsid w:val="00E82A0C"/>
    <w:rsid w:val="00E8345A"/>
    <w:rsid w:val="00E838FC"/>
    <w:rsid w:val="00E84224"/>
    <w:rsid w:val="00E846EA"/>
    <w:rsid w:val="00E85EF9"/>
    <w:rsid w:val="00E8630A"/>
    <w:rsid w:val="00E86872"/>
    <w:rsid w:val="00E873E2"/>
    <w:rsid w:val="00E90862"/>
    <w:rsid w:val="00E90947"/>
    <w:rsid w:val="00E93664"/>
    <w:rsid w:val="00E943CC"/>
    <w:rsid w:val="00E94D0D"/>
    <w:rsid w:val="00E94F24"/>
    <w:rsid w:val="00E9563A"/>
    <w:rsid w:val="00E96621"/>
    <w:rsid w:val="00E96B12"/>
    <w:rsid w:val="00EA14CF"/>
    <w:rsid w:val="00EA24CD"/>
    <w:rsid w:val="00EA2E82"/>
    <w:rsid w:val="00EA3DC4"/>
    <w:rsid w:val="00EA412E"/>
    <w:rsid w:val="00EA46DF"/>
    <w:rsid w:val="00EA5190"/>
    <w:rsid w:val="00EA5268"/>
    <w:rsid w:val="00EA5F5C"/>
    <w:rsid w:val="00EB11D6"/>
    <w:rsid w:val="00EB30CC"/>
    <w:rsid w:val="00EB3DAE"/>
    <w:rsid w:val="00EB7BBF"/>
    <w:rsid w:val="00EC05FB"/>
    <w:rsid w:val="00EC0AAD"/>
    <w:rsid w:val="00EC1F87"/>
    <w:rsid w:val="00EC31D8"/>
    <w:rsid w:val="00EC39D2"/>
    <w:rsid w:val="00EC4A90"/>
    <w:rsid w:val="00EC558E"/>
    <w:rsid w:val="00EC60D8"/>
    <w:rsid w:val="00EC716E"/>
    <w:rsid w:val="00ED15F3"/>
    <w:rsid w:val="00ED7C62"/>
    <w:rsid w:val="00EE0B3F"/>
    <w:rsid w:val="00EE0BD2"/>
    <w:rsid w:val="00EE1A5B"/>
    <w:rsid w:val="00EE24E0"/>
    <w:rsid w:val="00EE3452"/>
    <w:rsid w:val="00EE5000"/>
    <w:rsid w:val="00EE5DA6"/>
    <w:rsid w:val="00EE696E"/>
    <w:rsid w:val="00EE6C37"/>
    <w:rsid w:val="00EE798C"/>
    <w:rsid w:val="00EE7F6C"/>
    <w:rsid w:val="00EF022E"/>
    <w:rsid w:val="00EF0AF1"/>
    <w:rsid w:val="00EF199D"/>
    <w:rsid w:val="00EF300E"/>
    <w:rsid w:val="00EF377F"/>
    <w:rsid w:val="00EF486B"/>
    <w:rsid w:val="00EF4A79"/>
    <w:rsid w:val="00EF660C"/>
    <w:rsid w:val="00EF7411"/>
    <w:rsid w:val="00F02509"/>
    <w:rsid w:val="00F05F72"/>
    <w:rsid w:val="00F06372"/>
    <w:rsid w:val="00F07208"/>
    <w:rsid w:val="00F07869"/>
    <w:rsid w:val="00F108B8"/>
    <w:rsid w:val="00F114A0"/>
    <w:rsid w:val="00F122F9"/>
    <w:rsid w:val="00F1475C"/>
    <w:rsid w:val="00F15193"/>
    <w:rsid w:val="00F15D51"/>
    <w:rsid w:val="00F1699D"/>
    <w:rsid w:val="00F16A3A"/>
    <w:rsid w:val="00F218D5"/>
    <w:rsid w:val="00F22094"/>
    <w:rsid w:val="00F22297"/>
    <w:rsid w:val="00F2268E"/>
    <w:rsid w:val="00F2277D"/>
    <w:rsid w:val="00F2300A"/>
    <w:rsid w:val="00F23E57"/>
    <w:rsid w:val="00F24D73"/>
    <w:rsid w:val="00F31222"/>
    <w:rsid w:val="00F31760"/>
    <w:rsid w:val="00F3268F"/>
    <w:rsid w:val="00F32D58"/>
    <w:rsid w:val="00F34CFC"/>
    <w:rsid w:val="00F361EE"/>
    <w:rsid w:val="00F36641"/>
    <w:rsid w:val="00F3664A"/>
    <w:rsid w:val="00F368D5"/>
    <w:rsid w:val="00F37133"/>
    <w:rsid w:val="00F37189"/>
    <w:rsid w:val="00F41478"/>
    <w:rsid w:val="00F439B3"/>
    <w:rsid w:val="00F44697"/>
    <w:rsid w:val="00F456EC"/>
    <w:rsid w:val="00F50BE5"/>
    <w:rsid w:val="00F50EA1"/>
    <w:rsid w:val="00F53C0F"/>
    <w:rsid w:val="00F53F31"/>
    <w:rsid w:val="00F5404C"/>
    <w:rsid w:val="00F555F2"/>
    <w:rsid w:val="00F5605E"/>
    <w:rsid w:val="00F56322"/>
    <w:rsid w:val="00F56378"/>
    <w:rsid w:val="00F56446"/>
    <w:rsid w:val="00F56B7C"/>
    <w:rsid w:val="00F600C6"/>
    <w:rsid w:val="00F61686"/>
    <w:rsid w:val="00F624F9"/>
    <w:rsid w:val="00F633D7"/>
    <w:rsid w:val="00F63846"/>
    <w:rsid w:val="00F65BF5"/>
    <w:rsid w:val="00F65E25"/>
    <w:rsid w:val="00F66655"/>
    <w:rsid w:val="00F673FA"/>
    <w:rsid w:val="00F675B5"/>
    <w:rsid w:val="00F67EB0"/>
    <w:rsid w:val="00F7049A"/>
    <w:rsid w:val="00F72100"/>
    <w:rsid w:val="00F72171"/>
    <w:rsid w:val="00F728DD"/>
    <w:rsid w:val="00F728EB"/>
    <w:rsid w:val="00F729C7"/>
    <w:rsid w:val="00F72A5D"/>
    <w:rsid w:val="00F72AF9"/>
    <w:rsid w:val="00F747B2"/>
    <w:rsid w:val="00F74FB4"/>
    <w:rsid w:val="00F750CF"/>
    <w:rsid w:val="00F75947"/>
    <w:rsid w:val="00F8078C"/>
    <w:rsid w:val="00F809B9"/>
    <w:rsid w:val="00F80B4D"/>
    <w:rsid w:val="00F819BD"/>
    <w:rsid w:val="00F81EF9"/>
    <w:rsid w:val="00F82183"/>
    <w:rsid w:val="00F82F92"/>
    <w:rsid w:val="00F83F3D"/>
    <w:rsid w:val="00F83F78"/>
    <w:rsid w:val="00F84245"/>
    <w:rsid w:val="00F84514"/>
    <w:rsid w:val="00F861A0"/>
    <w:rsid w:val="00F86C93"/>
    <w:rsid w:val="00F91937"/>
    <w:rsid w:val="00F91E81"/>
    <w:rsid w:val="00F93C71"/>
    <w:rsid w:val="00F94387"/>
    <w:rsid w:val="00F94EAB"/>
    <w:rsid w:val="00F9566B"/>
    <w:rsid w:val="00F95AF0"/>
    <w:rsid w:val="00FA19C1"/>
    <w:rsid w:val="00FA3BE6"/>
    <w:rsid w:val="00FA45A9"/>
    <w:rsid w:val="00FA5056"/>
    <w:rsid w:val="00FA5C37"/>
    <w:rsid w:val="00FA61F1"/>
    <w:rsid w:val="00FA622E"/>
    <w:rsid w:val="00FA6672"/>
    <w:rsid w:val="00FA6D9B"/>
    <w:rsid w:val="00FA75EB"/>
    <w:rsid w:val="00FA7E37"/>
    <w:rsid w:val="00FB1226"/>
    <w:rsid w:val="00FB16D2"/>
    <w:rsid w:val="00FB1854"/>
    <w:rsid w:val="00FB20B9"/>
    <w:rsid w:val="00FB2B7C"/>
    <w:rsid w:val="00FB3F89"/>
    <w:rsid w:val="00FB40CF"/>
    <w:rsid w:val="00FB4235"/>
    <w:rsid w:val="00FB459F"/>
    <w:rsid w:val="00FC0FD6"/>
    <w:rsid w:val="00FC1281"/>
    <w:rsid w:val="00FC159F"/>
    <w:rsid w:val="00FC25BE"/>
    <w:rsid w:val="00FC2A7B"/>
    <w:rsid w:val="00FC3646"/>
    <w:rsid w:val="00FC39EC"/>
    <w:rsid w:val="00FC4EC9"/>
    <w:rsid w:val="00FC5E0F"/>
    <w:rsid w:val="00FC61A6"/>
    <w:rsid w:val="00FC7160"/>
    <w:rsid w:val="00FD02A6"/>
    <w:rsid w:val="00FD0454"/>
    <w:rsid w:val="00FD0F72"/>
    <w:rsid w:val="00FD1503"/>
    <w:rsid w:val="00FD17DC"/>
    <w:rsid w:val="00FD24C8"/>
    <w:rsid w:val="00FD3574"/>
    <w:rsid w:val="00FD3C93"/>
    <w:rsid w:val="00FD3DA3"/>
    <w:rsid w:val="00FD455C"/>
    <w:rsid w:val="00FD6978"/>
    <w:rsid w:val="00FD7C42"/>
    <w:rsid w:val="00FE08BF"/>
    <w:rsid w:val="00FE13B9"/>
    <w:rsid w:val="00FE1C6B"/>
    <w:rsid w:val="00FE1F15"/>
    <w:rsid w:val="00FE228F"/>
    <w:rsid w:val="00FE2692"/>
    <w:rsid w:val="00FE2A51"/>
    <w:rsid w:val="00FE2FD7"/>
    <w:rsid w:val="00FE3ED2"/>
    <w:rsid w:val="00FE44E8"/>
    <w:rsid w:val="00FE4F1D"/>
    <w:rsid w:val="00FE5805"/>
    <w:rsid w:val="00FE594D"/>
    <w:rsid w:val="00FE6215"/>
    <w:rsid w:val="00FE6C1D"/>
    <w:rsid w:val="00FF0906"/>
    <w:rsid w:val="00FF0AD8"/>
    <w:rsid w:val="00FF0CEF"/>
    <w:rsid w:val="00FF1CA4"/>
    <w:rsid w:val="00FF20EA"/>
    <w:rsid w:val="00FF23AB"/>
    <w:rsid w:val="00FF3A7F"/>
    <w:rsid w:val="00FF3B0C"/>
    <w:rsid w:val="00FF4E51"/>
    <w:rsid w:val="00FF51ED"/>
    <w:rsid w:val="00FF5EC4"/>
    <w:rsid w:val="00FF67E9"/>
    <w:rsid w:val="00FF6993"/>
    <w:rsid w:val="00FF709F"/>
    <w:rsid w:val="00FF752A"/>
    <w:rsid w:val="00FF765D"/>
    <w:rsid w:val="00FF7A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935263"/>
  <w15:chartTrackingRefBased/>
  <w15:docId w15:val="{A3F8C89E-8652-46BA-84B3-BE6A77C82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53772"/>
    <w:pPr>
      <w:overflowPunct w:val="0"/>
      <w:autoSpaceDE w:val="0"/>
      <w:autoSpaceDN w:val="0"/>
      <w:adjustRightInd w:val="0"/>
      <w:textAlignment w:val="baseline"/>
    </w:pPr>
    <w:rPr>
      <w:sz w:val="24"/>
      <w:lang w:eastAsia="es-ES"/>
    </w:rPr>
  </w:style>
  <w:style w:type="paragraph" w:styleId="Ttulo1">
    <w:name w:val="heading 1"/>
    <w:basedOn w:val="Normal"/>
    <w:next w:val="Normal"/>
    <w:link w:val="Ttulo1Car"/>
    <w:qFormat/>
    <w:rsid w:val="00B41308"/>
    <w:pPr>
      <w:keepNext/>
      <w:spacing w:before="240" w:after="60"/>
      <w:outlineLvl w:val="0"/>
    </w:pPr>
    <w:rPr>
      <w:rFonts w:ascii="Calibri Light" w:hAnsi="Calibri Light"/>
      <w:b/>
      <w:bCs/>
      <w:kern w:val="32"/>
      <w:sz w:val="32"/>
      <w:szCs w:val="32"/>
    </w:rPr>
  </w:style>
  <w:style w:type="paragraph" w:styleId="Ttulo2">
    <w:name w:val="heading 2"/>
    <w:basedOn w:val="Normal"/>
    <w:next w:val="Normal"/>
    <w:qFormat/>
    <w:rsid w:val="00A53772"/>
    <w:pPr>
      <w:keepNext/>
      <w:outlineLvl w:val="1"/>
    </w:pPr>
    <w:rPr>
      <w:rFonts w:ascii="Arial" w:hAnsi="Arial"/>
      <w:b/>
      <w:sz w:val="22"/>
    </w:rPr>
  </w:style>
  <w:style w:type="paragraph" w:styleId="Ttulo3">
    <w:name w:val="heading 3"/>
    <w:basedOn w:val="Normal"/>
    <w:next w:val="Normal"/>
    <w:qFormat/>
    <w:rsid w:val="00A53772"/>
    <w:pPr>
      <w:keepNext/>
      <w:outlineLvl w:val="2"/>
    </w:pPr>
    <w:rPr>
      <w:rFonts w:ascii="Arial" w:hAnsi="Arial"/>
      <w:b/>
    </w:rPr>
  </w:style>
  <w:style w:type="paragraph" w:styleId="Ttulo9">
    <w:name w:val="heading 9"/>
    <w:basedOn w:val="Normal"/>
    <w:next w:val="Normal"/>
    <w:qFormat/>
    <w:rsid w:val="00A53772"/>
    <w:pPr>
      <w:keepNext/>
      <w:jc w:val="center"/>
      <w:outlineLvl w:val="8"/>
    </w:pPr>
    <w:rPr>
      <w:rFonts w:ascii="Arial" w:hAnsi="Arial"/>
      <w:b/>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eader Bold,h,TENDER,*Header,*Header1,*Header2,*Header3,Encabezado1"/>
    <w:basedOn w:val="Normal"/>
    <w:link w:val="EncabezadoCar"/>
    <w:rsid w:val="00A53772"/>
    <w:pPr>
      <w:tabs>
        <w:tab w:val="center" w:pos="4419"/>
        <w:tab w:val="right" w:pos="8838"/>
      </w:tabs>
    </w:pPr>
  </w:style>
  <w:style w:type="paragraph" w:styleId="Piedepgina">
    <w:name w:val="footer"/>
    <w:basedOn w:val="Normal"/>
    <w:link w:val="PiedepginaCar"/>
    <w:uiPriority w:val="99"/>
    <w:rsid w:val="00A53772"/>
    <w:pPr>
      <w:tabs>
        <w:tab w:val="center" w:pos="4419"/>
        <w:tab w:val="right" w:pos="8838"/>
      </w:tabs>
    </w:pPr>
  </w:style>
  <w:style w:type="character" w:styleId="Nmerodepgina">
    <w:name w:val="page number"/>
    <w:basedOn w:val="Fuentedeprrafopredeter"/>
    <w:rsid w:val="00A53772"/>
  </w:style>
  <w:style w:type="paragraph" w:styleId="Ttulo">
    <w:name w:val="Title"/>
    <w:basedOn w:val="Normal"/>
    <w:qFormat/>
    <w:rsid w:val="00A53772"/>
    <w:pPr>
      <w:jc w:val="center"/>
    </w:pPr>
    <w:rPr>
      <w:b/>
    </w:rPr>
  </w:style>
  <w:style w:type="paragraph" w:customStyle="1" w:styleId="ecxmsolistparagraph">
    <w:name w:val="ecxmsolistparagraph"/>
    <w:basedOn w:val="Normal"/>
    <w:rsid w:val="00A53772"/>
    <w:pPr>
      <w:overflowPunct/>
      <w:autoSpaceDE/>
      <w:autoSpaceDN/>
      <w:adjustRightInd/>
      <w:spacing w:after="324"/>
      <w:textAlignment w:val="auto"/>
    </w:pPr>
    <w:rPr>
      <w:szCs w:val="24"/>
    </w:rPr>
  </w:style>
  <w:style w:type="paragraph" w:customStyle="1" w:styleId="Listamedia2-nfasis41">
    <w:name w:val="Lista media 2 - Énfasis 41"/>
    <w:basedOn w:val="Normal"/>
    <w:link w:val="Listamedia2-nfasis4Car"/>
    <w:uiPriority w:val="34"/>
    <w:qFormat/>
    <w:rsid w:val="007B2C38"/>
    <w:pPr>
      <w:ind w:left="708"/>
    </w:pPr>
  </w:style>
  <w:style w:type="character" w:styleId="Hipervnculo">
    <w:name w:val="Hyperlink"/>
    <w:uiPriority w:val="99"/>
    <w:unhideWhenUsed/>
    <w:rsid w:val="00225D3B"/>
    <w:rPr>
      <w:color w:val="0000FF"/>
      <w:u w:val="single"/>
    </w:rPr>
  </w:style>
  <w:style w:type="table" w:styleId="Tablaconcuadrcula">
    <w:name w:val="Table Grid"/>
    <w:basedOn w:val="Tablanormal"/>
    <w:rsid w:val="00225D3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UERPOTEXTO">
    <w:name w:val="CUERPO_TEXTO"/>
    <w:basedOn w:val="Listamedia2-nfasis41"/>
    <w:link w:val="CUERPOTEXTOCar"/>
    <w:qFormat/>
    <w:rsid w:val="00B92C4A"/>
    <w:pPr>
      <w:overflowPunct/>
      <w:ind w:left="0"/>
      <w:contextualSpacing/>
      <w:jc w:val="both"/>
      <w:textAlignment w:val="auto"/>
    </w:pPr>
    <w:rPr>
      <w:rFonts w:ascii="Trebuchet MS" w:eastAsia="Calibri" w:hAnsi="Trebuchet MS"/>
      <w:color w:val="404040"/>
      <w:sz w:val="22"/>
      <w:szCs w:val="22"/>
      <w:lang w:eastAsia="en-US"/>
    </w:rPr>
  </w:style>
  <w:style w:type="character" w:customStyle="1" w:styleId="CUERPOTEXTOCar">
    <w:name w:val="CUERPO_TEXTO Car"/>
    <w:link w:val="CUERPOTEXTO"/>
    <w:locked/>
    <w:rsid w:val="00B92C4A"/>
    <w:rPr>
      <w:rFonts w:ascii="Trebuchet MS" w:eastAsia="Calibri" w:hAnsi="Trebuchet MS"/>
      <w:color w:val="404040"/>
      <w:sz w:val="22"/>
      <w:szCs w:val="22"/>
      <w:lang w:val="es-ES" w:eastAsia="en-US"/>
    </w:rPr>
  </w:style>
  <w:style w:type="paragraph" w:customStyle="1" w:styleId="Listavistosa-nfasis21">
    <w:name w:val="Lista vistosa - Énfasis 21"/>
    <w:uiPriority w:val="1"/>
    <w:qFormat/>
    <w:rsid w:val="00210A8F"/>
    <w:rPr>
      <w:rFonts w:ascii="Calibri" w:eastAsia="Calibri" w:hAnsi="Calibri"/>
      <w:sz w:val="22"/>
      <w:szCs w:val="22"/>
      <w:lang w:eastAsia="en-US"/>
    </w:rPr>
  </w:style>
  <w:style w:type="paragraph" w:customStyle="1" w:styleId="Default">
    <w:name w:val="Default"/>
    <w:rsid w:val="001B139A"/>
    <w:pPr>
      <w:autoSpaceDE w:val="0"/>
      <w:autoSpaceDN w:val="0"/>
      <w:adjustRightInd w:val="0"/>
    </w:pPr>
    <w:rPr>
      <w:rFonts w:ascii="Segoe UI" w:hAnsi="Segoe UI" w:cs="Segoe UI"/>
      <w:color w:val="000000"/>
      <w:sz w:val="24"/>
      <w:szCs w:val="24"/>
    </w:rPr>
  </w:style>
  <w:style w:type="character" w:customStyle="1" w:styleId="Listamedia2-nfasis4Car">
    <w:name w:val="Lista media 2 - Énfasis 4 Car"/>
    <w:link w:val="Listamedia2-nfasis41"/>
    <w:uiPriority w:val="34"/>
    <w:rsid w:val="000903EF"/>
    <w:rPr>
      <w:sz w:val="24"/>
      <w:lang w:val="es-ES" w:eastAsia="es-ES"/>
    </w:rPr>
  </w:style>
  <w:style w:type="paragraph" w:styleId="Textodeglobo">
    <w:name w:val="Balloon Text"/>
    <w:basedOn w:val="Normal"/>
    <w:link w:val="TextodegloboCar"/>
    <w:rsid w:val="0082361B"/>
    <w:rPr>
      <w:rFonts w:ascii="Segoe UI" w:hAnsi="Segoe UI" w:cs="Segoe UI"/>
      <w:sz w:val="18"/>
      <w:szCs w:val="18"/>
    </w:rPr>
  </w:style>
  <w:style w:type="character" w:customStyle="1" w:styleId="TextodegloboCar">
    <w:name w:val="Texto de globo Car"/>
    <w:link w:val="Textodeglobo"/>
    <w:rsid w:val="0082361B"/>
    <w:rPr>
      <w:rFonts w:ascii="Segoe UI" w:hAnsi="Segoe UI" w:cs="Segoe UI"/>
      <w:sz w:val="18"/>
      <w:szCs w:val="18"/>
      <w:lang w:val="es-ES" w:eastAsia="es-ES"/>
    </w:rPr>
  </w:style>
  <w:style w:type="character" w:styleId="Refdecomentario">
    <w:name w:val="annotation reference"/>
    <w:rsid w:val="00F06372"/>
    <w:rPr>
      <w:sz w:val="16"/>
      <w:szCs w:val="16"/>
    </w:rPr>
  </w:style>
  <w:style w:type="paragraph" w:styleId="Textocomentario">
    <w:name w:val="annotation text"/>
    <w:basedOn w:val="Normal"/>
    <w:link w:val="TextocomentarioCar"/>
    <w:rsid w:val="00F06372"/>
    <w:rPr>
      <w:sz w:val="20"/>
    </w:rPr>
  </w:style>
  <w:style w:type="character" w:customStyle="1" w:styleId="TextocomentarioCar">
    <w:name w:val="Texto comentario Car"/>
    <w:link w:val="Textocomentario"/>
    <w:rsid w:val="00F06372"/>
    <w:rPr>
      <w:lang w:val="es-ES" w:eastAsia="es-ES"/>
    </w:rPr>
  </w:style>
  <w:style w:type="paragraph" w:styleId="Asuntodelcomentario">
    <w:name w:val="annotation subject"/>
    <w:basedOn w:val="Textocomentario"/>
    <w:next w:val="Textocomentario"/>
    <w:link w:val="AsuntodelcomentarioCar"/>
    <w:rsid w:val="00F06372"/>
    <w:rPr>
      <w:b/>
      <w:bCs/>
    </w:rPr>
  </w:style>
  <w:style w:type="character" w:customStyle="1" w:styleId="AsuntodelcomentarioCar">
    <w:name w:val="Asunto del comentario Car"/>
    <w:link w:val="Asuntodelcomentario"/>
    <w:rsid w:val="00F06372"/>
    <w:rPr>
      <w:b/>
      <w:bCs/>
      <w:lang w:val="es-ES" w:eastAsia="es-ES"/>
    </w:rPr>
  </w:style>
  <w:style w:type="character" w:customStyle="1" w:styleId="apple-converted-space">
    <w:name w:val="apple-converted-space"/>
    <w:rsid w:val="00003B49"/>
  </w:style>
  <w:style w:type="paragraph" w:styleId="Prrafodelista">
    <w:name w:val="List Paragraph"/>
    <w:aliases w:val="lp1,Bullet List,FooterText,Use Case List Paragraph,parrafo,Colorful List - Accent 11,titulo 3,List Paragraph,Bullets,Título de Diagrama,Bolita,Párrafo de lista3,Párrafo de lista21,List1,numbered,List Paragraph1,Paragraphe de liste1,Ha"/>
    <w:basedOn w:val="Normal"/>
    <w:link w:val="PrrafodelistaCar"/>
    <w:uiPriority w:val="34"/>
    <w:qFormat/>
    <w:rsid w:val="00015A2A"/>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Descripcin">
    <w:name w:val="caption"/>
    <w:basedOn w:val="Normal"/>
    <w:next w:val="Normal"/>
    <w:uiPriority w:val="35"/>
    <w:unhideWhenUsed/>
    <w:qFormat/>
    <w:rsid w:val="000E4C9E"/>
    <w:pPr>
      <w:overflowPunct/>
      <w:autoSpaceDE/>
      <w:autoSpaceDN/>
      <w:adjustRightInd/>
      <w:textAlignment w:val="auto"/>
    </w:pPr>
    <w:rPr>
      <w:b/>
      <w:bCs/>
      <w:sz w:val="20"/>
    </w:rPr>
  </w:style>
  <w:style w:type="character" w:customStyle="1" w:styleId="Ttulo1Car">
    <w:name w:val="Título 1 Car"/>
    <w:link w:val="Ttulo1"/>
    <w:rsid w:val="00B41308"/>
    <w:rPr>
      <w:rFonts w:ascii="Calibri Light" w:eastAsia="Times New Roman" w:hAnsi="Calibri Light" w:cs="Times New Roman"/>
      <w:b/>
      <w:bCs/>
      <w:kern w:val="32"/>
      <w:sz w:val="32"/>
      <w:szCs w:val="32"/>
      <w:lang w:val="es-ES" w:eastAsia="es-ES"/>
    </w:rPr>
  </w:style>
  <w:style w:type="table" w:customStyle="1" w:styleId="TableNormal1">
    <w:name w:val="Table Normal1"/>
    <w:uiPriority w:val="2"/>
    <w:semiHidden/>
    <w:unhideWhenUsed/>
    <w:qFormat/>
    <w:rsid w:val="002D72EE"/>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D72EE"/>
    <w:pPr>
      <w:widowControl w:val="0"/>
      <w:overflowPunct/>
      <w:adjustRightInd/>
      <w:textAlignment w:val="auto"/>
    </w:pPr>
    <w:rPr>
      <w:rFonts w:ascii="Arial MT" w:eastAsia="Arial MT" w:hAnsi="Arial MT" w:cs="Arial MT"/>
      <w:sz w:val="22"/>
      <w:szCs w:val="22"/>
      <w:lang w:eastAsia="en-US"/>
    </w:rPr>
  </w:style>
  <w:style w:type="character" w:customStyle="1" w:styleId="PiedepginaCar">
    <w:name w:val="Pie de página Car"/>
    <w:link w:val="Piedepgina"/>
    <w:uiPriority w:val="99"/>
    <w:rsid w:val="00487D9E"/>
    <w:rPr>
      <w:sz w:val="24"/>
      <w:lang w:val="es-ES" w:eastAsia="es-ES"/>
    </w:rPr>
  </w:style>
  <w:style w:type="character" w:customStyle="1" w:styleId="EncabezadoCar">
    <w:name w:val="Encabezado Car"/>
    <w:aliases w:val="Header Bold Car,h Car,TENDER Car,*Header Car,*Header1 Car,*Header2 Car,*Header3 Car,Encabezado1 Car"/>
    <w:link w:val="Encabezado"/>
    <w:rsid w:val="00D946B5"/>
    <w:rPr>
      <w:sz w:val="24"/>
      <w:lang w:val="es-ES" w:eastAsia="es-ES"/>
    </w:rPr>
  </w:style>
  <w:style w:type="character" w:customStyle="1" w:styleId="Mencinsinresolver1">
    <w:name w:val="Mención sin resolver1"/>
    <w:uiPriority w:val="99"/>
    <w:semiHidden/>
    <w:unhideWhenUsed/>
    <w:rsid w:val="00CF384E"/>
    <w:rPr>
      <w:color w:val="605E5C"/>
      <w:shd w:val="clear" w:color="auto" w:fill="E1DFDD"/>
    </w:rPr>
  </w:style>
  <w:style w:type="paragraph" w:styleId="Textonotapie">
    <w:name w:val="footnote text"/>
    <w:aliases w:val="Footnote Text Char,Footnote Text Char Char Char Char,Footnote Text Char Char Char Char Char Char Char Char,Footnote Text Char Char Char Char Char Char1,Footnote Text Char Char Char Char Char Char Char1,Footnote Text Char Char Char,FA Fu,f"/>
    <w:basedOn w:val="Normal"/>
    <w:link w:val="TextonotapieCar"/>
    <w:uiPriority w:val="99"/>
    <w:unhideWhenUsed/>
    <w:rsid w:val="003A6DD3"/>
    <w:pPr>
      <w:overflowPunct/>
      <w:autoSpaceDE/>
      <w:autoSpaceDN/>
      <w:adjustRightInd/>
      <w:textAlignment w:val="auto"/>
    </w:pPr>
    <w:rPr>
      <w:rFonts w:ascii="Calibri" w:eastAsia="Calibri" w:hAnsi="Calibri"/>
      <w:sz w:val="20"/>
      <w:lang w:val="x-none" w:eastAsia="en-US"/>
    </w:rPr>
  </w:style>
  <w:style w:type="character" w:customStyle="1" w:styleId="TextonotapieCar">
    <w:name w:val="Texto nota pie Car"/>
    <w:aliases w:val="Footnote Text Char Car,Footnote Text Char Char Char Char Car,Footnote Text Char Char Char Char Char Char Char Char Car,Footnote Text Char Char Char Char Char Char1 Car,Footnote Text Char Char Char Char Char Char Char1 Car,FA Fu Car"/>
    <w:basedOn w:val="Fuentedeprrafopredeter"/>
    <w:link w:val="Textonotapie"/>
    <w:uiPriority w:val="99"/>
    <w:rsid w:val="003A6DD3"/>
    <w:rPr>
      <w:rFonts w:ascii="Calibri" w:eastAsia="Calibri" w:hAnsi="Calibri"/>
      <w:lang w:val="x-none" w:eastAsia="en-US"/>
    </w:rPr>
  </w:style>
  <w:style w:type="character" w:styleId="Refdenotaalpie">
    <w:name w:val="footnote reference"/>
    <w:aliases w:val="Ref,de nota al pie,referencia nota al pie,Texto de nota al pie,Pie de pagina,FC,Appel note de bas de p,Ref. de nota al pie 2,Pie de Página,Texto de nota al p,Pie de Pàgina,F,Pie de P_gin,Pie de P_,Texto de nota al pi,Pie de P_g"/>
    <w:uiPriority w:val="99"/>
    <w:unhideWhenUsed/>
    <w:rsid w:val="003A6DD3"/>
    <w:rPr>
      <w:vertAlign w:val="superscript"/>
    </w:rPr>
  </w:style>
  <w:style w:type="character" w:customStyle="1" w:styleId="PrrafodelistaCar">
    <w:name w:val="Párrafo de lista Car"/>
    <w:aliases w:val="lp1 Car,Bullet List Car,FooterText Car,Use Case List Paragraph Car,parrafo Car,Colorful List - Accent 11 Car,titulo 3 Car,List Paragraph Car,Bullets Car,Título de Diagrama Car,Bolita Car,Párrafo de lista3 Car,Párrafo de lista21 Car"/>
    <w:link w:val="Prrafodelista"/>
    <w:uiPriority w:val="34"/>
    <w:qFormat/>
    <w:locked/>
    <w:rsid w:val="00505F7D"/>
    <w:rPr>
      <w:rFonts w:ascii="Calibri" w:eastAsia="Calibri" w:hAnsi="Calibri"/>
      <w:sz w:val="22"/>
      <w:szCs w:val="22"/>
      <w:lang w:eastAsia="en-US"/>
    </w:rPr>
  </w:style>
  <w:style w:type="character" w:styleId="Hipervnculovisitado">
    <w:name w:val="FollowedHyperlink"/>
    <w:basedOn w:val="Fuentedeprrafopredeter"/>
    <w:rsid w:val="00625786"/>
    <w:rPr>
      <w:color w:val="954F72" w:themeColor="followedHyperlink"/>
      <w:u w:val="single"/>
    </w:rPr>
  </w:style>
  <w:style w:type="table" w:styleId="Tablaconcuadrcula1clara-nfasis1">
    <w:name w:val="Grid Table 1 Light Accent 1"/>
    <w:basedOn w:val="Tablanormal"/>
    <w:uiPriority w:val="46"/>
    <w:rsid w:val="00815A12"/>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ndice">
    <w:name w:val="Índice"/>
    <w:basedOn w:val="Normal"/>
    <w:rsid w:val="001E6B61"/>
    <w:pPr>
      <w:suppressLineNumbers/>
      <w:suppressAutoHyphens/>
      <w:autoSpaceDN/>
      <w:adjustRightInd/>
      <w:textAlignment w:val="auto"/>
    </w:pPr>
    <w:rPr>
      <w:sz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79233">
      <w:bodyDiv w:val="1"/>
      <w:marLeft w:val="0"/>
      <w:marRight w:val="0"/>
      <w:marTop w:val="0"/>
      <w:marBottom w:val="0"/>
      <w:divBdr>
        <w:top w:val="none" w:sz="0" w:space="0" w:color="auto"/>
        <w:left w:val="none" w:sz="0" w:space="0" w:color="auto"/>
        <w:bottom w:val="none" w:sz="0" w:space="0" w:color="auto"/>
        <w:right w:val="none" w:sz="0" w:space="0" w:color="auto"/>
      </w:divBdr>
    </w:div>
    <w:div w:id="83916244">
      <w:bodyDiv w:val="1"/>
      <w:marLeft w:val="0"/>
      <w:marRight w:val="0"/>
      <w:marTop w:val="0"/>
      <w:marBottom w:val="0"/>
      <w:divBdr>
        <w:top w:val="none" w:sz="0" w:space="0" w:color="auto"/>
        <w:left w:val="none" w:sz="0" w:space="0" w:color="auto"/>
        <w:bottom w:val="none" w:sz="0" w:space="0" w:color="auto"/>
        <w:right w:val="none" w:sz="0" w:space="0" w:color="auto"/>
      </w:divBdr>
    </w:div>
    <w:div w:id="352197115">
      <w:bodyDiv w:val="1"/>
      <w:marLeft w:val="0"/>
      <w:marRight w:val="0"/>
      <w:marTop w:val="0"/>
      <w:marBottom w:val="0"/>
      <w:divBdr>
        <w:top w:val="none" w:sz="0" w:space="0" w:color="auto"/>
        <w:left w:val="none" w:sz="0" w:space="0" w:color="auto"/>
        <w:bottom w:val="none" w:sz="0" w:space="0" w:color="auto"/>
        <w:right w:val="none" w:sz="0" w:space="0" w:color="auto"/>
      </w:divBdr>
    </w:div>
    <w:div w:id="373887520">
      <w:bodyDiv w:val="1"/>
      <w:marLeft w:val="0"/>
      <w:marRight w:val="0"/>
      <w:marTop w:val="0"/>
      <w:marBottom w:val="0"/>
      <w:divBdr>
        <w:top w:val="none" w:sz="0" w:space="0" w:color="auto"/>
        <w:left w:val="none" w:sz="0" w:space="0" w:color="auto"/>
        <w:bottom w:val="none" w:sz="0" w:space="0" w:color="auto"/>
        <w:right w:val="none" w:sz="0" w:space="0" w:color="auto"/>
      </w:divBdr>
    </w:div>
    <w:div w:id="430131567">
      <w:bodyDiv w:val="1"/>
      <w:marLeft w:val="0"/>
      <w:marRight w:val="0"/>
      <w:marTop w:val="0"/>
      <w:marBottom w:val="0"/>
      <w:divBdr>
        <w:top w:val="none" w:sz="0" w:space="0" w:color="auto"/>
        <w:left w:val="none" w:sz="0" w:space="0" w:color="auto"/>
        <w:bottom w:val="none" w:sz="0" w:space="0" w:color="auto"/>
        <w:right w:val="none" w:sz="0" w:space="0" w:color="auto"/>
      </w:divBdr>
    </w:div>
    <w:div w:id="443382700">
      <w:bodyDiv w:val="1"/>
      <w:marLeft w:val="0"/>
      <w:marRight w:val="0"/>
      <w:marTop w:val="0"/>
      <w:marBottom w:val="0"/>
      <w:divBdr>
        <w:top w:val="none" w:sz="0" w:space="0" w:color="auto"/>
        <w:left w:val="none" w:sz="0" w:space="0" w:color="auto"/>
        <w:bottom w:val="none" w:sz="0" w:space="0" w:color="auto"/>
        <w:right w:val="none" w:sz="0" w:space="0" w:color="auto"/>
      </w:divBdr>
    </w:div>
    <w:div w:id="510683933">
      <w:bodyDiv w:val="1"/>
      <w:marLeft w:val="0"/>
      <w:marRight w:val="0"/>
      <w:marTop w:val="0"/>
      <w:marBottom w:val="0"/>
      <w:divBdr>
        <w:top w:val="none" w:sz="0" w:space="0" w:color="auto"/>
        <w:left w:val="none" w:sz="0" w:space="0" w:color="auto"/>
        <w:bottom w:val="none" w:sz="0" w:space="0" w:color="auto"/>
        <w:right w:val="none" w:sz="0" w:space="0" w:color="auto"/>
      </w:divBdr>
    </w:div>
    <w:div w:id="556162556">
      <w:bodyDiv w:val="1"/>
      <w:marLeft w:val="0"/>
      <w:marRight w:val="0"/>
      <w:marTop w:val="0"/>
      <w:marBottom w:val="0"/>
      <w:divBdr>
        <w:top w:val="none" w:sz="0" w:space="0" w:color="auto"/>
        <w:left w:val="none" w:sz="0" w:space="0" w:color="auto"/>
        <w:bottom w:val="none" w:sz="0" w:space="0" w:color="auto"/>
        <w:right w:val="none" w:sz="0" w:space="0" w:color="auto"/>
      </w:divBdr>
    </w:div>
    <w:div w:id="661278088">
      <w:bodyDiv w:val="1"/>
      <w:marLeft w:val="0"/>
      <w:marRight w:val="0"/>
      <w:marTop w:val="0"/>
      <w:marBottom w:val="0"/>
      <w:divBdr>
        <w:top w:val="none" w:sz="0" w:space="0" w:color="auto"/>
        <w:left w:val="none" w:sz="0" w:space="0" w:color="auto"/>
        <w:bottom w:val="none" w:sz="0" w:space="0" w:color="auto"/>
        <w:right w:val="none" w:sz="0" w:space="0" w:color="auto"/>
      </w:divBdr>
    </w:div>
    <w:div w:id="696155375">
      <w:bodyDiv w:val="1"/>
      <w:marLeft w:val="0"/>
      <w:marRight w:val="0"/>
      <w:marTop w:val="0"/>
      <w:marBottom w:val="0"/>
      <w:divBdr>
        <w:top w:val="none" w:sz="0" w:space="0" w:color="auto"/>
        <w:left w:val="none" w:sz="0" w:space="0" w:color="auto"/>
        <w:bottom w:val="none" w:sz="0" w:space="0" w:color="auto"/>
        <w:right w:val="none" w:sz="0" w:space="0" w:color="auto"/>
      </w:divBdr>
    </w:div>
    <w:div w:id="833104699">
      <w:bodyDiv w:val="1"/>
      <w:marLeft w:val="0"/>
      <w:marRight w:val="0"/>
      <w:marTop w:val="0"/>
      <w:marBottom w:val="0"/>
      <w:divBdr>
        <w:top w:val="none" w:sz="0" w:space="0" w:color="auto"/>
        <w:left w:val="none" w:sz="0" w:space="0" w:color="auto"/>
        <w:bottom w:val="none" w:sz="0" w:space="0" w:color="auto"/>
        <w:right w:val="none" w:sz="0" w:space="0" w:color="auto"/>
      </w:divBdr>
    </w:div>
    <w:div w:id="844973283">
      <w:bodyDiv w:val="1"/>
      <w:marLeft w:val="0"/>
      <w:marRight w:val="0"/>
      <w:marTop w:val="0"/>
      <w:marBottom w:val="0"/>
      <w:divBdr>
        <w:top w:val="none" w:sz="0" w:space="0" w:color="auto"/>
        <w:left w:val="none" w:sz="0" w:space="0" w:color="auto"/>
        <w:bottom w:val="none" w:sz="0" w:space="0" w:color="auto"/>
        <w:right w:val="none" w:sz="0" w:space="0" w:color="auto"/>
      </w:divBdr>
    </w:div>
    <w:div w:id="1106196390">
      <w:bodyDiv w:val="1"/>
      <w:marLeft w:val="0"/>
      <w:marRight w:val="0"/>
      <w:marTop w:val="0"/>
      <w:marBottom w:val="0"/>
      <w:divBdr>
        <w:top w:val="none" w:sz="0" w:space="0" w:color="auto"/>
        <w:left w:val="none" w:sz="0" w:space="0" w:color="auto"/>
        <w:bottom w:val="none" w:sz="0" w:space="0" w:color="auto"/>
        <w:right w:val="none" w:sz="0" w:space="0" w:color="auto"/>
      </w:divBdr>
    </w:div>
    <w:div w:id="1146362509">
      <w:bodyDiv w:val="1"/>
      <w:marLeft w:val="0"/>
      <w:marRight w:val="0"/>
      <w:marTop w:val="0"/>
      <w:marBottom w:val="0"/>
      <w:divBdr>
        <w:top w:val="none" w:sz="0" w:space="0" w:color="auto"/>
        <w:left w:val="none" w:sz="0" w:space="0" w:color="auto"/>
        <w:bottom w:val="none" w:sz="0" w:space="0" w:color="auto"/>
        <w:right w:val="none" w:sz="0" w:space="0" w:color="auto"/>
      </w:divBdr>
    </w:div>
    <w:div w:id="1280651500">
      <w:bodyDiv w:val="1"/>
      <w:marLeft w:val="0"/>
      <w:marRight w:val="0"/>
      <w:marTop w:val="0"/>
      <w:marBottom w:val="0"/>
      <w:divBdr>
        <w:top w:val="none" w:sz="0" w:space="0" w:color="auto"/>
        <w:left w:val="none" w:sz="0" w:space="0" w:color="auto"/>
        <w:bottom w:val="none" w:sz="0" w:space="0" w:color="auto"/>
        <w:right w:val="none" w:sz="0" w:space="0" w:color="auto"/>
      </w:divBdr>
    </w:div>
    <w:div w:id="1425953225">
      <w:bodyDiv w:val="1"/>
      <w:marLeft w:val="0"/>
      <w:marRight w:val="0"/>
      <w:marTop w:val="0"/>
      <w:marBottom w:val="0"/>
      <w:divBdr>
        <w:top w:val="none" w:sz="0" w:space="0" w:color="auto"/>
        <w:left w:val="none" w:sz="0" w:space="0" w:color="auto"/>
        <w:bottom w:val="none" w:sz="0" w:space="0" w:color="auto"/>
        <w:right w:val="none" w:sz="0" w:space="0" w:color="auto"/>
      </w:divBdr>
    </w:div>
    <w:div w:id="1565024292">
      <w:bodyDiv w:val="1"/>
      <w:marLeft w:val="0"/>
      <w:marRight w:val="0"/>
      <w:marTop w:val="0"/>
      <w:marBottom w:val="0"/>
      <w:divBdr>
        <w:top w:val="none" w:sz="0" w:space="0" w:color="auto"/>
        <w:left w:val="none" w:sz="0" w:space="0" w:color="auto"/>
        <w:bottom w:val="none" w:sz="0" w:space="0" w:color="auto"/>
        <w:right w:val="none" w:sz="0" w:space="0" w:color="auto"/>
      </w:divBdr>
    </w:div>
    <w:div w:id="1574466103">
      <w:bodyDiv w:val="1"/>
      <w:marLeft w:val="0"/>
      <w:marRight w:val="0"/>
      <w:marTop w:val="0"/>
      <w:marBottom w:val="0"/>
      <w:divBdr>
        <w:top w:val="none" w:sz="0" w:space="0" w:color="auto"/>
        <w:left w:val="none" w:sz="0" w:space="0" w:color="auto"/>
        <w:bottom w:val="none" w:sz="0" w:space="0" w:color="auto"/>
        <w:right w:val="none" w:sz="0" w:space="0" w:color="auto"/>
      </w:divBdr>
    </w:div>
    <w:div w:id="1695106544">
      <w:bodyDiv w:val="1"/>
      <w:marLeft w:val="0"/>
      <w:marRight w:val="0"/>
      <w:marTop w:val="0"/>
      <w:marBottom w:val="0"/>
      <w:divBdr>
        <w:top w:val="none" w:sz="0" w:space="0" w:color="auto"/>
        <w:left w:val="none" w:sz="0" w:space="0" w:color="auto"/>
        <w:bottom w:val="none" w:sz="0" w:space="0" w:color="auto"/>
        <w:right w:val="none" w:sz="0" w:space="0" w:color="auto"/>
      </w:divBdr>
    </w:div>
    <w:div w:id="1707171302">
      <w:bodyDiv w:val="1"/>
      <w:marLeft w:val="0"/>
      <w:marRight w:val="0"/>
      <w:marTop w:val="0"/>
      <w:marBottom w:val="0"/>
      <w:divBdr>
        <w:top w:val="none" w:sz="0" w:space="0" w:color="auto"/>
        <w:left w:val="none" w:sz="0" w:space="0" w:color="auto"/>
        <w:bottom w:val="none" w:sz="0" w:space="0" w:color="auto"/>
        <w:right w:val="none" w:sz="0" w:space="0" w:color="auto"/>
      </w:divBdr>
    </w:div>
    <w:div w:id="1756241372">
      <w:bodyDiv w:val="1"/>
      <w:marLeft w:val="0"/>
      <w:marRight w:val="0"/>
      <w:marTop w:val="0"/>
      <w:marBottom w:val="0"/>
      <w:divBdr>
        <w:top w:val="none" w:sz="0" w:space="0" w:color="auto"/>
        <w:left w:val="none" w:sz="0" w:space="0" w:color="auto"/>
        <w:bottom w:val="none" w:sz="0" w:space="0" w:color="auto"/>
        <w:right w:val="none" w:sz="0" w:space="0" w:color="auto"/>
      </w:divBdr>
    </w:div>
    <w:div w:id="1760638906">
      <w:bodyDiv w:val="1"/>
      <w:marLeft w:val="0"/>
      <w:marRight w:val="0"/>
      <w:marTop w:val="0"/>
      <w:marBottom w:val="0"/>
      <w:divBdr>
        <w:top w:val="none" w:sz="0" w:space="0" w:color="auto"/>
        <w:left w:val="none" w:sz="0" w:space="0" w:color="auto"/>
        <w:bottom w:val="none" w:sz="0" w:space="0" w:color="auto"/>
        <w:right w:val="none" w:sz="0" w:space="0" w:color="auto"/>
      </w:divBdr>
    </w:div>
    <w:div w:id="1766029572">
      <w:bodyDiv w:val="1"/>
      <w:marLeft w:val="0"/>
      <w:marRight w:val="0"/>
      <w:marTop w:val="0"/>
      <w:marBottom w:val="0"/>
      <w:divBdr>
        <w:top w:val="none" w:sz="0" w:space="0" w:color="auto"/>
        <w:left w:val="none" w:sz="0" w:space="0" w:color="auto"/>
        <w:bottom w:val="none" w:sz="0" w:space="0" w:color="auto"/>
        <w:right w:val="none" w:sz="0" w:space="0" w:color="auto"/>
      </w:divBdr>
    </w:div>
    <w:div w:id="202088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hart" Target="charts/chart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yperlink" Target="https://www.ramajudicial.gov.co/web/sistema-integrado-gestion-de-la-calidad-y-el-medio-ambiente/258" TargetMode="Externa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ramajudicial.gov.co/web/sistema-integrado-gestion-de-la-calidad-y-el-medio-ambiente/gestion-financiera-y-presupuesta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F:\TATIANA\TRABAJO%20EN%20CASA%20T\2022\INFORME%20DE%20GESTI&#211;N%20UPLA%2030NOV\CONSOLIDADO%20INFORMES%20A%20LA%20CONTRALORIA%20Y%20OTROS%20ENT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TATIANA\TRABAJO%20EN%20CASA%20T\2022\INFORME%20DE%20GESTI&#211;N%20UPLA%2030NOV\CONSOLIDADO%20INFORMES%20A%20LA%20CONTRALORIA%20Y%20OTROS%20ENT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TATIANA\TRABAJO%20EN%20CASA%20T\2022\PLAN%20DE%20INVERSION\12.%20DICIEMBRE\EJECUCI&#211;N%20DICIEMBRE%20(30)%20202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Hoja2!$C$1</c:f>
              <c:strCache>
                <c:ptCount val="1"/>
                <c:pt idx="0">
                  <c:v>TOTAL INFORMES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Hoja2!$B$2:$B$8</c:f>
              <c:strCache>
                <c:ptCount val="7"/>
                <c:pt idx="0">
                  <c:v>Cuenta o informe anual consolidado</c:v>
                </c:pt>
                <c:pt idx="1">
                  <c:v>Delitos contra la administración pública</c:v>
                </c:pt>
                <c:pt idx="2">
                  <c:v>Acciones de Repetición</c:v>
                </c:pt>
                <c:pt idx="3">
                  <c:v>Plan de mejoramiento</c:v>
                </c:pt>
                <c:pt idx="4">
                  <c:v>Gestión contractual</c:v>
                </c:pt>
                <c:pt idx="5">
                  <c:v>Informe regionalizado</c:v>
                </c:pt>
                <c:pt idx="6">
                  <c:v>Obras civiles inconclusas</c:v>
                </c:pt>
              </c:strCache>
            </c:strRef>
          </c:cat>
          <c:val>
            <c:numRef>
              <c:f>Hoja2!$C$2:$C$8</c:f>
              <c:numCache>
                <c:formatCode>General</c:formatCode>
                <c:ptCount val="7"/>
                <c:pt idx="0">
                  <c:v>1</c:v>
                </c:pt>
                <c:pt idx="1">
                  <c:v>2</c:v>
                </c:pt>
                <c:pt idx="2">
                  <c:v>1</c:v>
                </c:pt>
                <c:pt idx="3">
                  <c:v>4</c:v>
                </c:pt>
                <c:pt idx="4">
                  <c:v>12</c:v>
                </c:pt>
                <c:pt idx="5">
                  <c:v>12</c:v>
                </c:pt>
                <c:pt idx="6">
                  <c:v>12</c:v>
                </c:pt>
              </c:numCache>
            </c:numRef>
          </c:val>
          <c:extLst>
            <c:ext xmlns:c16="http://schemas.microsoft.com/office/drawing/2014/chart" uri="{C3380CC4-5D6E-409C-BE32-E72D297353CC}">
              <c16:uniqueId val="{00000000-8D9F-45D0-811D-84A625F231AE}"/>
            </c:ext>
          </c:extLst>
        </c:ser>
        <c:ser>
          <c:idx val="1"/>
          <c:order val="1"/>
          <c:tx>
            <c:strRef>
              <c:f>Hoja2!$D$1</c:f>
              <c:strCache>
                <c:ptCount val="1"/>
                <c:pt idx="0">
                  <c:v>% PARTICIPACIÓN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Hoja2!$B$2:$B$8</c:f>
              <c:strCache>
                <c:ptCount val="7"/>
                <c:pt idx="0">
                  <c:v>Cuenta o informe anual consolidado</c:v>
                </c:pt>
                <c:pt idx="1">
                  <c:v>Delitos contra la administración pública</c:v>
                </c:pt>
                <c:pt idx="2">
                  <c:v>Acciones de Repetición</c:v>
                </c:pt>
                <c:pt idx="3">
                  <c:v>Plan de mejoramiento</c:v>
                </c:pt>
                <c:pt idx="4">
                  <c:v>Gestión contractual</c:v>
                </c:pt>
                <c:pt idx="5">
                  <c:v>Informe regionalizado</c:v>
                </c:pt>
                <c:pt idx="6">
                  <c:v>Obras civiles inconclusas</c:v>
                </c:pt>
              </c:strCache>
            </c:strRef>
          </c:cat>
          <c:val>
            <c:numRef>
              <c:f>Hoja2!$D$2:$D$8</c:f>
              <c:numCache>
                <c:formatCode>0.0%</c:formatCode>
                <c:ptCount val="7"/>
                <c:pt idx="0">
                  <c:v>2.2727272727272728E-2</c:v>
                </c:pt>
                <c:pt idx="1">
                  <c:v>4.5454545454545456E-2</c:v>
                </c:pt>
                <c:pt idx="2">
                  <c:v>2.2727272727272728E-2</c:v>
                </c:pt>
                <c:pt idx="3">
                  <c:v>9.0909090909090912E-2</c:v>
                </c:pt>
                <c:pt idx="4">
                  <c:v>0.27272727272727271</c:v>
                </c:pt>
                <c:pt idx="5">
                  <c:v>0.27272727272727271</c:v>
                </c:pt>
                <c:pt idx="6">
                  <c:v>0.27272727272727271</c:v>
                </c:pt>
              </c:numCache>
            </c:numRef>
          </c:val>
          <c:extLst>
            <c:ext xmlns:c16="http://schemas.microsoft.com/office/drawing/2014/chart" uri="{C3380CC4-5D6E-409C-BE32-E72D297353CC}">
              <c16:uniqueId val="{00000001-8D9F-45D0-811D-84A625F231AE}"/>
            </c:ext>
          </c:extLst>
        </c:ser>
        <c:dLbls>
          <c:dLblPos val="outEnd"/>
          <c:showLegendKey val="0"/>
          <c:showVal val="1"/>
          <c:showCatName val="0"/>
          <c:showSerName val="0"/>
          <c:showPercent val="0"/>
          <c:showBubbleSize val="0"/>
        </c:dLbls>
        <c:gapWidth val="182"/>
        <c:axId val="1089029584"/>
        <c:axId val="1081145536"/>
      </c:barChart>
      <c:catAx>
        <c:axId val="10890295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81145536"/>
        <c:crosses val="autoZero"/>
        <c:auto val="1"/>
        <c:lblAlgn val="ctr"/>
        <c:lblOffset val="100"/>
        <c:noMultiLvlLbl val="0"/>
      </c:catAx>
      <c:valAx>
        <c:axId val="10811455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8902958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Hoja3!$C$1</c:f>
              <c:strCache>
                <c:ptCount val="1"/>
                <c:pt idx="0">
                  <c:v>TOTAL INFORMES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Hoja3!$B$2:$B$8</c:f>
              <c:strCache>
                <c:ptCount val="7"/>
                <c:pt idx="0">
                  <c:v>Informe de gestión de la Dirección Ejecutiva de Administración Judicial</c:v>
                </c:pt>
                <c:pt idx="1">
                  <c:v>Informes de seguimiento a los planes de mejoramiento</c:v>
                </c:pt>
                <c:pt idx="2">
                  <c:v>Informe a la Comisión Legal de Cuentas de la Cámara de Representantes</c:v>
                </c:pt>
                <c:pt idx="3">
                  <c:v>Informe de rendición de cuentas</c:v>
                </c:pt>
                <c:pt idx="4">
                  <c:v>Informe de Personal y Costos </c:v>
                </c:pt>
                <c:pt idx="5">
                  <c:v>Seguimiento al Plan de Acción de Inversión </c:v>
                </c:pt>
                <c:pt idx="6">
                  <c:v>Informes de ejecución presupuestal</c:v>
                </c:pt>
              </c:strCache>
            </c:strRef>
          </c:cat>
          <c:val>
            <c:numRef>
              <c:f>Hoja3!$C$2:$C$8</c:f>
              <c:numCache>
                <c:formatCode>General</c:formatCode>
                <c:ptCount val="7"/>
                <c:pt idx="0">
                  <c:v>1</c:v>
                </c:pt>
                <c:pt idx="1">
                  <c:v>1</c:v>
                </c:pt>
                <c:pt idx="2">
                  <c:v>1</c:v>
                </c:pt>
                <c:pt idx="3">
                  <c:v>1</c:v>
                </c:pt>
                <c:pt idx="4">
                  <c:v>1</c:v>
                </c:pt>
                <c:pt idx="5">
                  <c:v>2</c:v>
                </c:pt>
                <c:pt idx="6">
                  <c:v>6</c:v>
                </c:pt>
              </c:numCache>
            </c:numRef>
          </c:val>
          <c:extLst>
            <c:ext xmlns:c16="http://schemas.microsoft.com/office/drawing/2014/chart" uri="{C3380CC4-5D6E-409C-BE32-E72D297353CC}">
              <c16:uniqueId val="{00000000-4939-4463-9149-2C3772FD78FB}"/>
            </c:ext>
          </c:extLst>
        </c:ser>
        <c:ser>
          <c:idx val="1"/>
          <c:order val="1"/>
          <c:tx>
            <c:strRef>
              <c:f>Hoja3!$D$1</c:f>
              <c:strCache>
                <c:ptCount val="1"/>
                <c:pt idx="0">
                  <c:v>% PARTICIPACIÓN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Hoja3!$B$2:$B$8</c:f>
              <c:strCache>
                <c:ptCount val="7"/>
                <c:pt idx="0">
                  <c:v>Informe de gestión de la Dirección Ejecutiva de Administración Judicial</c:v>
                </c:pt>
                <c:pt idx="1">
                  <c:v>Informes de seguimiento a los planes de mejoramiento</c:v>
                </c:pt>
                <c:pt idx="2">
                  <c:v>Informe a la Comisión Legal de Cuentas de la Cámara de Representantes</c:v>
                </c:pt>
                <c:pt idx="3">
                  <c:v>Informe de rendición de cuentas</c:v>
                </c:pt>
                <c:pt idx="4">
                  <c:v>Informe de Personal y Costos </c:v>
                </c:pt>
                <c:pt idx="5">
                  <c:v>Seguimiento al Plan de Acción de Inversión </c:v>
                </c:pt>
                <c:pt idx="6">
                  <c:v>Informes de ejecución presupuestal</c:v>
                </c:pt>
              </c:strCache>
            </c:strRef>
          </c:cat>
          <c:val>
            <c:numRef>
              <c:f>Hoja3!$D$2:$D$8</c:f>
              <c:numCache>
                <c:formatCode>0.0%</c:formatCode>
                <c:ptCount val="7"/>
                <c:pt idx="0">
                  <c:v>7.6923076923076927E-2</c:v>
                </c:pt>
                <c:pt idx="1">
                  <c:v>7.6923076923076927E-2</c:v>
                </c:pt>
                <c:pt idx="2">
                  <c:v>7.6923076923076927E-2</c:v>
                </c:pt>
                <c:pt idx="3">
                  <c:v>7.6923076923076927E-2</c:v>
                </c:pt>
                <c:pt idx="4">
                  <c:v>7.6923076923076927E-2</c:v>
                </c:pt>
                <c:pt idx="5">
                  <c:v>0.15384615384615385</c:v>
                </c:pt>
                <c:pt idx="6">
                  <c:v>0.46153846153846156</c:v>
                </c:pt>
              </c:numCache>
            </c:numRef>
          </c:val>
          <c:extLst>
            <c:ext xmlns:c16="http://schemas.microsoft.com/office/drawing/2014/chart" uri="{C3380CC4-5D6E-409C-BE32-E72D297353CC}">
              <c16:uniqueId val="{00000001-4939-4463-9149-2C3772FD78FB}"/>
            </c:ext>
          </c:extLst>
        </c:ser>
        <c:dLbls>
          <c:dLblPos val="outEnd"/>
          <c:showLegendKey val="0"/>
          <c:showVal val="1"/>
          <c:showCatName val="0"/>
          <c:showSerName val="0"/>
          <c:showPercent val="0"/>
          <c:showBubbleSize val="0"/>
        </c:dLbls>
        <c:gapWidth val="182"/>
        <c:axId val="1084572912"/>
        <c:axId val="1086520048"/>
      </c:barChart>
      <c:catAx>
        <c:axId val="10845729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86520048"/>
        <c:crosses val="autoZero"/>
        <c:auto val="1"/>
        <c:lblAlgn val="ctr"/>
        <c:lblOffset val="100"/>
        <c:noMultiLvlLbl val="0"/>
      </c:catAx>
      <c:valAx>
        <c:axId val="10865200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84572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bg1">
          <a:lumMod val="50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'CONTRATOS POR PROYECTOS'!$C$133</c:f>
              <c:strCache>
                <c:ptCount val="1"/>
                <c:pt idx="0">
                  <c:v>VALOR</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'CONTRATOS POR PROYECTOS'!$B$134:$B$136</c:f>
              <c:strCache>
                <c:ptCount val="3"/>
                <c:pt idx="0">
                  <c:v>Realizar acompañamiento técnico en el proceso de implementación de la Norma y Guía Técnica de la Rama Judicial </c:v>
                </c:pt>
                <c:pt idx="1">
                  <c:v>Realizar auditorías externas en gestión de calidad y ambiental que den cumplimiento a los requisitos de Norma.</c:v>
                </c:pt>
                <c:pt idx="2">
                  <c:v>Formar, capacitar y certificar en modelos de gestión articuladas a la NTC 6256:2018 y GTC 286:2018</c:v>
                </c:pt>
              </c:strCache>
            </c:strRef>
          </c:cat>
          <c:val>
            <c:numRef>
              <c:f>'CONTRATOS POR PROYECTOS'!$C$134:$C$136</c:f>
              <c:numCache>
                <c:formatCode>_-* #,##0_-;\-* #,##0_-;_-* "-"??_-;_-@_-</c:formatCode>
                <c:ptCount val="3"/>
                <c:pt idx="0">
                  <c:v>684</c:v>
                </c:pt>
                <c:pt idx="1">
                  <c:v>950</c:v>
                </c:pt>
                <c:pt idx="2">
                  <c:v>1165.5</c:v>
                </c:pt>
              </c:numCache>
            </c:numRef>
          </c:val>
          <c:extLst>
            <c:ext xmlns:c16="http://schemas.microsoft.com/office/drawing/2014/chart" uri="{C3380CC4-5D6E-409C-BE32-E72D297353CC}">
              <c16:uniqueId val="{00000000-B091-47E8-B96F-8F933291F1C9}"/>
            </c:ext>
          </c:extLst>
        </c:ser>
        <c:ser>
          <c:idx val="1"/>
          <c:order val="1"/>
          <c:tx>
            <c:strRef>
              <c:f>'CONTRATOS POR PROYECTOS'!$D$133</c:f>
              <c:strCache>
                <c:ptCount val="1"/>
                <c:pt idx="0">
                  <c:v>% PARTICIPACIÓN</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'CONTRATOS POR PROYECTOS'!$B$134:$B$136</c:f>
              <c:strCache>
                <c:ptCount val="3"/>
                <c:pt idx="0">
                  <c:v>Realizar acompañamiento técnico en el proceso de implementación de la Norma y Guía Técnica de la Rama Judicial </c:v>
                </c:pt>
                <c:pt idx="1">
                  <c:v>Realizar auditorías externas en gestión de calidad y ambiental que den cumplimiento a los requisitos de Norma.</c:v>
                </c:pt>
                <c:pt idx="2">
                  <c:v>Formar, capacitar y certificar en modelos de gestión articuladas a la NTC 6256:2018 y GTC 286:2018</c:v>
                </c:pt>
              </c:strCache>
            </c:strRef>
          </c:cat>
          <c:val>
            <c:numRef>
              <c:f>'CONTRATOS POR PROYECTOS'!$D$134:$D$136</c:f>
              <c:numCache>
                <c:formatCode>0.0%</c:formatCode>
                <c:ptCount val="3"/>
                <c:pt idx="0">
                  <c:v>0.24432934452580818</c:v>
                </c:pt>
                <c:pt idx="1">
                  <c:v>0.33934631184140024</c:v>
                </c:pt>
                <c:pt idx="2">
                  <c:v>0.41632434363279158</c:v>
                </c:pt>
              </c:numCache>
            </c:numRef>
          </c:val>
          <c:extLst>
            <c:ext xmlns:c16="http://schemas.microsoft.com/office/drawing/2014/chart" uri="{C3380CC4-5D6E-409C-BE32-E72D297353CC}">
              <c16:uniqueId val="{00000001-B091-47E8-B96F-8F933291F1C9}"/>
            </c:ext>
          </c:extLst>
        </c:ser>
        <c:dLbls>
          <c:dLblPos val="outEnd"/>
          <c:showLegendKey val="0"/>
          <c:showVal val="1"/>
          <c:showCatName val="0"/>
          <c:showSerName val="0"/>
          <c:showPercent val="0"/>
          <c:showBubbleSize val="0"/>
        </c:dLbls>
        <c:gapWidth val="182"/>
        <c:axId val="652696015"/>
        <c:axId val="652697263"/>
      </c:barChart>
      <c:catAx>
        <c:axId val="65269601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652697263"/>
        <c:crosses val="autoZero"/>
        <c:auto val="1"/>
        <c:lblAlgn val="ctr"/>
        <c:lblOffset val="100"/>
        <c:noMultiLvlLbl val="0"/>
      </c:catAx>
      <c:valAx>
        <c:axId val="652697263"/>
        <c:scaling>
          <c:orientation val="minMax"/>
        </c:scaling>
        <c:delete val="0"/>
        <c:axPos val="b"/>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6526960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800">
          <a:latin typeface="Arial" panose="020B0604020202020204" pitchFamily="34" charset="0"/>
          <a:cs typeface="Arial" panose="020B0604020202020204" pitchFamily="34"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FF35DD11DF2FC4ABC63E178DE5A387E" ma:contentTypeVersion="13" ma:contentTypeDescription="Crear nuevo documento." ma:contentTypeScope="" ma:versionID="2cb4fa3104f0330708263e7166173f87">
  <xsd:schema xmlns:xsd="http://www.w3.org/2001/XMLSchema" xmlns:xs="http://www.w3.org/2001/XMLSchema" xmlns:p="http://schemas.microsoft.com/office/2006/metadata/properties" xmlns:ns3="cfb2f346-fbe2-440c-b8fc-4397855baede" xmlns:ns4="f028618a-47d7-48d6-b1ec-3ff916b7305f" targetNamespace="http://schemas.microsoft.com/office/2006/metadata/properties" ma:root="true" ma:fieldsID="6696f7618460b437ad7b8efdfd050133" ns3:_="" ns4:_="">
    <xsd:import namespace="cfb2f346-fbe2-440c-b8fc-4397855baede"/>
    <xsd:import namespace="f028618a-47d7-48d6-b1ec-3ff916b7305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2f346-fbe2-440c-b8fc-4397855ba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28618a-47d7-48d6-b1ec-3ff916b7305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BD8DB-1802-4FA8-8F64-93F059C82844}">
  <ds:schemaRefs>
    <ds:schemaRef ds:uri="http://schemas.microsoft.com/sharepoint/v3/contenttype/forms"/>
  </ds:schemaRefs>
</ds:datastoreItem>
</file>

<file path=customXml/itemProps2.xml><?xml version="1.0" encoding="utf-8"?>
<ds:datastoreItem xmlns:ds="http://schemas.openxmlformats.org/officeDocument/2006/customXml" ds:itemID="{062D44E6-6DA4-4E93-87EB-7168A4E8E5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2f346-fbe2-440c-b8fc-4397855baede"/>
    <ds:schemaRef ds:uri="f028618a-47d7-48d6-b1ec-3ff916b730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3CC924-9CE4-4872-856F-250F779F34AA}">
  <ds:schemaRefs>
    <ds:schemaRef ds:uri="http://purl.org/dc/elements/1.1/"/>
    <ds:schemaRef ds:uri="http://schemas.microsoft.com/office/2006/documentManagement/types"/>
    <ds:schemaRef ds:uri="http://purl.org/dc/dcmitype/"/>
    <ds:schemaRef ds:uri="http://www.w3.org/XML/1998/namespace"/>
    <ds:schemaRef ds:uri="f028618a-47d7-48d6-b1ec-3ff916b7305f"/>
    <ds:schemaRef ds:uri="cfb2f346-fbe2-440c-b8fc-4397855baed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0C12A8E2-C867-46F7-B527-9B80605B5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19</Pages>
  <Words>7543</Words>
  <Characters>43801</Characters>
  <Application>Microsoft Office Word</Application>
  <DocSecurity>0</DocSecurity>
  <Lines>365</Lines>
  <Paragraphs>102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FORMATO ACTA DE REUNION</vt:lpstr>
      <vt:lpstr>FORMATO ACTA DE REUNION</vt:lpstr>
    </vt:vector>
  </TitlesOfParts>
  <Company>Hewlett-Packard</Company>
  <LinksUpToDate>false</LinksUpToDate>
  <CharactersWithSpaces>51242</CharactersWithSpaces>
  <SharedDoc>false</SharedDoc>
  <HLinks>
    <vt:vector size="12" baseType="variant">
      <vt:variant>
        <vt:i4>3932276</vt:i4>
      </vt:variant>
      <vt:variant>
        <vt:i4>3</vt:i4>
      </vt:variant>
      <vt:variant>
        <vt:i4>0</vt:i4>
      </vt:variant>
      <vt:variant>
        <vt:i4>5</vt:i4>
      </vt:variant>
      <vt:variant>
        <vt:lpwstr>https://n9.cl/o5wm2</vt:lpwstr>
      </vt:variant>
      <vt:variant>
        <vt:lpwstr/>
      </vt:variant>
      <vt:variant>
        <vt:i4>7209014</vt:i4>
      </vt:variant>
      <vt:variant>
        <vt:i4>0</vt:i4>
      </vt:variant>
      <vt:variant>
        <vt:i4>0</vt:i4>
      </vt:variant>
      <vt:variant>
        <vt:i4>5</vt:i4>
      </vt:variant>
      <vt:variant>
        <vt:lpwstr>https://n9.cl/na4k7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ACTA DE REUNION</dc:title>
  <dc:subject/>
  <dc:creator>dsarmies</dc:creator>
  <cp:keywords/>
  <cp:lastModifiedBy>Diana Jahel Buitrago Garavito</cp:lastModifiedBy>
  <cp:revision>26</cp:revision>
  <cp:lastPrinted>2019-11-25T13:02:00Z</cp:lastPrinted>
  <dcterms:created xsi:type="dcterms:W3CDTF">2023-05-12T13:15:00Z</dcterms:created>
  <dcterms:modified xsi:type="dcterms:W3CDTF">2023-05-12T15:49:00Z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0x0101009FF35DD11DF2FC4ABC63E178DE5A387E</vt:lpwstr>
  </property>
</Properties>
</file>